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16328D" w14:textId="77777777" w:rsidR="00126F72" w:rsidRPr="00003DE0" w:rsidRDefault="00126F72" w:rsidP="00003DE0"/>
    <w:tbl>
      <w:tblPr>
        <w:tblStyle w:val="TableGrid"/>
        <w:tblW w:w="10207"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3969"/>
        <w:gridCol w:w="3261"/>
      </w:tblGrid>
      <w:tr w:rsidR="00192EA4" w14:paraId="07B5D4E5" w14:textId="356944B7" w:rsidTr="00192EA4">
        <w:trPr>
          <w:trHeight w:val="1581"/>
        </w:trPr>
        <w:tc>
          <w:tcPr>
            <w:tcW w:w="2977" w:type="dxa"/>
            <w:shd w:val="clear" w:color="auto" w:fill="FFFFFF" w:themeFill="background1"/>
            <w:vAlign w:val="center"/>
          </w:tcPr>
          <w:p w14:paraId="158AC50A" w14:textId="77777777" w:rsidR="003F3538" w:rsidRDefault="003F3538" w:rsidP="003F3538">
            <w:pPr>
              <w:jc w:val="center"/>
              <w:rPr>
                <w:rFonts w:ascii="SignPainter-HouseScript" w:hAnsi="SignPainter-HouseScript" w:cs="Brush Script MT Italic"/>
                <w:sz w:val="56"/>
                <w:szCs w:val="56"/>
              </w:rPr>
            </w:pPr>
            <w:r>
              <w:rPr>
                <w:rFonts w:ascii="SignPainter-HouseScript" w:hAnsi="SignPainter-HouseScript" w:cs="Brush Script MT Italic"/>
                <w:noProof/>
                <w:sz w:val="56"/>
                <w:szCs w:val="56"/>
                <w:lang w:val="en-US"/>
              </w:rPr>
              <w:drawing>
                <wp:inline distT="0" distB="0" distL="0" distR="0" wp14:anchorId="3D299DF8" wp14:editId="009E1195">
                  <wp:extent cx="1385811" cy="970068"/>
                  <wp:effectExtent l="0" t="0" r="1143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lovac_logo_vert.jpg"/>
                          <pic:cNvPicPr/>
                        </pic:nvPicPr>
                        <pic:blipFill>
                          <a:blip r:embed="rId9">
                            <a:extLst>
                              <a:ext uri="{28A0092B-C50C-407E-A947-70E740481C1C}">
                                <a14:useLocalDpi xmlns:a14="http://schemas.microsoft.com/office/drawing/2010/main" val="0"/>
                              </a:ext>
                            </a:extLst>
                          </a:blip>
                          <a:stretch>
                            <a:fillRect/>
                          </a:stretch>
                        </pic:blipFill>
                        <pic:spPr>
                          <a:xfrm>
                            <a:off x="0" y="0"/>
                            <a:ext cx="1386544" cy="970581"/>
                          </a:xfrm>
                          <a:prstGeom prst="rect">
                            <a:avLst/>
                          </a:prstGeom>
                        </pic:spPr>
                      </pic:pic>
                    </a:graphicData>
                  </a:graphic>
                </wp:inline>
              </w:drawing>
            </w:r>
          </w:p>
        </w:tc>
        <w:tc>
          <w:tcPr>
            <w:tcW w:w="3969" w:type="dxa"/>
            <w:shd w:val="clear" w:color="auto" w:fill="FFFFFF" w:themeFill="background1"/>
            <w:vAlign w:val="center"/>
          </w:tcPr>
          <w:p w14:paraId="1CDE4371" w14:textId="3ACA443B" w:rsidR="003F3538" w:rsidRDefault="003F3538" w:rsidP="003F3538">
            <w:pPr>
              <w:jc w:val="center"/>
              <w:rPr>
                <w:rFonts w:ascii="SignPainter-HouseScript" w:hAnsi="SignPainter-HouseScript" w:cs="Brush Script MT Italic"/>
                <w:noProof/>
                <w:sz w:val="56"/>
                <w:szCs w:val="56"/>
              </w:rPr>
            </w:pPr>
            <w:r>
              <w:rPr>
                <w:rFonts w:ascii="SignPainter-HouseScript" w:hAnsi="SignPainter-HouseScript" w:cs="Brush Script MT Italic"/>
                <w:noProof/>
                <w:sz w:val="56"/>
                <w:szCs w:val="56"/>
                <w:lang w:val="en-US"/>
              </w:rPr>
              <w:drawing>
                <wp:inline distT="0" distB="0" distL="0" distR="0" wp14:anchorId="7CA8700F" wp14:editId="64DFED7A">
                  <wp:extent cx="1949662" cy="527908"/>
                  <wp:effectExtent l="0" t="0" r="635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LOGO1.png"/>
                          <pic:cNvPicPr/>
                        </pic:nvPicPr>
                        <pic:blipFill>
                          <a:blip r:embed="rId10">
                            <a:extLst>
                              <a:ext uri="{28A0092B-C50C-407E-A947-70E740481C1C}">
                                <a14:useLocalDpi xmlns:a14="http://schemas.microsoft.com/office/drawing/2010/main" val="0"/>
                              </a:ext>
                            </a:extLst>
                          </a:blip>
                          <a:stretch>
                            <a:fillRect/>
                          </a:stretch>
                        </pic:blipFill>
                        <pic:spPr>
                          <a:xfrm>
                            <a:off x="0" y="0"/>
                            <a:ext cx="1951365" cy="528369"/>
                          </a:xfrm>
                          <a:prstGeom prst="rect">
                            <a:avLst/>
                          </a:prstGeom>
                        </pic:spPr>
                      </pic:pic>
                    </a:graphicData>
                  </a:graphic>
                </wp:inline>
              </w:drawing>
            </w:r>
          </w:p>
        </w:tc>
        <w:tc>
          <w:tcPr>
            <w:tcW w:w="3261" w:type="dxa"/>
            <w:shd w:val="clear" w:color="auto" w:fill="FFFFFF" w:themeFill="background1"/>
            <w:vAlign w:val="center"/>
          </w:tcPr>
          <w:p w14:paraId="227DEB30" w14:textId="3B80DFA4" w:rsidR="003F3538" w:rsidRDefault="003F3538" w:rsidP="003F3538">
            <w:pPr>
              <w:jc w:val="center"/>
              <w:rPr>
                <w:rFonts w:ascii="SignPainter-HouseScript" w:hAnsi="SignPainter-HouseScript" w:cs="Brush Script MT Italic"/>
                <w:noProof/>
                <w:sz w:val="56"/>
                <w:szCs w:val="56"/>
              </w:rPr>
            </w:pPr>
            <w:r>
              <w:rPr>
                <w:rFonts w:ascii="SignPainter-HouseScript" w:hAnsi="SignPainter-HouseScript" w:cs="Brush Script MT Italic"/>
                <w:noProof/>
                <w:sz w:val="56"/>
                <w:szCs w:val="56"/>
                <w:lang w:val="en-US"/>
              </w:rPr>
              <w:drawing>
                <wp:inline distT="0" distB="0" distL="0" distR="0" wp14:anchorId="5A106CAB" wp14:editId="4325D102">
                  <wp:extent cx="1003788" cy="978535"/>
                  <wp:effectExtent l="0" t="0" r="0" b="1206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zalj-logo.png"/>
                          <pic:cNvPicPr/>
                        </pic:nvPicPr>
                        <pic:blipFill>
                          <a:blip r:embed="rId11">
                            <a:extLst>
                              <a:ext uri="{28A0092B-C50C-407E-A947-70E740481C1C}">
                                <a14:useLocalDpi xmlns:a14="http://schemas.microsoft.com/office/drawing/2010/main" val="0"/>
                              </a:ext>
                            </a:extLst>
                          </a:blip>
                          <a:stretch>
                            <a:fillRect/>
                          </a:stretch>
                        </pic:blipFill>
                        <pic:spPr>
                          <a:xfrm>
                            <a:off x="0" y="0"/>
                            <a:ext cx="1005255" cy="979965"/>
                          </a:xfrm>
                          <a:prstGeom prst="rect">
                            <a:avLst/>
                          </a:prstGeom>
                        </pic:spPr>
                      </pic:pic>
                    </a:graphicData>
                  </a:graphic>
                </wp:inline>
              </w:drawing>
            </w:r>
          </w:p>
        </w:tc>
      </w:tr>
    </w:tbl>
    <w:p w14:paraId="57B6C41B" w14:textId="15E39A87" w:rsidR="00003DE0" w:rsidRDefault="00003DE0" w:rsidP="00003DE0"/>
    <w:p w14:paraId="198E2BA2" w14:textId="77777777" w:rsidR="00003DE0" w:rsidRDefault="00003DE0" w:rsidP="00003DE0"/>
    <w:p w14:paraId="2188DECE" w14:textId="7D23512D" w:rsidR="00003DE0" w:rsidRDefault="00003DE0" w:rsidP="00003DE0"/>
    <w:p w14:paraId="1AD856CF" w14:textId="77777777" w:rsidR="00003DE0" w:rsidRDefault="00003DE0" w:rsidP="00003DE0"/>
    <w:p w14:paraId="70CE2D2F" w14:textId="77777777" w:rsidR="00003DE0" w:rsidRDefault="00003DE0" w:rsidP="00003DE0"/>
    <w:p w14:paraId="6DB10EEB" w14:textId="77777777" w:rsidR="003F3538" w:rsidRDefault="003F3538" w:rsidP="00003DE0"/>
    <w:p w14:paraId="3C962E1B" w14:textId="77777777" w:rsidR="003F3538" w:rsidRDefault="003F3538" w:rsidP="00003DE0"/>
    <w:p w14:paraId="1CD0215B" w14:textId="77777777" w:rsidR="003F3538" w:rsidRDefault="003F3538" w:rsidP="00003DE0"/>
    <w:p w14:paraId="779C5B8C" w14:textId="77777777" w:rsidR="003F3538" w:rsidRDefault="003F3538" w:rsidP="00003DE0"/>
    <w:p w14:paraId="4471129B" w14:textId="77777777" w:rsidR="003F3538" w:rsidRDefault="003F3538" w:rsidP="00003DE0"/>
    <w:p w14:paraId="40E38AD1" w14:textId="396F95B1" w:rsidR="003F3538" w:rsidRDefault="00CF607C" w:rsidP="00CF607C">
      <w:pPr>
        <w:tabs>
          <w:tab w:val="left" w:pos="5253"/>
        </w:tabs>
      </w:pPr>
      <w:r>
        <w:tab/>
      </w:r>
    </w:p>
    <w:p w14:paraId="74514AD7" w14:textId="77777777" w:rsidR="003F3538" w:rsidRDefault="003F3538" w:rsidP="00003DE0"/>
    <w:p w14:paraId="123383F9" w14:textId="77777777" w:rsidR="00003DE0" w:rsidRDefault="00003DE0" w:rsidP="00003DE0"/>
    <w:p w14:paraId="43B8BF1F" w14:textId="02AC6492" w:rsidR="00003DE0" w:rsidRPr="00003DE0" w:rsidRDefault="00FA165E" w:rsidP="00003DE0">
      <w:r>
        <w:rPr>
          <w:noProof/>
          <w:lang w:val="en-US"/>
        </w:rPr>
        <w:drawing>
          <wp:inline distT="0" distB="0" distL="0" distR="0" wp14:anchorId="1BD543AE" wp14:editId="12FC7A4B">
            <wp:extent cx="1260208" cy="1542737"/>
            <wp:effectExtent l="0" t="0" r="10160"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PKA-mali logo.png"/>
                    <pic:cNvPicPr/>
                  </pic:nvPicPr>
                  <pic:blipFill>
                    <a:blip r:embed="rId12">
                      <a:extLst>
                        <a:ext uri="{28A0092B-C50C-407E-A947-70E740481C1C}">
                          <a14:useLocalDpi xmlns:a14="http://schemas.microsoft.com/office/drawing/2010/main" val="0"/>
                        </a:ext>
                      </a:extLst>
                    </a:blip>
                    <a:stretch>
                      <a:fillRect/>
                    </a:stretch>
                  </pic:blipFill>
                  <pic:spPr>
                    <a:xfrm>
                      <a:off x="0" y="0"/>
                      <a:ext cx="1262302" cy="1545300"/>
                    </a:xfrm>
                    <a:prstGeom prst="rect">
                      <a:avLst/>
                    </a:prstGeom>
                  </pic:spPr>
                </pic:pic>
              </a:graphicData>
            </a:graphic>
          </wp:inline>
        </w:drawing>
      </w:r>
    </w:p>
    <w:p w14:paraId="1A3F91FD" w14:textId="19027CEC" w:rsidR="003C7C29" w:rsidRDefault="001A5F94" w:rsidP="001A5F94">
      <w:pPr>
        <w:pStyle w:val="Title"/>
        <w:rPr>
          <w:noProof/>
        </w:rPr>
      </w:pPr>
      <w:r>
        <w:rPr>
          <w:noProof/>
        </w:rPr>
        <w:t>STRATEGIJA RAZVOJA VEĆEG URBANOG PODRUČJA KARLOVAC</w:t>
      </w:r>
    </w:p>
    <w:p w14:paraId="13D058C6" w14:textId="77777777" w:rsidR="001A5F94" w:rsidRDefault="001A5F94" w:rsidP="001A5F94">
      <w:pPr>
        <w:pStyle w:val="Title"/>
        <w:rPr>
          <w:noProof/>
        </w:rPr>
      </w:pPr>
      <w:r>
        <w:rPr>
          <w:noProof/>
        </w:rPr>
        <w:t>2019. – 2027.</w:t>
      </w:r>
    </w:p>
    <w:p w14:paraId="3AEA70CF" w14:textId="56A6DE75" w:rsidR="001A5F94" w:rsidRDefault="00EF6FEB" w:rsidP="00C13C97">
      <w:pPr>
        <w:pStyle w:val="Subtitle"/>
      </w:pPr>
      <w:r>
        <w:t>Finalni</w:t>
      </w:r>
      <w:r w:rsidR="00BD5F6A">
        <w:t xml:space="preserve"> n</w:t>
      </w:r>
      <w:r w:rsidR="009D7BA9">
        <w:t>acrt</w:t>
      </w:r>
      <w:r w:rsidR="00BD5F6A">
        <w:t>, za javno savjetovanje</w:t>
      </w:r>
      <w:r w:rsidR="0058668F">
        <w:t xml:space="preserve">, </w:t>
      </w:r>
      <w:r w:rsidR="00CF607C">
        <w:t>17.0</w:t>
      </w:r>
      <w:r w:rsidR="00337B5D">
        <w:t>2</w:t>
      </w:r>
      <w:r w:rsidR="00CF607C">
        <w:t>.2020</w:t>
      </w:r>
      <w:r w:rsidR="00392D4B">
        <w:t>.</w:t>
      </w:r>
    </w:p>
    <w:p w14:paraId="2F90C7D1" w14:textId="073F5E48" w:rsidR="00126F72" w:rsidRDefault="00126F72" w:rsidP="00126F72"/>
    <w:p w14:paraId="604E7B7C" w14:textId="77777777" w:rsidR="00126F72" w:rsidRDefault="00126F72" w:rsidP="00126F72"/>
    <w:p w14:paraId="4EF6769C" w14:textId="77777777" w:rsidR="001A5F94" w:rsidRDefault="001A5F94">
      <w:pPr>
        <w:spacing w:before="0" w:after="0"/>
        <w:jc w:val="left"/>
      </w:pPr>
      <w:r>
        <w:br w:type="page"/>
      </w:r>
    </w:p>
    <w:sdt>
      <w:sdtPr>
        <w:rPr>
          <w:rFonts w:ascii="Calibri" w:eastAsiaTheme="minorHAnsi" w:hAnsi="Calibri" w:cstheme="minorBidi"/>
          <w:b w:val="0"/>
          <w:bCs w:val="0"/>
          <w:color w:val="auto"/>
          <w:sz w:val="22"/>
          <w:szCs w:val="22"/>
          <w:lang w:val="hr-HR"/>
        </w:rPr>
        <w:id w:val="132375508"/>
        <w:docPartObj>
          <w:docPartGallery w:val="Table of Contents"/>
          <w:docPartUnique/>
        </w:docPartObj>
      </w:sdtPr>
      <w:sdtEndPr>
        <w:rPr>
          <w:noProof/>
        </w:rPr>
      </w:sdtEndPr>
      <w:sdtContent>
        <w:p w14:paraId="3BB9F204" w14:textId="4BD67EA0" w:rsidR="00184D82" w:rsidRDefault="00184D82">
          <w:pPr>
            <w:pStyle w:val="TOCHeading"/>
          </w:pPr>
          <w:r>
            <w:t>Sadržaj</w:t>
          </w:r>
        </w:p>
        <w:p w14:paraId="5D901590" w14:textId="77777777" w:rsidR="00EE2BB6" w:rsidRDefault="00184D82">
          <w:pPr>
            <w:pStyle w:val="TOC1"/>
            <w:tabs>
              <w:tab w:val="left" w:pos="362"/>
              <w:tab w:val="right" w:leader="dot" w:pos="9118"/>
            </w:tabs>
            <w:rPr>
              <w:rFonts w:asciiTheme="minorHAnsi" w:eastAsiaTheme="minorEastAsia" w:hAnsiTheme="minorHAnsi"/>
              <w:b w:val="0"/>
              <w:noProof/>
              <w:color w:val="auto"/>
              <w:lang w:val="en-GB" w:eastAsia="ja-JP"/>
            </w:rPr>
          </w:pPr>
          <w:r>
            <w:rPr>
              <w:b w:val="0"/>
            </w:rPr>
            <w:fldChar w:fldCharType="begin"/>
          </w:r>
          <w:r>
            <w:instrText xml:space="preserve"> TOC \o "1-3" \h \z \u </w:instrText>
          </w:r>
          <w:r>
            <w:rPr>
              <w:b w:val="0"/>
            </w:rPr>
            <w:fldChar w:fldCharType="separate"/>
          </w:r>
          <w:r w:rsidR="00EE2BB6">
            <w:rPr>
              <w:noProof/>
            </w:rPr>
            <w:t>0</w:t>
          </w:r>
          <w:r w:rsidR="00EE2BB6">
            <w:rPr>
              <w:rFonts w:asciiTheme="minorHAnsi" w:eastAsiaTheme="minorEastAsia" w:hAnsiTheme="minorHAnsi"/>
              <w:b w:val="0"/>
              <w:noProof/>
              <w:color w:val="auto"/>
              <w:lang w:val="en-GB" w:eastAsia="ja-JP"/>
            </w:rPr>
            <w:tab/>
          </w:r>
          <w:r w:rsidR="00EE2BB6">
            <w:rPr>
              <w:noProof/>
            </w:rPr>
            <w:t>SAŽETAK</w:t>
          </w:r>
          <w:r w:rsidR="00EE2BB6">
            <w:rPr>
              <w:noProof/>
            </w:rPr>
            <w:tab/>
          </w:r>
          <w:r w:rsidR="00EE2BB6">
            <w:rPr>
              <w:noProof/>
            </w:rPr>
            <w:fldChar w:fldCharType="begin"/>
          </w:r>
          <w:r w:rsidR="00EE2BB6">
            <w:rPr>
              <w:noProof/>
            </w:rPr>
            <w:instrText xml:space="preserve"> PAGEREF _Toc437390571 \h </w:instrText>
          </w:r>
          <w:r w:rsidR="00EE2BB6">
            <w:rPr>
              <w:noProof/>
            </w:rPr>
          </w:r>
          <w:r w:rsidR="00EE2BB6">
            <w:rPr>
              <w:noProof/>
            </w:rPr>
            <w:fldChar w:fldCharType="separate"/>
          </w:r>
          <w:r w:rsidR="00EE2BB6">
            <w:rPr>
              <w:noProof/>
            </w:rPr>
            <w:t>6</w:t>
          </w:r>
          <w:r w:rsidR="00EE2BB6">
            <w:rPr>
              <w:noProof/>
            </w:rPr>
            <w:fldChar w:fldCharType="end"/>
          </w:r>
        </w:p>
        <w:p w14:paraId="7B981405" w14:textId="77777777" w:rsidR="00EE2BB6" w:rsidRDefault="00EE2BB6">
          <w:pPr>
            <w:pStyle w:val="TOC1"/>
            <w:tabs>
              <w:tab w:val="left" w:pos="362"/>
              <w:tab w:val="right" w:leader="dot" w:pos="9118"/>
            </w:tabs>
            <w:rPr>
              <w:rFonts w:asciiTheme="minorHAnsi" w:eastAsiaTheme="minorEastAsia" w:hAnsiTheme="minorHAnsi"/>
              <w:b w:val="0"/>
              <w:noProof/>
              <w:color w:val="auto"/>
              <w:lang w:val="en-GB" w:eastAsia="ja-JP"/>
            </w:rPr>
          </w:pPr>
          <w:r>
            <w:rPr>
              <w:noProof/>
            </w:rPr>
            <w:t>1</w:t>
          </w:r>
          <w:r>
            <w:rPr>
              <w:rFonts w:asciiTheme="minorHAnsi" w:eastAsiaTheme="minorEastAsia" w:hAnsiTheme="minorHAnsi"/>
              <w:b w:val="0"/>
              <w:noProof/>
              <w:color w:val="auto"/>
              <w:lang w:val="en-GB" w:eastAsia="ja-JP"/>
            </w:rPr>
            <w:tab/>
          </w:r>
          <w:r>
            <w:rPr>
              <w:noProof/>
            </w:rPr>
            <w:t>TERITORIJALNA POKRIVENOST</w:t>
          </w:r>
          <w:r>
            <w:rPr>
              <w:noProof/>
            </w:rPr>
            <w:tab/>
          </w:r>
          <w:r>
            <w:rPr>
              <w:noProof/>
            </w:rPr>
            <w:fldChar w:fldCharType="begin"/>
          </w:r>
          <w:r>
            <w:rPr>
              <w:noProof/>
            </w:rPr>
            <w:instrText xml:space="preserve"> PAGEREF _Toc437390572 \h </w:instrText>
          </w:r>
          <w:r>
            <w:rPr>
              <w:noProof/>
            </w:rPr>
          </w:r>
          <w:r>
            <w:rPr>
              <w:noProof/>
            </w:rPr>
            <w:fldChar w:fldCharType="separate"/>
          </w:r>
          <w:r>
            <w:rPr>
              <w:noProof/>
            </w:rPr>
            <w:t>9</w:t>
          </w:r>
          <w:r>
            <w:rPr>
              <w:noProof/>
            </w:rPr>
            <w:fldChar w:fldCharType="end"/>
          </w:r>
        </w:p>
        <w:p w14:paraId="1444F470"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1.1</w:t>
          </w:r>
          <w:r>
            <w:rPr>
              <w:rFonts w:asciiTheme="minorHAnsi" w:eastAsiaTheme="minorEastAsia" w:hAnsiTheme="minorHAnsi"/>
              <w:noProof/>
              <w:sz w:val="24"/>
              <w:szCs w:val="24"/>
              <w:lang w:val="en-GB" w:eastAsia="ja-JP"/>
            </w:rPr>
            <w:tab/>
          </w:r>
          <w:r>
            <w:rPr>
              <w:noProof/>
            </w:rPr>
            <w:t>TeritorijalnI obuhvat</w:t>
          </w:r>
          <w:r>
            <w:rPr>
              <w:noProof/>
            </w:rPr>
            <w:tab/>
          </w:r>
          <w:r>
            <w:rPr>
              <w:noProof/>
            </w:rPr>
            <w:fldChar w:fldCharType="begin"/>
          </w:r>
          <w:r>
            <w:rPr>
              <w:noProof/>
            </w:rPr>
            <w:instrText xml:space="preserve"> PAGEREF _Toc437390573 \h </w:instrText>
          </w:r>
          <w:r>
            <w:rPr>
              <w:noProof/>
            </w:rPr>
          </w:r>
          <w:r>
            <w:rPr>
              <w:noProof/>
            </w:rPr>
            <w:fldChar w:fldCharType="separate"/>
          </w:r>
          <w:r>
            <w:rPr>
              <w:noProof/>
            </w:rPr>
            <w:t>9</w:t>
          </w:r>
          <w:r>
            <w:rPr>
              <w:noProof/>
            </w:rPr>
            <w:fldChar w:fldCharType="end"/>
          </w:r>
        </w:p>
        <w:p w14:paraId="34622077"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1.2</w:t>
          </w:r>
          <w:r>
            <w:rPr>
              <w:rFonts w:asciiTheme="minorHAnsi" w:eastAsiaTheme="minorEastAsia" w:hAnsiTheme="minorHAnsi"/>
              <w:noProof/>
              <w:sz w:val="24"/>
              <w:szCs w:val="24"/>
              <w:lang w:val="en-GB" w:eastAsia="ja-JP"/>
            </w:rPr>
            <w:tab/>
          </w:r>
          <w:r>
            <w:rPr>
              <w:noProof/>
            </w:rPr>
            <w:t>Teritorijalni kontekst</w:t>
          </w:r>
          <w:r>
            <w:rPr>
              <w:noProof/>
            </w:rPr>
            <w:tab/>
          </w:r>
          <w:r>
            <w:rPr>
              <w:noProof/>
            </w:rPr>
            <w:fldChar w:fldCharType="begin"/>
          </w:r>
          <w:r>
            <w:rPr>
              <w:noProof/>
            </w:rPr>
            <w:instrText xml:space="preserve"> PAGEREF _Toc437390574 \h </w:instrText>
          </w:r>
          <w:r>
            <w:rPr>
              <w:noProof/>
            </w:rPr>
          </w:r>
          <w:r>
            <w:rPr>
              <w:noProof/>
            </w:rPr>
            <w:fldChar w:fldCharType="separate"/>
          </w:r>
          <w:r>
            <w:rPr>
              <w:noProof/>
            </w:rPr>
            <w:t>10</w:t>
          </w:r>
          <w:r>
            <w:rPr>
              <w:noProof/>
            </w:rPr>
            <w:fldChar w:fldCharType="end"/>
          </w:r>
        </w:p>
        <w:p w14:paraId="33843C6A" w14:textId="77777777" w:rsidR="00EE2BB6" w:rsidRDefault="00EE2BB6">
          <w:pPr>
            <w:pStyle w:val="TOC1"/>
            <w:tabs>
              <w:tab w:val="left" w:pos="362"/>
              <w:tab w:val="right" w:leader="dot" w:pos="9118"/>
            </w:tabs>
            <w:rPr>
              <w:rFonts w:asciiTheme="minorHAnsi" w:eastAsiaTheme="minorEastAsia" w:hAnsiTheme="minorHAnsi"/>
              <w:b w:val="0"/>
              <w:noProof/>
              <w:color w:val="auto"/>
              <w:lang w:val="en-GB" w:eastAsia="ja-JP"/>
            </w:rPr>
          </w:pPr>
          <w:r>
            <w:rPr>
              <w:noProof/>
            </w:rPr>
            <w:t>2</w:t>
          </w:r>
          <w:r>
            <w:rPr>
              <w:rFonts w:asciiTheme="minorHAnsi" w:eastAsiaTheme="minorEastAsia" w:hAnsiTheme="minorHAnsi"/>
              <w:b w:val="0"/>
              <w:noProof/>
              <w:color w:val="auto"/>
              <w:lang w:val="en-GB" w:eastAsia="ja-JP"/>
            </w:rPr>
            <w:tab/>
          </w:r>
          <w:r>
            <w:rPr>
              <w:noProof/>
            </w:rPr>
            <w:t>SAŽETAK ANALIZE STANJA</w:t>
          </w:r>
          <w:r>
            <w:rPr>
              <w:noProof/>
            </w:rPr>
            <w:tab/>
          </w:r>
          <w:r>
            <w:rPr>
              <w:noProof/>
            </w:rPr>
            <w:fldChar w:fldCharType="begin"/>
          </w:r>
          <w:r>
            <w:rPr>
              <w:noProof/>
            </w:rPr>
            <w:instrText xml:space="preserve"> PAGEREF _Toc437390575 \h </w:instrText>
          </w:r>
          <w:r>
            <w:rPr>
              <w:noProof/>
            </w:rPr>
          </w:r>
          <w:r>
            <w:rPr>
              <w:noProof/>
            </w:rPr>
            <w:fldChar w:fldCharType="separate"/>
          </w:r>
          <w:r>
            <w:rPr>
              <w:noProof/>
            </w:rPr>
            <w:t>17</w:t>
          </w:r>
          <w:r>
            <w:rPr>
              <w:noProof/>
            </w:rPr>
            <w:fldChar w:fldCharType="end"/>
          </w:r>
        </w:p>
        <w:p w14:paraId="730E7769"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2.1</w:t>
          </w:r>
          <w:r>
            <w:rPr>
              <w:rFonts w:asciiTheme="minorHAnsi" w:eastAsiaTheme="minorEastAsia" w:hAnsiTheme="minorHAnsi"/>
              <w:noProof/>
              <w:sz w:val="24"/>
              <w:szCs w:val="24"/>
              <w:lang w:val="en-GB" w:eastAsia="ja-JP"/>
            </w:rPr>
            <w:tab/>
          </w:r>
          <w:r>
            <w:rPr>
              <w:noProof/>
            </w:rPr>
            <w:t>Društvo</w:t>
          </w:r>
          <w:r>
            <w:rPr>
              <w:noProof/>
            </w:rPr>
            <w:tab/>
          </w:r>
          <w:r>
            <w:rPr>
              <w:noProof/>
            </w:rPr>
            <w:fldChar w:fldCharType="begin"/>
          </w:r>
          <w:r>
            <w:rPr>
              <w:noProof/>
            </w:rPr>
            <w:instrText xml:space="preserve"> PAGEREF _Toc437390576 \h </w:instrText>
          </w:r>
          <w:r>
            <w:rPr>
              <w:noProof/>
            </w:rPr>
          </w:r>
          <w:r>
            <w:rPr>
              <w:noProof/>
            </w:rPr>
            <w:fldChar w:fldCharType="separate"/>
          </w:r>
          <w:r>
            <w:rPr>
              <w:noProof/>
            </w:rPr>
            <w:t>17</w:t>
          </w:r>
          <w:r>
            <w:rPr>
              <w:noProof/>
            </w:rPr>
            <w:fldChar w:fldCharType="end"/>
          </w:r>
        </w:p>
        <w:p w14:paraId="0D07ED3C"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2.1.1</w:t>
          </w:r>
          <w:r>
            <w:rPr>
              <w:rFonts w:asciiTheme="minorHAnsi" w:eastAsiaTheme="minorEastAsia" w:hAnsiTheme="minorHAnsi"/>
              <w:i w:val="0"/>
              <w:noProof/>
              <w:sz w:val="24"/>
              <w:szCs w:val="24"/>
              <w:lang w:val="en-GB" w:eastAsia="ja-JP"/>
            </w:rPr>
            <w:tab/>
          </w:r>
          <w:r>
            <w:rPr>
              <w:noProof/>
            </w:rPr>
            <w:t>Demografija</w:t>
          </w:r>
          <w:r>
            <w:rPr>
              <w:noProof/>
            </w:rPr>
            <w:tab/>
          </w:r>
          <w:r>
            <w:rPr>
              <w:noProof/>
            </w:rPr>
            <w:fldChar w:fldCharType="begin"/>
          </w:r>
          <w:r>
            <w:rPr>
              <w:noProof/>
            </w:rPr>
            <w:instrText xml:space="preserve"> PAGEREF _Toc437390577 \h </w:instrText>
          </w:r>
          <w:r>
            <w:rPr>
              <w:noProof/>
            </w:rPr>
          </w:r>
          <w:r>
            <w:rPr>
              <w:noProof/>
            </w:rPr>
            <w:fldChar w:fldCharType="separate"/>
          </w:r>
          <w:r>
            <w:rPr>
              <w:noProof/>
            </w:rPr>
            <w:t>17</w:t>
          </w:r>
          <w:r>
            <w:rPr>
              <w:noProof/>
            </w:rPr>
            <w:fldChar w:fldCharType="end"/>
          </w:r>
        </w:p>
        <w:p w14:paraId="0424D478"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2.1.2</w:t>
          </w:r>
          <w:r>
            <w:rPr>
              <w:rFonts w:asciiTheme="minorHAnsi" w:eastAsiaTheme="minorEastAsia" w:hAnsiTheme="minorHAnsi"/>
              <w:i w:val="0"/>
              <w:noProof/>
              <w:sz w:val="24"/>
              <w:szCs w:val="24"/>
              <w:lang w:val="en-GB" w:eastAsia="ja-JP"/>
            </w:rPr>
            <w:tab/>
          </w:r>
          <w:r>
            <w:rPr>
              <w:noProof/>
            </w:rPr>
            <w:t>Socijalna uključenost</w:t>
          </w:r>
          <w:r>
            <w:rPr>
              <w:noProof/>
            </w:rPr>
            <w:tab/>
          </w:r>
          <w:r>
            <w:rPr>
              <w:noProof/>
            </w:rPr>
            <w:fldChar w:fldCharType="begin"/>
          </w:r>
          <w:r>
            <w:rPr>
              <w:noProof/>
            </w:rPr>
            <w:instrText xml:space="preserve"> PAGEREF _Toc437390578 \h </w:instrText>
          </w:r>
          <w:r>
            <w:rPr>
              <w:noProof/>
            </w:rPr>
          </w:r>
          <w:r>
            <w:rPr>
              <w:noProof/>
            </w:rPr>
            <w:fldChar w:fldCharType="separate"/>
          </w:r>
          <w:r>
            <w:rPr>
              <w:noProof/>
            </w:rPr>
            <w:t>19</w:t>
          </w:r>
          <w:r>
            <w:rPr>
              <w:noProof/>
            </w:rPr>
            <w:fldChar w:fldCharType="end"/>
          </w:r>
        </w:p>
        <w:p w14:paraId="13F79F84"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2.1.3</w:t>
          </w:r>
          <w:r>
            <w:rPr>
              <w:rFonts w:asciiTheme="minorHAnsi" w:eastAsiaTheme="minorEastAsia" w:hAnsiTheme="minorHAnsi"/>
              <w:i w:val="0"/>
              <w:noProof/>
              <w:sz w:val="24"/>
              <w:szCs w:val="24"/>
              <w:lang w:val="en-GB" w:eastAsia="ja-JP"/>
            </w:rPr>
            <w:tab/>
          </w:r>
          <w:r>
            <w:rPr>
              <w:noProof/>
            </w:rPr>
            <w:t>Društvena i zdravstvena infrastruktura</w:t>
          </w:r>
          <w:r>
            <w:rPr>
              <w:noProof/>
            </w:rPr>
            <w:tab/>
          </w:r>
          <w:r>
            <w:rPr>
              <w:noProof/>
            </w:rPr>
            <w:fldChar w:fldCharType="begin"/>
          </w:r>
          <w:r>
            <w:rPr>
              <w:noProof/>
            </w:rPr>
            <w:instrText xml:space="preserve"> PAGEREF _Toc437390579 \h </w:instrText>
          </w:r>
          <w:r>
            <w:rPr>
              <w:noProof/>
            </w:rPr>
          </w:r>
          <w:r>
            <w:rPr>
              <w:noProof/>
            </w:rPr>
            <w:fldChar w:fldCharType="separate"/>
          </w:r>
          <w:r>
            <w:rPr>
              <w:noProof/>
            </w:rPr>
            <w:t>22</w:t>
          </w:r>
          <w:r>
            <w:rPr>
              <w:noProof/>
            </w:rPr>
            <w:fldChar w:fldCharType="end"/>
          </w:r>
        </w:p>
        <w:p w14:paraId="1DAF4CF8"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2.1.4</w:t>
          </w:r>
          <w:r>
            <w:rPr>
              <w:rFonts w:asciiTheme="minorHAnsi" w:eastAsiaTheme="minorEastAsia" w:hAnsiTheme="minorHAnsi"/>
              <w:i w:val="0"/>
              <w:noProof/>
              <w:sz w:val="24"/>
              <w:szCs w:val="24"/>
              <w:lang w:val="en-GB" w:eastAsia="ja-JP"/>
            </w:rPr>
            <w:tab/>
          </w:r>
          <w:r>
            <w:rPr>
              <w:noProof/>
            </w:rPr>
            <w:t>Odgoj i obrazovanje</w:t>
          </w:r>
          <w:r>
            <w:rPr>
              <w:noProof/>
            </w:rPr>
            <w:tab/>
          </w:r>
          <w:r>
            <w:rPr>
              <w:noProof/>
            </w:rPr>
            <w:fldChar w:fldCharType="begin"/>
          </w:r>
          <w:r>
            <w:rPr>
              <w:noProof/>
            </w:rPr>
            <w:instrText xml:space="preserve"> PAGEREF _Toc437390580 \h </w:instrText>
          </w:r>
          <w:r>
            <w:rPr>
              <w:noProof/>
            </w:rPr>
          </w:r>
          <w:r>
            <w:rPr>
              <w:noProof/>
            </w:rPr>
            <w:fldChar w:fldCharType="separate"/>
          </w:r>
          <w:r>
            <w:rPr>
              <w:noProof/>
            </w:rPr>
            <w:t>27</w:t>
          </w:r>
          <w:r>
            <w:rPr>
              <w:noProof/>
            </w:rPr>
            <w:fldChar w:fldCharType="end"/>
          </w:r>
        </w:p>
        <w:p w14:paraId="69287A8B"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2.2</w:t>
          </w:r>
          <w:r>
            <w:rPr>
              <w:rFonts w:asciiTheme="minorHAnsi" w:eastAsiaTheme="minorEastAsia" w:hAnsiTheme="minorHAnsi"/>
              <w:noProof/>
              <w:sz w:val="24"/>
              <w:szCs w:val="24"/>
              <w:lang w:val="en-GB" w:eastAsia="ja-JP"/>
            </w:rPr>
            <w:tab/>
          </w:r>
          <w:r>
            <w:rPr>
              <w:noProof/>
            </w:rPr>
            <w:t>Gospodarstvo</w:t>
          </w:r>
          <w:r>
            <w:rPr>
              <w:noProof/>
            </w:rPr>
            <w:tab/>
          </w:r>
          <w:r>
            <w:rPr>
              <w:noProof/>
            </w:rPr>
            <w:fldChar w:fldCharType="begin"/>
          </w:r>
          <w:r>
            <w:rPr>
              <w:noProof/>
            </w:rPr>
            <w:instrText xml:space="preserve"> PAGEREF _Toc437390581 \h </w:instrText>
          </w:r>
          <w:r>
            <w:rPr>
              <w:noProof/>
            </w:rPr>
          </w:r>
          <w:r>
            <w:rPr>
              <w:noProof/>
            </w:rPr>
            <w:fldChar w:fldCharType="separate"/>
          </w:r>
          <w:r>
            <w:rPr>
              <w:noProof/>
            </w:rPr>
            <w:t>33</w:t>
          </w:r>
          <w:r>
            <w:rPr>
              <w:noProof/>
            </w:rPr>
            <w:fldChar w:fldCharType="end"/>
          </w:r>
        </w:p>
        <w:p w14:paraId="50F20607"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2.2.1</w:t>
          </w:r>
          <w:r>
            <w:rPr>
              <w:rFonts w:asciiTheme="minorHAnsi" w:eastAsiaTheme="minorEastAsia" w:hAnsiTheme="minorHAnsi"/>
              <w:i w:val="0"/>
              <w:noProof/>
              <w:sz w:val="24"/>
              <w:szCs w:val="24"/>
              <w:lang w:val="en-GB" w:eastAsia="ja-JP"/>
            </w:rPr>
            <w:tab/>
          </w:r>
          <w:r>
            <w:rPr>
              <w:noProof/>
            </w:rPr>
            <w:t>Poslovni sektor VUPKA</w:t>
          </w:r>
          <w:r>
            <w:rPr>
              <w:noProof/>
            </w:rPr>
            <w:tab/>
          </w:r>
          <w:r>
            <w:rPr>
              <w:noProof/>
            </w:rPr>
            <w:fldChar w:fldCharType="begin"/>
          </w:r>
          <w:r>
            <w:rPr>
              <w:noProof/>
            </w:rPr>
            <w:instrText xml:space="preserve"> PAGEREF _Toc437390582 \h </w:instrText>
          </w:r>
          <w:r>
            <w:rPr>
              <w:noProof/>
            </w:rPr>
          </w:r>
          <w:r>
            <w:rPr>
              <w:noProof/>
            </w:rPr>
            <w:fldChar w:fldCharType="separate"/>
          </w:r>
          <w:r>
            <w:rPr>
              <w:noProof/>
            </w:rPr>
            <w:t>33</w:t>
          </w:r>
          <w:r>
            <w:rPr>
              <w:noProof/>
            </w:rPr>
            <w:fldChar w:fldCharType="end"/>
          </w:r>
        </w:p>
        <w:p w14:paraId="6FDE2B15"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2.2.2</w:t>
          </w:r>
          <w:r>
            <w:rPr>
              <w:rFonts w:asciiTheme="minorHAnsi" w:eastAsiaTheme="minorEastAsia" w:hAnsiTheme="minorHAnsi"/>
              <w:i w:val="0"/>
              <w:noProof/>
              <w:sz w:val="24"/>
              <w:szCs w:val="24"/>
              <w:lang w:val="en-GB" w:eastAsia="ja-JP"/>
            </w:rPr>
            <w:tab/>
          </w:r>
          <w:r>
            <w:rPr>
              <w:noProof/>
            </w:rPr>
            <w:t>Tržište rada</w:t>
          </w:r>
          <w:r>
            <w:rPr>
              <w:noProof/>
            </w:rPr>
            <w:tab/>
          </w:r>
          <w:r>
            <w:rPr>
              <w:noProof/>
            </w:rPr>
            <w:fldChar w:fldCharType="begin"/>
          </w:r>
          <w:r>
            <w:rPr>
              <w:noProof/>
            </w:rPr>
            <w:instrText xml:space="preserve"> PAGEREF _Toc437390583 \h </w:instrText>
          </w:r>
          <w:r>
            <w:rPr>
              <w:noProof/>
            </w:rPr>
          </w:r>
          <w:r>
            <w:rPr>
              <w:noProof/>
            </w:rPr>
            <w:fldChar w:fldCharType="separate"/>
          </w:r>
          <w:r>
            <w:rPr>
              <w:noProof/>
            </w:rPr>
            <w:t>37</w:t>
          </w:r>
          <w:r>
            <w:rPr>
              <w:noProof/>
            </w:rPr>
            <w:fldChar w:fldCharType="end"/>
          </w:r>
        </w:p>
        <w:p w14:paraId="3927BE17"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2.2.3</w:t>
          </w:r>
          <w:r>
            <w:rPr>
              <w:rFonts w:asciiTheme="minorHAnsi" w:eastAsiaTheme="minorEastAsia" w:hAnsiTheme="minorHAnsi"/>
              <w:i w:val="0"/>
              <w:noProof/>
              <w:sz w:val="24"/>
              <w:szCs w:val="24"/>
              <w:lang w:val="en-GB" w:eastAsia="ja-JP"/>
            </w:rPr>
            <w:tab/>
          </w:r>
          <w:r>
            <w:rPr>
              <w:noProof/>
            </w:rPr>
            <w:t>Poduzetnička potporna infrastruktura</w:t>
          </w:r>
          <w:r>
            <w:rPr>
              <w:noProof/>
            </w:rPr>
            <w:tab/>
          </w:r>
          <w:r>
            <w:rPr>
              <w:noProof/>
            </w:rPr>
            <w:fldChar w:fldCharType="begin"/>
          </w:r>
          <w:r>
            <w:rPr>
              <w:noProof/>
            </w:rPr>
            <w:instrText xml:space="preserve"> PAGEREF _Toc437390584 \h </w:instrText>
          </w:r>
          <w:r>
            <w:rPr>
              <w:noProof/>
            </w:rPr>
          </w:r>
          <w:r>
            <w:rPr>
              <w:noProof/>
            </w:rPr>
            <w:fldChar w:fldCharType="separate"/>
          </w:r>
          <w:r>
            <w:rPr>
              <w:noProof/>
            </w:rPr>
            <w:t>38</w:t>
          </w:r>
          <w:r>
            <w:rPr>
              <w:noProof/>
            </w:rPr>
            <w:fldChar w:fldCharType="end"/>
          </w:r>
        </w:p>
        <w:p w14:paraId="44B43CC4"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2.2.4</w:t>
          </w:r>
          <w:r>
            <w:rPr>
              <w:rFonts w:asciiTheme="minorHAnsi" w:eastAsiaTheme="minorEastAsia" w:hAnsiTheme="minorHAnsi"/>
              <w:i w:val="0"/>
              <w:noProof/>
              <w:sz w:val="24"/>
              <w:szCs w:val="24"/>
              <w:lang w:val="en-GB" w:eastAsia="ja-JP"/>
            </w:rPr>
            <w:tab/>
          </w:r>
          <w:r>
            <w:rPr>
              <w:noProof/>
            </w:rPr>
            <w:t>Socijalno poduzetništvo</w:t>
          </w:r>
          <w:r>
            <w:rPr>
              <w:noProof/>
            </w:rPr>
            <w:tab/>
          </w:r>
          <w:r>
            <w:rPr>
              <w:noProof/>
            </w:rPr>
            <w:fldChar w:fldCharType="begin"/>
          </w:r>
          <w:r>
            <w:rPr>
              <w:noProof/>
            </w:rPr>
            <w:instrText xml:space="preserve"> PAGEREF _Toc437390585 \h </w:instrText>
          </w:r>
          <w:r>
            <w:rPr>
              <w:noProof/>
            </w:rPr>
          </w:r>
          <w:r>
            <w:rPr>
              <w:noProof/>
            </w:rPr>
            <w:fldChar w:fldCharType="separate"/>
          </w:r>
          <w:r>
            <w:rPr>
              <w:noProof/>
            </w:rPr>
            <w:t>40</w:t>
          </w:r>
          <w:r>
            <w:rPr>
              <w:noProof/>
            </w:rPr>
            <w:fldChar w:fldCharType="end"/>
          </w:r>
        </w:p>
        <w:p w14:paraId="518BFED3"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2.2.5</w:t>
          </w:r>
          <w:r>
            <w:rPr>
              <w:rFonts w:asciiTheme="minorHAnsi" w:eastAsiaTheme="minorEastAsia" w:hAnsiTheme="minorHAnsi"/>
              <w:i w:val="0"/>
              <w:noProof/>
              <w:sz w:val="24"/>
              <w:szCs w:val="24"/>
              <w:lang w:val="en-GB" w:eastAsia="ja-JP"/>
            </w:rPr>
            <w:tab/>
          </w:r>
          <w:r>
            <w:rPr>
              <w:noProof/>
            </w:rPr>
            <w:t>Turizam</w:t>
          </w:r>
          <w:r>
            <w:rPr>
              <w:noProof/>
            </w:rPr>
            <w:tab/>
          </w:r>
          <w:r>
            <w:rPr>
              <w:noProof/>
            </w:rPr>
            <w:fldChar w:fldCharType="begin"/>
          </w:r>
          <w:r>
            <w:rPr>
              <w:noProof/>
            </w:rPr>
            <w:instrText xml:space="preserve"> PAGEREF _Toc437390586 \h </w:instrText>
          </w:r>
          <w:r>
            <w:rPr>
              <w:noProof/>
            </w:rPr>
          </w:r>
          <w:r>
            <w:rPr>
              <w:noProof/>
            </w:rPr>
            <w:fldChar w:fldCharType="separate"/>
          </w:r>
          <w:r>
            <w:rPr>
              <w:noProof/>
            </w:rPr>
            <w:t>40</w:t>
          </w:r>
          <w:r>
            <w:rPr>
              <w:noProof/>
            </w:rPr>
            <w:fldChar w:fldCharType="end"/>
          </w:r>
        </w:p>
        <w:p w14:paraId="02BBB368"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2.3</w:t>
          </w:r>
          <w:r>
            <w:rPr>
              <w:rFonts w:asciiTheme="minorHAnsi" w:eastAsiaTheme="minorEastAsia" w:hAnsiTheme="minorHAnsi"/>
              <w:noProof/>
              <w:sz w:val="24"/>
              <w:szCs w:val="24"/>
              <w:lang w:val="en-GB" w:eastAsia="ja-JP"/>
            </w:rPr>
            <w:tab/>
          </w:r>
          <w:r>
            <w:rPr>
              <w:noProof/>
            </w:rPr>
            <w:t>Urbano okruženje</w:t>
          </w:r>
          <w:r>
            <w:rPr>
              <w:noProof/>
            </w:rPr>
            <w:tab/>
          </w:r>
          <w:r>
            <w:rPr>
              <w:noProof/>
            </w:rPr>
            <w:fldChar w:fldCharType="begin"/>
          </w:r>
          <w:r>
            <w:rPr>
              <w:noProof/>
            </w:rPr>
            <w:instrText xml:space="preserve"> PAGEREF _Toc437390587 \h </w:instrText>
          </w:r>
          <w:r>
            <w:rPr>
              <w:noProof/>
            </w:rPr>
          </w:r>
          <w:r>
            <w:rPr>
              <w:noProof/>
            </w:rPr>
            <w:fldChar w:fldCharType="separate"/>
          </w:r>
          <w:r>
            <w:rPr>
              <w:noProof/>
            </w:rPr>
            <w:t>43</w:t>
          </w:r>
          <w:r>
            <w:rPr>
              <w:noProof/>
            </w:rPr>
            <w:fldChar w:fldCharType="end"/>
          </w:r>
        </w:p>
        <w:p w14:paraId="75DE4C95"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2.3.1</w:t>
          </w:r>
          <w:r>
            <w:rPr>
              <w:rFonts w:asciiTheme="minorHAnsi" w:eastAsiaTheme="minorEastAsia" w:hAnsiTheme="minorHAnsi"/>
              <w:i w:val="0"/>
              <w:noProof/>
              <w:sz w:val="24"/>
              <w:szCs w:val="24"/>
              <w:lang w:val="en-GB" w:eastAsia="ja-JP"/>
            </w:rPr>
            <w:tab/>
          </w:r>
          <w:r>
            <w:rPr>
              <w:noProof/>
            </w:rPr>
            <w:t>Kvaliteta okoliša i izloženost ekološkim rizicima</w:t>
          </w:r>
          <w:r>
            <w:rPr>
              <w:noProof/>
            </w:rPr>
            <w:tab/>
          </w:r>
          <w:r>
            <w:rPr>
              <w:noProof/>
            </w:rPr>
            <w:fldChar w:fldCharType="begin"/>
          </w:r>
          <w:r>
            <w:rPr>
              <w:noProof/>
            </w:rPr>
            <w:instrText xml:space="preserve"> PAGEREF _Toc437390588 \h </w:instrText>
          </w:r>
          <w:r>
            <w:rPr>
              <w:noProof/>
            </w:rPr>
          </w:r>
          <w:r>
            <w:rPr>
              <w:noProof/>
            </w:rPr>
            <w:fldChar w:fldCharType="separate"/>
          </w:r>
          <w:r>
            <w:rPr>
              <w:noProof/>
            </w:rPr>
            <w:t>43</w:t>
          </w:r>
          <w:r>
            <w:rPr>
              <w:noProof/>
            </w:rPr>
            <w:fldChar w:fldCharType="end"/>
          </w:r>
        </w:p>
        <w:p w14:paraId="6C2CEBFC"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2.3.2</w:t>
          </w:r>
          <w:r>
            <w:rPr>
              <w:rFonts w:asciiTheme="minorHAnsi" w:eastAsiaTheme="minorEastAsia" w:hAnsiTheme="minorHAnsi"/>
              <w:i w:val="0"/>
              <w:noProof/>
              <w:sz w:val="24"/>
              <w:szCs w:val="24"/>
              <w:lang w:val="en-GB" w:eastAsia="ja-JP"/>
            </w:rPr>
            <w:tab/>
          </w:r>
          <w:r>
            <w:rPr>
              <w:noProof/>
            </w:rPr>
            <w:t>Primarna infrastruktura</w:t>
          </w:r>
          <w:r>
            <w:rPr>
              <w:noProof/>
            </w:rPr>
            <w:tab/>
          </w:r>
          <w:r>
            <w:rPr>
              <w:noProof/>
            </w:rPr>
            <w:fldChar w:fldCharType="begin"/>
          </w:r>
          <w:r>
            <w:rPr>
              <w:noProof/>
            </w:rPr>
            <w:instrText xml:space="preserve"> PAGEREF _Toc437390589 \h </w:instrText>
          </w:r>
          <w:r>
            <w:rPr>
              <w:noProof/>
            </w:rPr>
          </w:r>
          <w:r>
            <w:rPr>
              <w:noProof/>
            </w:rPr>
            <w:fldChar w:fldCharType="separate"/>
          </w:r>
          <w:r>
            <w:rPr>
              <w:noProof/>
            </w:rPr>
            <w:t>48</w:t>
          </w:r>
          <w:r>
            <w:rPr>
              <w:noProof/>
            </w:rPr>
            <w:fldChar w:fldCharType="end"/>
          </w:r>
        </w:p>
        <w:p w14:paraId="12661D0F"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2.3.3</w:t>
          </w:r>
          <w:r>
            <w:rPr>
              <w:rFonts w:asciiTheme="minorHAnsi" w:eastAsiaTheme="minorEastAsia" w:hAnsiTheme="minorHAnsi"/>
              <w:i w:val="0"/>
              <w:noProof/>
              <w:sz w:val="24"/>
              <w:szCs w:val="24"/>
              <w:lang w:val="en-GB" w:eastAsia="ja-JP"/>
            </w:rPr>
            <w:tab/>
          </w:r>
          <w:r>
            <w:rPr>
              <w:noProof/>
            </w:rPr>
            <w:t>Mobilnost i povezanost</w:t>
          </w:r>
          <w:r>
            <w:rPr>
              <w:noProof/>
            </w:rPr>
            <w:tab/>
          </w:r>
          <w:r>
            <w:rPr>
              <w:noProof/>
            </w:rPr>
            <w:fldChar w:fldCharType="begin"/>
          </w:r>
          <w:r>
            <w:rPr>
              <w:noProof/>
            </w:rPr>
            <w:instrText xml:space="preserve"> PAGEREF _Toc437390590 \h </w:instrText>
          </w:r>
          <w:r>
            <w:rPr>
              <w:noProof/>
            </w:rPr>
          </w:r>
          <w:r>
            <w:rPr>
              <w:noProof/>
            </w:rPr>
            <w:fldChar w:fldCharType="separate"/>
          </w:r>
          <w:r>
            <w:rPr>
              <w:noProof/>
            </w:rPr>
            <w:t>51</w:t>
          </w:r>
          <w:r>
            <w:rPr>
              <w:noProof/>
            </w:rPr>
            <w:fldChar w:fldCharType="end"/>
          </w:r>
        </w:p>
        <w:p w14:paraId="72757B53" w14:textId="77777777" w:rsidR="00EE2BB6" w:rsidRDefault="00EE2BB6">
          <w:pPr>
            <w:pStyle w:val="TOC1"/>
            <w:tabs>
              <w:tab w:val="left" w:pos="362"/>
              <w:tab w:val="right" w:leader="dot" w:pos="9118"/>
            </w:tabs>
            <w:rPr>
              <w:rFonts w:asciiTheme="minorHAnsi" w:eastAsiaTheme="minorEastAsia" w:hAnsiTheme="minorHAnsi"/>
              <w:b w:val="0"/>
              <w:noProof/>
              <w:color w:val="auto"/>
              <w:lang w:val="en-GB" w:eastAsia="ja-JP"/>
            </w:rPr>
          </w:pPr>
          <w:r>
            <w:rPr>
              <w:noProof/>
            </w:rPr>
            <w:t>3</w:t>
          </w:r>
          <w:r>
            <w:rPr>
              <w:rFonts w:asciiTheme="minorHAnsi" w:eastAsiaTheme="minorEastAsia" w:hAnsiTheme="minorHAnsi"/>
              <w:b w:val="0"/>
              <w:noProof/>
              <w:color w:val="auto"/>
              <w:lang w:val="en-GB" w:eastAsia="ja-JP"/>
            </w:rPr>
            <w:tab/>
          </w:r>
          <w:r>
            <w:rPr>
              <w:noProof/>
            </w:rPr>
            <w:t>PREPOZNAVANJE RAZVOJNIH POTREBA I POTENCIJALA</w:t>
          </w:r>
          <w:r>
            <w:rPr>
              <w:noProof/>
            </w:rPr>
            <w:tab/>
          </w:r>
          <w:r>
            <w:rPr>
              <w:noProof/>
            </w:rPr>
            <w:fldChar w:fldCharType="begin"/>
          </w:r>
          <w:r>
            <w:rPr>
              <w:noProof/>
            </w:rPr>
            <w:instrText xml:space="preserve"> PAGEREF _Toc437390591 \h </w:instrText>
          </w:r>
          <w:r>
            <w:rPr>
              <w:noProof/>
            </w:rPr>
          </w:r>
          <w:r>
            <w:rPr>
              <w:noProof/>
            </w:rPr>
            <w:fldChar w:fldCharType="separate"/>
          </w:r>
          <w:r>
            <w:rPr>
              <w:noProof/>
            </w:rPr>
            <w:t>55</w:t>
          </w:r>
          <w:r>
            <w:rPr>
              <w:noProof/>
            </w:rPr>
            <w:fldChar w:fldCharType="end"/>
          </w:r>
        </w:p>
        <w:p w14:paraId="200905CE"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3.1</w:t>
          </w:r>
          <w:r>
            <w:rPr>
              <w:rFonts w:asciiTheme="minorHAnsi" w:eastAsiaTheme="minorEastAsia" w:hAnsiTheme="minorHAnsi"/>
              <w:noProof/>
              <w:sz w:val="24"/>
              <w:szCs w:val="24"/>
              <w:lang w:val="en-GB" w:eastAsia="ja-JP"/>
            </w:rPr>
            <w:tab/>
          </w:r>
          <w:r>
            <w:rPr>
              <w:noProof/>
            </w:rPr>
            <w:t>Uvod</w:t>
          </w:r>
          <w:r>
            <w:rPr>
              <w:noProof/>
            </w:rPr>
            <w:tab/>
          </w:r>
          <w:r>
            <w:rPr>
              <w:noProof/>
            </w:rPr>
            <w:fldChar w:fldCharType="begin"/>
          </w:r>
          <w:r>
            <w:rPr>
              <w:noProof/>
            </w:rPr>
            <w:instrText xml:space="preserve"> PAGEREF _Toc437390592 \h </w:instrText>
          </w:r>
          <w:r>
            <w:rPr>
              <w:noProof/>
            </w:rPr>
          </w:r>
          <w:r>
            <w:rPr>
              <w:noProof/>
            </w:rPr>
            <w:fldChar w:fldCharType="separate"/>
          </w:r>
          <w:r>
            <w:rPr>
              <w:noProof/>
            </w:rPr>
            <w:t>55</w:t>
          </w:r>
          <w:r>
            <w:rPr>
              <w:noProof/>
            </w:rPr>
            <w:fldChar w:fldCharType="end"/>
          </w:r>
        </w:p>
        <w:p w14:paraId="153083FC"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3.2</w:t>
          </w:r>
          <w:r>
            <w:rPr>
              <w:rFonts w:asciiTheme="minorHAnsi" w:eastAsiaTheme="minorEastAsia" w:hAnsiTheme="minorHAnsi"/>
              <w:noProof/>
              <w:sz w:val="24"/>
              <w:szCs w:val="24"/>
              <w:lang w:val="en-GB" w:eastAsia="ja-JP"/>
            </w:rPr>
            <w:tab/>
          </w:r>
          <w:r>
            <w:rPr>
              <w:noProof/>
            </w:rPr>
            <w:t>SWOT Društvo</w:t>
          </w:r>
          <w:r>
            <w:rPr>
              <w:noProof/>
            </w:rPr>
            <w:tab/>
          </w:r>
          <w:r>
            <w:rPr>
              <w:noProof/>
            </w:rPr>
            <w:fldChar w:fldCharType="begin"/>
          </w:r>
          <w:r>
            <w:rPr>
              <w:noProof/>
            </w:rPr>
            <w:instrText xml:space="preserve"> PAGEREF _Toc437390593 \h </w:instrText>
          </w:r>
          <w:r>
            <w:rPr>
              <w:noProof/>
            </w:rPr>
          </w:r>
          <w:r>
            <w:rPr>
              <w:noProof/>
            </w:rPr>
            <w:fldChar w:fldCharType="separate"/>
          </w:r>
          <w:r>
            <w:rPr>
              <w:noProof/>
            </w:rPr>
            <w:t>56</w:t>
          </w:r>
          <w:r>
            <w:rPr>
              <w:noProof/>
            </w:rPr>
            <w:fldChar w:fldCharType="end"/>
          </w:r>
        </w:p>
        <w:p w14:paraId="01440D5A"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3.3</w:t>
          </w:r>
          <w:r>
            <w:rPr>
              <w:rFonts w:asciiTheme="minorHAnsi" w:eastAsiaTheme="minorEastAsia" w:hAnsiTheme="minorHAnsi"/>
              <w:noProof/>
              <w:sz w:val="24"/>
              <w:szCs w:val="24"/>
              <w:lang w:val="en-GB" w:eastAsia="ja-JP"/>
            </w:rPr>
            <w:tab/>
          </w:r>
          <w:r>
            <w:rPr>
              <w:noProof/>
            </w:rPr>
            <w:t>SWOT Gospodarstvo</w:t>
          </w:r>
          <w:r>
            <w:rPr>
              <w:noProof/>
            </w:rPr>
            <w:tab/>
          </w:r>
          <w:r>
            <w:rPr>
              <w:noProof/>
            </w:rPr>
            <w:fldChar w:fldCharType="begin"/>
          </w:r>
          <w:r>
            <w:rPr>
              <w:noProof/>
            </w:rPr>
            <w:instrText xml:space="preserve"> PAGEREF _Toc437390594 \h </w:instrText>
          </w:r>
          <w:r>
            <w:rPr>
              <w:noProof/>
            </w:rPr>
          </w:r>
          <w:r>
            <w:rPr>
              <w:noProof/>
            </w:rPr>
            <w:fldChar w:fldCharType="separate"/>
          </w:r>
          <w:r>
            <w:rPr>
              <w:noProof/>
            </w:rPr>
            <w:t>58</w:t>
          </w:r>
          <w:r>
            <w:rPr>
              <w:noProof/>
            </w:rPr>
            <w:fldChar w:fldCharType="end"/>
          </w:r>
        </w:p>
        <w:p w14:paraId="2AC0EF04"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3.4</w:t>
          </w:r>
          <w:r>
            <w:rPr>
              <w:rFonts w:asciiTheme="minorHAnsi" w:eastAsiaTheme="minorEastAsia" w:hAnsiTheme="minorHAnsi"/>
              <w:noProof/>
              <w:sz w:val="24"/>
              <w:szCs w:val="24"/>
              <w:lang w:val="en-GB" w:eastAsia="ja-JP"/>
            </w:rPr>
            <w:tab/>
          </w:r>
          <w:r>
            <w:rPr>
              <w:noProof/>
            </w:rPr>
            <w:t>SWOT Urbano okruženje</w:t>
          </w:r>
          <w:r>
            <w:rPr>
              <w:noProof/>
            </w:rPr>
            <w:tab/>
          </w:r>
          <w:r>
            <w:rPr>
              <w:noProof/>
            </w:rPr>
            <w:fldChar w:fldCharType="begin"/>
          </w:r>
          <w:r>
            <w:rPr>
              <w:noProof/>
            </w:rPr>
            <w:instrText xml:space="preserve"> PAGEREF _Toc437390595 \h </w:instrText>
          </w:r>
          <w:r>
            <w:rPr>
              <w:noProof/>
            </w:rPr>
          </w:r>
          <w:r>
            <w:rPr>
              <w:noProof/>
            </w:rPr>
            <w:fldChar w:fldCharType="separate"/>
          </w:r>
          <w:r>
            <w:rPr>
              <w:noProof/>
            </w:rPr>
            <w:t>60</w:t>
          </w:r>
          <w:r>
            <w:rPr>
              <w:noProof/>
            </w:rPr>
            <w:fldChar w:fldCharType="end"/>
          </w:r>
        </w:p>
        <w:p w14:paraId="469E4492"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3.5</w:t>
          </w:r>
          <w:r>
            <w:rPr>
              <w:rFonts w:asciiTheme="minorHAnsi" w:eastAsiaTheme="minorEastAsia" w:hAnsiTheme="minorHAnsi"/>
              <w:noProof/>
              <w:sz w:val="24"/>
              <w:szCs w:val="24"/>
              <w:lang w:val="en-GB" w:eastAsia="ja-JP"/>
            </w:rPr>
            <w:tab/>
          </w:r>
          <w:r>
            <w:rPr>
              <w:noProof/>
            </w:rPr>
            <w:t>SWOT analiza i ključna razvojna pitanja</w:t>
          </w:r>
          <w:r>
            <w:rPr>
              <w:noProof/>
            </w:rPr>
            <w:tab/>
          </w:r>
          <w:r>
            <w:rPr>
              <w:noProof/>
            </w:rPr>
            <w:fldChar w:fldCharType="begin"/>
          </w:r>
          <w:r>
            <w:rPr>
              <w:noProof/>
            </w:rPr>
            <w:instrText xml:space="preserve"> PAGEREF _Toc437390596 \h </w:instrText>
          </w:r>
          <w:r>
            <w:rPr>
              <w:noProof/>
            </w:rPr>
          </w:r>
          <w:r>
            <w:rPr>
              <w:noProof/>
            </w:rPr>
            <w:fldChar w:fldCharType="separate"/>
          </w:r>
          <w:r>
            <w:rPr>
              <w:noProof/>
            </w:rPr>
            <w:t>62</w:t>
          </w:r>
          <w:r>
            <w:rPr>
              <w:noProof/>
            </w:rPr>
            <w:fldChar w:fldCharType="end"/>
          </w:r>
        </w:p>
        <w:p w14:paraId="40B96B65" w14:textId="77777777" w:rsidR="00EE2BB6" w:rsidRDefault="00EE2BB6">
          <w:pPr>
            <w:pStyle w:val="TOC1"/>
            <w:tabs>
              <w:tab w:val="left" w:pos="362"/>
              <w:tab w:val="right" w:leader="dot" w:pos="9118"/>
            </w:tabs>
            <w:rPr>
              <w:rFonts w:asciiTheme="minorHAnsi" w:eastAsiaTheme="minorEastAsia" w:hAnsiTheme="minorHAnsi"/>
              <w:b w:val="0"/>
              <w:noProof/>
              <w:color w:val="auto"/>
              <w:lang w:val="en-GB" w:eastAsia="ja-JP"/>
            </w:rPr>
          </w:pPr>
          <w:r>
            <w:rPr>
              <w:noProof/>
            </w:rPr>
            <w:t>4</w:t>
          </w:r>
          <w:r>
            <w:rPr>
              <w:rFonts w:asciiTheme="minorHAnsi" w:eastAsiaTheme="minorEastAsia" w:hAnsiTheme="minorHAnsi"/>
              <w:b w:val="0"/>
              <w:noProof/>
              <w:color w:val="auto"/>
              <w:lang w:val="en-GB" w:eastAsia="ja-JP"/>
            </w:rPr>
            <w:tab/>
          </w:r>
          <w:r>
            <w:rPr>
              <w:noProof/>
            </w:rPr>
            <w:t>STRATEŠKI OKVIR</w:t>
          </w:r>
          <w:r>
            <w:rPr>
              <w:noProof/>
            </w:rPr>
            <w:tab/>
          </w:r>
          <w:r>
            <w:rPr>
              <w:noProof/>
            </w:rPr>
            <w:fldChar w:fldCharType="begin"/>
          </w:r>
          <w:r>
            <w:rPr>
              <w:noProof/>
            </w:rPr>
            <w:instrText xml:space="preserve"> PAGEREF _Toc437390597 \h </w:instrText>
          </w:r>
          <w:r>
            <w:rPr>
              <w:noProof/>
            </w:rPr>
          </w:r>
          <w:r>
            <w:rPr>
              <w:noProof/>
            </w:rPr>
            <w:fldChar w:fldCharType="separate"/>
          </w:r>
          <w:r>
            <w:rPr>
              <w:noProof/>
            </w:rPr>
            <w:t>64</w:t>
          </w:r>
          <w:r>
            <w:rPr>
              <w:noProof/>
            </w:rPr>
            <w:fldChar w:fldCharType="end"/>
          </w:r>
        </w:p>
        <w:p w14:paraId="2459D577"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4.1</w:t>
          </w:r>
          <w:r>
            <w:rPr>
              <w:rFonts w:asciiTheme="minorHAnsi" w:eastAsiaTheme="minorEastAsia" w:hAnsiTheme="minorHAnsi"/>
              <w:noProof/>
              <w:sz w:val="24"/>
              <w:szCs w:val="24"/>
              <w:lang w:val="en-GB" w:eastAsia="ja-JP"/>
            </w:rPr>
            <w:tab/>
          </w:r>
          <w:r>
            <w:rPr>
              <w:noProof/>
            </w:rPr>
            <w:t>Konceptualizacija strateškog okvira</w:t>
          </w:r>
          <w:r>
            <w:rPr>
              <w:noProof/>
            </w:rPr>
            <w:tab/>
          </w:r>
          <w:r>
            <w:rPr>
              <w:noProof/>
            </w:rPr>
            <w:fldChar w:fldCharType="begin"/>
          </w:r>
          <w:r>
            <w:rPr>
              <w:noProof/>
            </w:rPr>
            <w:instrText xml:space="preserve"> PAGEREF _Toc437390598 \h </w:instrText>
          </w:r>
          <w:r>
            <w:rPr>
              <w:noProof/>
            </w:rPr>
          </w:r>
          <w:r>
            <w:rPr>
              <w:noProof/>
            </w:rPr>
            <w:fldChar w:fldCharType="separate"/>
          </w:r>
          <w:r>
            <w:rPr>
              <w:noProof/>
            </w:rPr>
            <w:t>64</w:t>
          </w:r>
          <w:r>
            <w:rPr>
              <w:noProof/>
            </w:rPr>
            <w:fldChar w:fldCharType="end"/>
          </w:r>
        </w:p>
        <w:p w14:paraId="255EEC8E"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4.2</w:t>
          </w:r>
          <w:r>
            <w:rPr>
              <w:rFonts w:asciiTheme="minorHAnsi" w:eastAsiaTheme="minorEastAsia" w:hAnsiTheme="minorHAnsi"/>
              <w:noProof/>
              <w:sz w:val="24"/>
              <w:szCs w:val="24"/>
              <w:lang w:val="en-GB" w:eastAsia="ja-JP"/>
            </w:rPr>
            <w:tab/>
          </w:r>
          <w:r>
            <w:rPr>
              <w:noProof/>
            </w:rPr>
            <w:t>Vizija razvoja SRVUPKA</w:t>
          </w:r>
          <w:r>
            <w:rPr>
              <w:noProof/>
            </w:rPr>
            <w:tab/>
          </w:r>
          <w:r>
            <w:rPr>
              <w:noProof/>
            </w:rPr>
            <w:fldChar w:fldCharType="begin"/>
          </w:r>
          <w:r>
            <w:rPr>
              <w:noProof/>
            </w:rPr>
            <w:instrText xml:space="preserve"> PAGEREF _Toc437390599 \h </w:instrText>
          </w:r>
          <w:r>
            <w:rPr>
              <w:noProof/>
            </w:rPr>
          </w:r>
          <w:r>
            <w:rPr>
              <w:noProof/>
            </w:rPr>
            <w:fldChar w:fldCharType="separate"/>
          </w:r>
          <w:r>
            <w:rPr>
              <w:noProof/>
            </w:rPr>
            <w:t>69</w:t>
          </w:r>
          <w:r>
            <w:rPr>
              <w:noProof/>
            </w:rPr>
            <w:fldChar w:fldCharType="end"/>
          </w:r>
        </w:p>
        <w:p w14:paraId="45A5D183"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4.3</w:t>
          </w:r>
          <w:r>
            <w:rPr>
              <w:rFonts w:asciiTheme="minorHAnsi" w:eastAsiaTheme="minorEastAsia" w:hAnsiTheme="minorHAnsi"/>
              <w:noProof/>
              <w:sz w:val="24"/>
              <w:szCs w:val="24"/>
              <w:lang w:val="en-GB" w:eastAsia="ja-JP"/>
            </w:rPr>
            <w:tab/>
          </w:r>
          <w:r>
            <w:rPr>
              <w:noProof/>
            </w:rPr>
            <w:t>Strategija razvoja SRVUPKA - Specifični Ciljevi</w:t>
          </w:r>
          <w:r>
            <w:rPr>
              <w:noProof/>
            </w:rPr>
            <w:tab/>
          </w:r>
          <w:r>
            <w:rPr>
              <w:noProof/>
            </w:rPr>
            <w:fldChar w:fldCharType="begin"/>
          </w:r>
          <w:r>
            <w:rPr>
              <w:noProof/>
            </w:rPr>
            <w:instrText xml:space="preserve"> PAGEREF _Toc437390600 \h </w:instrText>
          </w:r>
          <w:r>
            <w:rPr>
              <w:noProof/>
            </w:rPr>
          </w:r>
          <w:r>
            <w:rPr>
              <w:noProof/>
            </w:rPr>
            <w:fldChar w:fldCharType="separate"/>
          </w:r>
          <w:r>
            <w:rPr>
              <w:noProof/>
            </w:rPr>
            <w:t>69</w:t>
          </w:r>
          <w:r>
            <w:rPr>
              <w:noProof/>
            </w:rPr>
            <w:fldChar w:fldCharType="end"/>
          </w:r>
        </w:p>
        <w:p w14:paraId="056364D6"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4.4</w:t>
          </w:r>
          <w:r>
            <w:rPr>
              <w:rFonts w:asciiTheme="minorHAnsi" w:eastAsiaTheme="minorEastAsia" w:hAnsiTheme="minorHAnsi"/>
              <w:noProof/>
              <w:sz w:val="24"/>
              <w:szCs w:val="24"/>
              <w:lang w:val="en-GB" w:eastAsia="ja-JP"/>
            </w:rPr>
            <w:tab/>
          </w:r>
          <w:r>
            <w:rPr>
              <w:noProof/>
            </w:rPr>
            <w:t>Razvojni prioriteti i mjere</w:t>
          </w:r>
          <w:r>
            <w:rPr>
              <w:noProof/>
            </w:rPr>
            <w:tab/>
          </w:r>
          <w:r>
            <w:rPr>
              <w:noProof/>
            </w:rPr>
            <w:fldChar w:fldCharType="begin"/>
          </w:r>
          <w:r>
            <w:rPr>
              <w:noProof/>
            </w:rPr>
            <w:instrText xml:space="preserve"> PAGEREF _Toc437390601 \h </w:instrText>
          </w:r>
          <w:r>
            <w:rPr>
              <w:noProof/>
            </w:rPr>
          </w:r>
          <w:r>
            <w:rPr>
              <w:noProof/>
            </w:rPr>
            <w:fldChar w:fldCharType="separate"/>
          </w:r>
          <w:r>
            <w:rPr>
              <w:noProof/>
            </w:rPr>
            <w:t>75</w:t>
          </w:r>
          <w:r>
            <w:rPr>
              <w:noProof/>
            </w:rPr>
            <w:fldChar w:fldCharType="end"/>
          </w:r>
        </w:p>
        <w:p w14:paraId="51201BD7" w14:textId="77777777" w:rsidR="00EE2BB6" w:rsidRDefault="00EE2BB6">
          <w:pPr>
            <w:pStyle w:val="TOC1"/>
            <w:tabs>
              <w:tab w:val="left" w:pos="362"/>
              <w:tab w:val="right" w:leader="dot" w:pos="9118"/>
            </w:tabs>
            <w:rPr>
              <w:rFonts w:asciiTheme="minorHAnsi" w:eastAsiaTheme="minorEastAsia" w:hAnsiTheme="minorHAnsi"/>
              <w:b w:val="0"/>
              <w:noProof/>
              <w:color w:val="auto"/>
              <w:lang w:val="en-GB" w:eastAsia="ja-JP"/>
            </w:rPr>
          </w:pPr>
          <w:r>
            <w:rPr>
              <w:noProof/>
            </w:rPr>
            <w:t>5</w:t>
          </w:r>
          <w:r>
            <w:rPr>
              <w:rFonts w:asciiTheme="minorHAnsi" w:eastAsiaTheme="minorEastAsia" w:hAnsiTheme="minorHAnsi"/>
              <w:b w:val="0"/>
              <w:noProof/>
              <w:color w:val="auto"/>
              <w:lang w:val="en-GB" w:eastAsia="ja-JP"/>
            </w:rPr>
            <w:tab/>
          </w:r>
          <w:r>
            <w:rPr>
              <w:noProof/>
            </w:rPr>
            <w:t>PROVEDBA</w:t>
          </w:r>
          <w:r>
            <w:rPr>
              <w:noProof/>
            </w:rPr>
            <w:tab/>
          </w:r>
          <w:r>
            <w:rPr>
              <w:noProof/>
            </w:rPr>
            <w:fldChar w:fldCharType="begin"/>
          </w:r>
          <w:r>
            <w:rPr>
              <w:noProof/>
            </w:rPr>
            <w:instrText xml:space="preserve"> PAGEREF _Toc437390602 \h </w:instrText>
          </w:r>
          <w:r>
            <w:rPr>
              <w:noProof/>
            </w:rPr>
          </w:r>
          <w:r>
            <w:rPr>
              <w:noProof/>
            </w:rPr>
            <w:fldChar w:fldCharType="separate"/>
          </w:r>
          <w:r>
            <w:rPr>
              <w:noProof/>
            </w:rPr>
            <w:t>83</w:t>
          </w:r>
          <w:r>
            <w:rPr>
              <w:noProof/>
            </w:rPr>
            <w:fldChar w:fldCharType="end"/>
          </w:r>
        </w:p>
        <w:p w14:paraId="57D8E67D"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5.1</w:t>
          </w:r>
          <w:r>
            <w:rPr>
              <w:rFonts w:asciiTheme="minorHAnsi" w:eastAsiaTheme="minorEastAsia" w:hAnsiTheme="minorHAnsi"/>
              <w:noProof/>
              <w:sz w:val="24"/>
              <w:szCs w:val="24"/>
              <w:lang w:val="en-GB" w:eastAsia="ja-JP"/>
            </w:rPr>
            <w:tab/>
          </w:r>
          <w:r>
            <w:rPr>
              <w:noProof/>
            </w:rPr>
            <w:t>Financijski okvir za provedbu strategije</w:t>
          </w:r>
          <w:r>
            <w:rPr>
              <w:noProof/>
            </w:rPr>
            <w:tab/>
          </w:r>
          <w:r>
            <w:rPr>
              <w:noProof/>
            </w:rPr>
            <w:fldChar w:fldCharType="begin"/>
          </w:r>
          <w:r>
            <w:rPr>
              <w:noProof/>
            </w:rPr>
            <w:instrText xml:space="preserve"> PAGEREF _Toc437390603 \h </w:instrText>
          </w:r>
          <w:r>
            <w:rPr>
              <w:noProof/>
            </w:rPr>
          </w:r>
          <w:r>
            <w:rPr>
              <w:noProof/>
            </w:rPr>
            <w:fldChar w:fldCharType="separate"/>
          </w:r>
          <w:r>
            <w:rPr>
              <w:noProof/>
            </w:rPr>
            <w:t>83</w:t>
          </w:r>
          <w:r>
            <w:rPr>
              <w:noProof/>
            </w:rPr>
            <w:fldChar w:fldCharType="end"/>
          </w:r>
        </w:p>
        <w:p w14:paraId="370F2C04"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5.2</w:t>
          </w:r>
          <w:r>
            <w:rPr>
              <w:rFonts w:asciiTheme="minorHAnsi" w:eastAsiaTheme="minorEastAsia" w:hAnsiTheme="minorHAnsi"/>
              <w:noProof/>
              <w:sz w:val="24"/>
              <w:szCs w:val="24"/>
              <w:lang w:val="en-GB" w:eastAsia="ja-JP"/>
            </w:rPr>
            <w:tab/>
          </w:r>
          <w:r>
            <w:rPr>
              <w:noProof/>
            </w:rPr>
            <w:t>Institucionalni okvir</w:t>
          </w:r>
          <w:r>
            <w:rPr>
              <w:noProof/>
            </w:rPr>
            <w:tab/>
          </w:r>
          <w:r>
            <w:rPr>
              <w:noProof/>
            </w:rPr>
            <w:fldChar w:fldCharType="begin"/>
          </w:r>
          <w:r>
            <w:rPr>
              <w:noProof/>
            </w:rPr>
            <w:instrText xml:space="preserve"> PAGEREF _Toc437390604 \h </w:instrText>
          </w:r>
          <w:r>
            <w:rPr>
              <w:noProof/>
            </w:rPr>
          </w:r>
          <w:r>
            <w:rPr>
              <w:noProof/>
            </w:rPr>
            <w:fldChar w:fldCharType="separate"/>
          </w:r>
          <w:r>
            <w:rPr>
              <w:noProof/>
            </w:rPr>
            <w:t>84</w:t>
          </w:r>
          <w:r>
            <w:rPr>
              <w:noProof/>
            </w:rPr>
            <w:fldChar w:fldCharType="end"/>
          </w:r>
        </w:p>
        <w:p w14:paraId="5C1870CA"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5.2.1</w:t>
          </w:r>
          <w:r>
            <w:rPr>
              <w:rFonts w:asciiTheme="minorHAnsi" w:eastAsiaTheme="minorEastAsia" w:hAnsiTheme="minorHAnsi"/>
              <w:i w:val="0"/>
              <w:noProof/>
              <w:sz w:val="24"/>
              <w:szCs w:val="24"/>
              <w:lang w:val="en-GB" w:eastAsia="ja-JP"/>
            </w:rPr>
            <w:tab/>
          </w:r>
          <w:r>
            <w:rPr>
              <w:noProof/>
            </w:rPr>
            <w:t>Ključni dionici, uloge i zadaće</w:t>
          </w:r>
          <w:r>
            <w:rPr>
              <w:noProof/>
            </w:rPr>
            <w:tab/>
          </w:r>
          <w:r>
            <w:rPr>
              <w:noProof/>
            </w:rPr>
            <w:fldChar w:fldCharType="begin"/>
          </w:r>
          <w:r>
            <w:rPr>
              <w:noProof/>
            </w:rPr>
            <w:instrText xml:space="preserve"> PAGEREF _Toc437390605 \h </w:instrText>
          </w:r>
          <w:r>
            <w:rPr>
              <w:noProof/>
            </w:rPr>
          </w:r>
          <w:r>
            <w:rPr>
              <w:noProof/>
            </w:rPr>
            <w:fldChar w:fldCharType="separate"/>
          </w:r>
          <w:r>
            <w:rPr>
              <w:noProof/>
            </w:rPr>
            <w:t>85</w:t>
          </w:r>
          <w:r>
            <w:rPr>
              <w:noProof/>
            </w:rPr>
            <w:fldChar w:fldCharType="end"/>
          </w:r>
        </w:p>
        <w:p w14:paraId="30ABDF55"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5.2.2</w:t>
          </w:r>
          <w:r>
            <w:rPr>
              <w:rFonts w:asciiTheme="minorHAnsi" w:eastAsiaTheme="minorEastAsia" w:hAnsiTheme="minorHAnsi"/>
              <w:i w:val="0"/>
              <w:noProof/>
              <w:sz w:val="24"/>
              <w:szCs w:val="24"/>
              <w:lang w:val="en-GB" w:eastAsia="ja-JP"/>
            </w:rPr>
            <w:tab/>
          </w:r>
          <w:r>
            <w:rPr>
              <w:noProof/>
            </w:rPr>
            <w:t>Provedba ITU mehanizma</w:t>
          </w:r>
          <w:r>
            <w:rPr>
              <w:noProof/>
            </w:rPr>
            <w:tab/>
          </w:r>
          <w:r>
            <w:rPr>
              <w:noProof/>
            </w:rPr>
            <w:fldChar w:fldCharType="begin"/>
          </w:r>
          <w:r>
            <w:rPr>
              <w:noProof/>
            </w:rPr>
            <w:instrText xml:space="preserve"> PAGEREF _Toc437390606 \h </w:instrText>
          </w:r>
          <w:r>
            <w:rPr>
              <w:noProof/>
            </w:rPr>
          </w:r>
          <w:r>
            <w:rPr>
              <w:noProof/>
            </w:rPr>
            <w:fldChar w:fldCharType="separate"/>
          </w:r>
          <w:r>
            <w:rPr>
              <w:noProof/>
            </w:rPr>
            <w:t>87</w:t>
          </w:r>
          <w:r>
            <w:rPr>
              <w:noProof/>
            </w:rPr>
            <w:fldChar w:fldCharType="end"/>
          </w:r>
        </w:p>
        <w:p w14:paraId="4CA39393"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5.2.3</w:t>
          </w:r>
          <w:r>
            <w:rPr>
              <w:rFonts w:asciiTheme="minorHAnsi" w:eastAsiaTheme="minorEastAsia" w:hAnsiTheme="minorHAnsi"/>
              <w:i w:val="0"/>
              <w:noProof/>
              <w:sz w:val="24"/>
              <w:szCs w:val="24"/>
              <w:lang w:val="en-GB" w:eastAsia="ja-JP"/>
            </w:rPr>
            <w:tab/>
          </w:r>
          <w:r>
            <w:rPr>
              <w:noProof/>
            </w:rPr>
            <w:t>Proces i mehanizmi provedbe Strategije</w:t>
          </w:r>
          <w:r>
            <w:rPr>
              <w:noProof/>
            </w:rPr>
            <w:tab/>
          </w:r>
          <w:r>
            <w:rPr>
              <w:noProof/>
            </w:rPr>
            <w:fldChar w:fldCharType="begin"/>
          </w:r>
          <w:r>
            <w:rPr>
              <w:noProof/>
            </w:rPr>
            <w:instrText xml:space="preserve"> PAGEREF _Toc437390607 \h </w:instrText>
          </w:r>
          <w:r>
            <w:rPr>
              <w:noProof/>
            </w:rPr>
          </w:r>
          <w:r>
            <w:rPr>
              <w:noProof/>
            </w:rPr>
            <w:fldChar w:fldCharType="separate"/>
          </w:r>
          <w:r>
            <w:rPr>
              <w:noProof/>
            </w:rPr>
            <w:t>88</w:t>
          </w:r>
          <w:r>
            <w:rPr>
              <w:noProof/>
            </w:rPr>
            <w:fldChar w:fldCharType="end"/>
          </w:r>
        </w:p>
        <w:p w14:paraId="3A61441F" w14:textId="77777777" w:rsidR="00EE2BB6" w:rsidRDefault="00EE2BB6">
          <w:pPr>
            <w:pStyle w:val="TOC3"/>
            <w:tabs>
              <w:tab w:val="left" w:pos="906"/>
              <w:tab w:val="right" w:leader="dot" w:pos="9118"/>
            </w:tabs>
            <w:rPr>
              <w:rFonts w:asciiTheme="minorHAnsi" w:eastAsiaTheme="minorEastAsia" w:hAnsiTheme="minorHAnsi"/>
              <w:i w:val="0"/>
              <w:noProof/>
              <w:sz w:val="24"/>
              <w:szCs w:val="24"/>
              <w:lang w:val="en-GB" w:eastAsia="ja-JP"/>
            </w:rPr>
          </w:pPr>
          <w:r>
            <w:rPr>
              <w:noProof/>
            </w:rPr>
            <w:t>5.2.4</w:t>
          </w:r>
          <w:r>
            <w:rPr>
              <w:rFonts w:asciiTheme="minorHAnsi" w:eastAsiaTheme="minorEastAsia" w:hAnsiTheme="minorHAnsi"/>
              <w:i w:val="0"/>
              <w:noProof/>
              <w:sz w:val="24"/>
              <w:szCs w:val="24"/>
              <w:lang w:val="en-GB" w:eastAsia="ja-JP"/>
            </w:rPr>
            <w:tab/>
          </w:r>
          <w:r>
            <w:rPr>
              <w:noProof/>
            </w:rPr>
            <w:t>Shematski prikaz provedbene strukture</w:t>
          </w:r>
          <w:r>
            <w:rPr>
              <w:noProof/>
            </w:rPr>
            <w:tab/>
          </w:r>
          <w:r>
            <w:rPr>
              <w:noProof/>
            </w:rPr>
            <w:fldChar w:fldCharType="begin"/>
          </w:r>
          <w:r>
            <w:rPr>
              <w:noProof/>
            </w:rPr>
            <w:instrText xml:space="preserve"> PAGEREF _Toc437390608 \h </w:instrText>
          </w:r>
          <w:r>
            <w:rPr>
              <w:noProof/>
            </w:rPr>
          </w:r>
          <w:r>
            <w:rPr>
              <w:noProof/>
            </w:rPr>
            <w:fldChar w:fldCharType="separate"/>
          </w:r>
          <w:r>
            <w:rPr>
              <w:noProof/>
            </w:rPr>
            <w:t>89</w:t>
          </w:r>
          <w:r>
            <w:rPr>
              <w:noProof/>
            </w:rPr>
            <w:fldChar w:fldCharType="end"/>
          </w:r>
        </w:p>
        <w:p w14:paraId="407F2B4F" w14:textId="77777777" w:rsidR="00EE2BB6" w:rsidRDefault="00EE2BB6">
          <w:pPr>
            <w:pStyle w:val="TOC2"/>
            <w:tabs>
              <w:tab w:val="left" w:pos="519"/>
              <w:tab w:val="right" w:leader="dot" w:pos="9118"/>
            </w:tabs>
            <w:rPr>
              <w:rFonts w:asciiTheme="minorHAnsi" w:eastAsiaTheme="minorEastAsia" w:hAnsiTheme="minorHAnsi"/>
              <w:noProof/>
              <w:sz w:val="24"/>
              <w:szCs w:val="24"/>
              <w:lang w:val="en-GB" w:eastAsia="ja-JP"/>
            </w:rPr>
          </w:pPr>
          <w:r>
            <w:rPr>
              <w:noProof/>
            </w:rPr>
            <w:t>5.3</w:t>
          </w:r>
          <w:r>
            <w:rPr>
              <w:rFonts w:asciiTheme="minorHAnsi" w:eastAsiaTheme="minorEastAsia" w:hAnsiTheme="minorHAnsi"/>
              <w:noProof/>
              <w:sz w:val="24"/>
              <w:szCs w:val="24"/>
              <w:lang w:val="en-GB" w:eastAsia="ja-JP"/>
            </w:rPr>
            <w:tab/>
          </w:r>
          <w:r>
            <w:rPr>
              <w:noProof/>
            </w:rPr>
            <w:t>Strateški projekti</w:t>
          </w:r>
          <w:r>
            <w:rPr>
              <w:noProof/>
            </w:rPr>
            <w:tab/>
          </w:r>
          <w:r>
            <w:rPr>
              <w:noProof/>
            </w:rPr>
            <w:fldChar w:fldCharType="begin"/>
          </w:r>
          <w:r>
            <w:rPr>
              <w:noProof/>
            </w:rPr>
            <w:instrText xml:space="preserve"> PAGEREF _Toc437390609 \h </w:instrText>
          </w:r>
          <w:r>
            <w:rPr>
              <w:noProof/>
            </w:rPr>
          </w:r>
          <w:r>
            <w:rPr>
              <w:noProof/>
            </w:rPr>
            <w:fldChar w:fldCharType="separate"/>
          </w:r>
          <w:r>
            <w:rPr>
              <w:noProof/>
            </w:rPr>
            <w:t>90</w:t>
          </w:r>
          <w:r>
            <w:rPr>
              <w:noProof/>
            </w:rPr>
            <w:fldChar w:fldCharType="end"/>
          </w:r>
        </w:p>
        <w:p w14:paraId="69AD4B91" w14:textId="77777777" w:rsidR="00EE2BB6" w:rsidRDefault="00EE2BB6">
          <w:pPr>
            <w:pStyle w:val="TOC1"/>
            <w:tabs>
              <w:tab w:val="left" w:pos="362"/>
              <w:tab w:val="right" w:leader="dot" w:pos="9118"/>
            </w:tabs>
            <w:rPr>
              <w:rFonts w:asciiTheme="minorHAnsi" w:eastAsiaTheme="minorEastAsia" w:hAnsiTheme="minorHAnsi"/>
              <w:b w:val="0"/>
              <w:noProof/>
              <w:color w:val="auto"/>
              <w:lang w:val="en-GB" w:eastAsia="ja-JP"/>
            </w:rPr>
          </w:pPr>
          <w:r>
            <w:rPr>
              <w:noProof/>
            </w:rPr>
            <w:t>6</w:t>
          </w:r>
          <w:r>
            <w:rPr>
              <w:rFonts w:asciiTheme="minorHAnsi" w:eastAsiaTheme="minorEastAsia" w:hAnsiTheme="minorHAnsi"/>
              <w:b w:val="0"/>
              <w:noProof/>
              <w:color w:val="auto"/>
              <w:lang w:val="en-GB" w:eastAsia="ja-JP"/>
            </w:rPr>
            <w:tab/>
          </w:r>
          <w:r>
            <w:rPr>
              <w:noProof/>
            </w:rPr>
            <w:t>PARTNERSKO VIJEĆE</w:t>
          </w:r>
          <w:r>
            <w:rPr>
              <w:noProof/>
            </w:rPr>
            <w:tab/>
          </w:r>
          <w:r>
            <w:rPr>
              <w:noProof/>
            </w:rPr>
            <w:fldChar w:fldCharType="begin"/>
          </w:r>
          <w:r>
            <w:rPr>
              <w:noProof/>
            </w:rPr>
            <w:instrText xml:space="preserve"> PAGEREF _Toc437390610 \h </w:instrText>
          </w:r>
          <w:r>
            <w:rPr>
              <w:noProof/>
            </w:rPr>
          </w:r>
          <w:r>
            <w:rPr>
              <w:noProof/>
            </w:rPr>
            <w:fldChar w:fldCharType="separate"/>
          </w:r>
          <w:r>
            <w:rPr>
              <w:noProof/>
            </w:rPr>
            <w:t>99</w:t>
          </w:r>
          <w:r>
            <w:rPr>
              <w:noProof/>
            </w:rPr>
            <w:fldChar w:fldCharType="end"/>
          </w:r>
        </w:p>
        <w:p w14:paraId="3838D9A9" w14:textId="77777777" w:rsidR="00EE2BB6" w:rsidRDefault="00EE2BB6">
          <w:pPr>
            <w:pStyle w:val="TOC1"/>
            <w:tabs>
              <w:tab w:val="left" w:pos="362"/>
              <w:tab w:val="right" w:leader="dot" w:pos="9118"/>
            </w:tabs>
            <w:rPr>
              <w:rFonts w:asciiTheme="minorHAnsi" w:eastAsiaTheme="minorEastAsia" w:hAnsiTheme="minorHAnsi"/>
              <w:b w:val="0"/>
              <w:noProof/>
              <w:color w:val="auto"/>
              <w:lang w:val="en-GB" w:eastAsia="ja-JP"/>
            </w:rPr>
          </w:pPr>
          <w:r w:rsidRPr="00DA3CEE">
            <w:rPr>
              <w:noProof/>
              <w:color w:val="0070C0"/>
            </w:rPr>
            <w:t>7</w:t>
          </w:r>
          <w:r>
            <w:rPr>
              <w:rFonts w:asciiTheme="minorHAnsi" w:eastAsiaTheme="minorEastAsia" w:hAnsiTheme="minorHAnsi"/>
              <w:b w:val="0"/>
              <w:noProof/>
              <w:color w:val="auto"/>
              <w:lang w:val="en-GB" w:eastAsia="ja-JP"/>
            </w:rPr>
            <w:tab/>
          </w:r>
          <w:r>
            <w:rPr>
              <w:noProof/>
            </w:rPr>
            <w:t>HORIZONTALNA NAČELA</w:t>
          </w:r>
          <w:r>
            <w:rPr>
              <w:noProof/>
            </w:rPr>
            <w:tab/>
          </w:r>
          <w:r>
            <w:rPr>
              <w:noProof/>
            </w:rPr>
            <w:fldChar w:fldCharType="begin"/>
          </w:r>
          <w:r>
            <w:rPr>
              <w:noProof/>
            </w:rPr>
            <w:instrText xml:space="preserve"> PAGEREF _Toc437390611 \h </w:instrText>
          </w:r>
          <w:r>
            <w:rPr>
              <w:noProof/>
            </w:rPr>
          </w:r>
          <w:r>
            <w:rPr>
              <w:noProof/>
            </w:rPr>
            <w:fldChar w:fldCharType="separate"/>
          </w:r>
          <w:r>
            <w:rPr>
              <w:noProof/>
            </w:rPr>
            <w:t>101</w:t>
          </w:r>
          <w:r>
            <w:rPr>
              <w:noProof/>
            </w:rPr>
            <w:fldChar w:fldCharType="end"/>
          </w:r>
        </w:p>
        <w:p w14:paraId="7802F604" w14:textId="77777777" w:rsidR="00EE2BB6" w:rsidRDefault="00EE2BB6">
          <w:pPr>
            <w:pStyle w:val="TOC1"/>
            <w:tabs>
              <w:tab w:val="left" w:pos="362"/>
              <w:tab w:val="right" w:leader="dot" w:pos="9118"/>
            </w:tabs>
            <w:rPr>
              <w:rFonts w:asciiTheme="minorHAnsi" w:eastAsiaTheme="minorEastAsia" w:hAnsiTheme="minorHAnsi"/>
              <w:b w:val="0"/>
              <w:noProof/>
              <w:color w:val="auto"/>
              <w:lang w:val="en-GB" w:eastAsia="ja-JP"/>
            </w:rPr>
          </w:pPr>
          <w:r>
            <w:rPr>
              <w:noProof/>
            </w:rPr>
            <w:t>8</w:t>
          </w:r>
          <w:r>
            <w:rPr>
              <w:rFonts w:asciiTheme="minorHAnsi" w:eastAsiaTheme="minorEastAsia" w:hAnsiTheme="minorHAnsi"/>
              <w:b w:val="0"/>
              <w:noProof/>
              <w:color w:val="auto"/>
              <w:lang w:val="en-GB" w:eastAsia="ja-JP"/>
            </w:rPr>
            <w:tab/>
          </w:r>
          <w:r>
            <w:rPr>
              <w:noProof/>
            </w:rPr>
            <w:t>IZVJEŠĆE O PROVEDENOM POSTUPKU PRETHODNOG VREDNOVANJA - SAŽETAK</w:t>
          </w:r>
          <w:r>
            <w:rPr>
              <w:noProof/>
            </w:rPr>
            <w:tab/>
          </w:r>
          <w:r>
            <w:rPr>
              <w:noProof/>
            </w:rPr>
            <w:fldChar w:fldCharType="begin"/>
          </w:r>
          <w:r>
            <w:rPr>
              <w:noProof/>
            </w:rPr>
            <w:instrText xml:space="preserve"> PAGEREF _Toc437390612 \h </w:instrText>
          </w:r>
          <w:r>
            <w:rPr>
              <w:noProof/>
            </w:rPr>
          </w:r>
          <w:r>
            <w:rPr>
              <w:noProof/>
            </w:rPr>
            <w:fldChar w:fldCharType="separate"/>
          </w:r>
          <w:r>
            <w:rPr>
              <w:noProof/>
            </w:rPr>
            <w:t>103</w:t>
          </w:r>
          <w:r>
            <w:rPr>
              <w:noProof/>
            </w:rPr>
            <w:fldChar w:fldCharType="end"/>
          </w:r>
        </w:p>
        <w:p w14:paraId="24A4FE8D" w14:textId="77777777" w:rsidR="00EE2BB6" w:rsidRDefault="00EE2BB6">
          <w:pPr>
            <w:pStyle w:val="TOC1"/>
            <w:tabs>
              <w:tab w:val="left" w:pos="362"/>
              <w:tab w:val="right" w:leader="dot" w:pos="9118"/>
            </w:tabs>
            <w:rPr>
              <w:rFonts w:asciiTheme="minorHAnsi" w:eastAsiaTheme="minorEastAsia" w:hAnsiTheme="minorHAnsi"/>
              <w:b w:val="0"/>
              <w:noProof/>
              <w:color w:val="auto"/>
              <w:lang w:val="en-GB" w:eastAsia="ja-JP"/>
            </w:rPr>
          </w:pPr>
          <w:r>
            <w:rPr>
              <w:noProof/>
            </w:rPr>
            <w:t>9</w:t>
          </w:r>
          <w:r>
            <w:rPr>
              <w:rFonts w:asciiTheme="minorHAnsi" w:eastAsiaTheme="minorEastAsia" w:hAnsiTheme="minorHAnsi"/>
              <w:b w:val="0"/>
              <w:noProof/>
              <w:color w:val="auto"/>
              <w:lang w:val="en-GB" w:eastAsia="ja-JP"/>
            </w:rPr>
            <w:tab/>
          </w:r>
          <w:r>
            <w:rPr>
              <w:noProof/>
            </w:rPr>
            <w:t>IZVJEŠĆE O STRATEŠKOJ PROCJENI UTJECAJA NA OKOLIŠ - SAŽETAK</w:t>
          </w:r>
          <w:r>
            <w:rPr>
              <w:noProof/>
            </w:rPr>
            <w:tab/>
          </w:r>
          <w:r>
            <w:rPr>
              <w:noProof/>
            </w:rPr>
            <w:fldChar w:fldCharType="begin"/>
          </w:r>
          <w:r>
            <w:rPr>
              <w:noProof/>
            </w:rPr>
            <w:instrText xml:space="preserve"> PAGEREF _Toc437390613 \h </w:instrText>
          </w:r>
          <w:r>
            <w:rPr>
              <w:noProof/>
            </w:rPr>
          </w:r>
          <w:r>
            <w:rPr>
              <w:noProof/>
            </w:rPr>
            <w:fldChar w:fldCharType="separate"/>
          </w:r>
          <w:r>
            <w:rPr>
              <w:noProof/>
            </w:rPr>
            <w:t>105</w:t>
          </w:r>
          <w:r>
            <w:rPr>
              <w:noProof/>
            </w:rPr>
            <w:fldChar w:fldCharType="end"/>
          </w:r>
        </w:p>
        <w:p w14:paraId="68C62DE1" w14:textId="77777777" w:rsidR="00EE2BB6" w:rsidRDefault="00EE2BB6">
          <w:pPr>
            <w:pStyle w:val="TOC1"/>
            <w:tabs>
              <w:tab w:val="left" w:pos="483"/>
              <w:tab w:val="right" w:leader="dot" w:pos="9118"/>
            </w:tabs>
            <w:rPr>
              <w:rFonts w:asciiTheme="minorHAnsi" w:eastAsiaTheme="minorEastAsia" w:hAnsiTheme="minorHAnsi"/>
              <w:b w:val="0"/>
              <w:noProof/>
              <w:color w:val="auto"/>
              <w:lang w:val="en-GB" w:eastAsia="ja-JP"/>
            </w:rPr>
          </w:pPr>
          <w:r>
            <w:rPr>
              <w:noProof/>
            </w:rPr>
            <w:t>10</w:t>
          </w:r>
          <w:r>
            <w:rPr>
              <w:rFonts w:asciiTheme="minorHAnsi" w:eastAsiaTheme="minorEastAsia" w:hAnsiTheme="minorHAnsi"/>
              <w:b w:val="0"/>
              <w:noProof/>
              <w:color w:val="auto"/>
              <w:lang w:val="en-GB" w:eastAsia="ja-JP"/>
            </w:rPr>
            <w:tab/>
          </w:r>
          <w:r>
            <w:rPr>
              <w:noProof/>
            </w:rPr>
            <w:t>PRILOZI</w:t>
          </w:r>
          <w:r>
            <w:rPr>
              <w:noProof/>
            </w:rPr>
            <w:tab/>
          </w:r>
          <w:r>
            <w:rPr>
              <w:noProof/>
            </w:rPr>
            <w:fldChar w:fldCharType="begin"/>
          </w:r>
          <w:r>
            <w:rPr>
              <w:noProof/>
            </w:rPr>
            <w:instrText xml:space="preserve"> PAGEREF _Toc437390614 \h </w:instrText>
          </w:r>
          <w:r>
            <w:rPr>
              <w:noProof/>
            </w:rPr>
          </w:r>
          <w:r>
            <w:rPr>
              <w:noProof/>
            </w:rPr>
            <w:fldChar w:fldCharType="separate"/>
          </w:r>
          <w:r>
            <w:rPr>
              <w:noProof/>
            </w:rPr>
            <w:t>106</w:t>
          </w:r>
          <w:r>
            <w:rPr>
              <w:noProof/>
            </w:rPr>
            <w:fldChar w:fldCharType="end"/>
          </w:r>
        </w:p>
        <w:p w14:paraId="67865B44" w14:textId="44D0301C" w:rsidR="00184D82" w:rsidRDefault="00184D82">
          <w:r>
            <w:rPr>
              <w:b/>
              <w:bCs/>
              <w:noProof/>
            </w:rPr>
            <w:fldChar w:fldCharType="end"/>
          </w:r>
        </w:p>
      </w:sdtContent>
    </w:sdt>
    <w:p w14:paraId="60312E77" w14:textId="77777777" w:rsidR="001A5F94" w:rsidRDefault="001A5F94" w:rsidP="001A5F94"/>
    <w:p w14:paraId="14A3EDA7" w14:textId="752284C0" w:rsidR="00184D82" w:rsidRDefault="00604418">
      <w:pPr>
        <w:spacing w:before="0" w:after="0"/>
        <w:jc w:val="left"/>
        <w:rPr>
          <w:b/>
          <w:color w:val="1F497D" w:themeColor="text2"/>
          <w:sz w:val="28"/>
          <w:szCs w:val="28"/>
        </w:rPr>
      </w:pPr>
      <w:r>
        <w:rPr>
          <w:b/>
          <w:color w:val="1F497D" w:themeColor="text2"/>
          <w:sz w:val="28"/>
          <w:szCs w:val="28"/>
        </w:rPr>
        <w:t>Popis tablica, dijagrama i slika</w:t>
      </w:r>
    </w:p>
    <w:p w14:paraId="555DB8FC" w14:textId="77777777" w:rsidR="004132C4" w:rsidRDefault="00604418">
      <w:pPr>
        <w:pStyle w:val="TableofFigures"/>
        <w:tabs>
          <w:tab w:val="right" w:leader="dot" w:pos="9118"/>
        </w:tabs>
        <w:rPr>
          <w:rFonts w:asciiTheme="minorHAnsi" w:hAnsiTheme="minorHAnsi"/>
          <w:noProof/>
          <w:sz w:val="24"/>
          <w:szCs w:val="24"/>
          <w:lang w:val="en-GB" w:eastAsia="ja-JP"/>
        </w:rPr>
      </w:pPr>
      <w:r>
        <w:rPr>
          <w:b/>
          <w:color w:val="1F497D" w:themeColor="text2"/>
          <w:sz w:val="28"/>
          <w:szCs w:val="28"/>
        </w:rPr>
        <w:fldChar w:fldCharType="begin"/>
      </w:r>
      <w:r>
        <w:rPr>
          <w:b/>
          <w:color w:val="1F497D" w:themeColor="text2"/>
          <w:sz w:val="28"/>
          <w:szCs w:val="28"/>
        </w:rPr>
        <w:instrText xml:space="preserve"> TOC \c "Tablica" </w:instrText>
      </w:r>
      <w:r>
        <w:rPr>
          <w:b/>
          <w:color w:val="1F497D" w:themeColor="text2"/>
          <w:sz w:val="28"/>
          <w:szCs w:val="28"/>
        </w:rPr>
        <w:fldChar w:fldCharType="separate"/>
      </w:r>
      <w:r w:rsidR="004132C4">
        <w:rPr>
          <w:noProof/>
        </w:rPr>
        <w:t>Tablica 1. Indeksi razvijenosti Karlovačke i njoj susjednih županija</w:t>
      </w:r>
      <w:r w:rsidR="004132C4">
        <w:rPr>
          <w:noProof/>
        </w:rPr>
        <w:tab/>
      </w:r>
      <w:r w:rsidR="004132C4">
        <w:rPr>
          <w:noProof/>
        </w:rPr>
        <w:fldChar w:fldCharType="begin"/>
      </w:r>
      <w:r w:rsidR="004132C4">
        <w:rPr>
          <w:noProof/>
        </w:rPr>
        <w:instrText xml:space="preserve"> PAGEREF _Toc437387474 \h </w:instrText>
      </w:r>
      <w:r w:rsidR="004132C4">
        <w:rPr>
          <w:noProof/>
        </w:rPr>
      </w:r>
      <w:r w:rsidR="004132C4">
        <w:rPr>
          <w:noProof/>
        </w:rPr>
        <w:fldChar w:fldCharType="separate"/>
      </w:r>
      <w:r w:rsidR="004132C4">
        <w:rPr>
          <w:noProof/>
        </w:rPr>
        <w:t>10</w:t>
      </w:r>
      <w:r w:rsidR="004132C4">
        <w:rPr>
          <w:noProof/>
        </w:rPr>
        <w:fldChar w:fldCharType="end"/>
      </w:r>
    </w:p>
    <w:p w14:paraId="078E87D3"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2. Indeksi razvijenosti JLS koje čine VUPKA i susjednih JLS</w:t>
      </w:r>
      <w:r>
        <w:rPr>
          <w:noProof/>
        </w:rPr>
        <w:tab/>
      </w:r>
      <w:r>
        <w:rPr>
          <w:noProof/>
        </w:rPr>
        <w:fldChar w:fldCharType="begin"/>
      </w:r>
      <w:r>
        <w:rPr>
          <w:noProof/>
        </w:rPr>
        <w:instrText xml:space="preserve"> PAGEREF _Toc437387475 \h </w:instrText>
      </w:r>
      <w:r>
        <w:rPr>
          <w:noProof/>
        </w:rPr>
      </w:r>
      <w:r>
        <w:rPr>
          <w:noProof/>
        </w:rPr>
        <w:fldChar w:fldCharType="separate"/>
      </w:r>
      <w:r>
        <w:rPr>
          <w:noProof/>
        </w:rPr>
        <w:t>11</w:t>
      </w:r>
      <w:r>
        <w:rPr>
          <w:noProof/>
        </w:rPr>
        <w:fldChar w:fldCharType="end"/>
      </w:r>
    </w:p>
    <w:p w14:paraId="01FD5FD4"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 xml:space="preserve">Tablica 3. Odabrani pokazatelji BDP-a za Karlovačku i njoj susjedne županije, 2008. i 2015. </w:t>
      </w:r>
      <w:r>
        <w:rPr>
          <w:noProof/>
        </w:rPr>
        <w:tab/>
      </w:r>
      <w:r>
        <w:rPr>
          <w:noProof/>
        </w:rPr>
        <w:fldChar w:fldCharType="begin"/>
      </w:r>
      <w:r>
        <w:rPr>
          <w:noProof/>
        </w:rPr>
        <w:instrText xml:space="preserve"> PAGEREF _Toc437387476 \h </w:instrText>
      </w:r>
      <w:r>
        <w:rPr>
          <w:noProof/>
        </w:rPr>
      </w:r>
      <w:r>
        <w:rPr>
          <w:noProof/>
        </w:rPr>
        <w:fldChar w:fldCharType="separate"/>
      </w:r>
      <w:r>
        <w:rPr>
          <w:noProof/>
        </w:rPr>
        <w:t>11</w:t>
      </w:r>
      <w:r>
        <w:rPr>
          <w:noProof/>
        </w:rPr>
        <w:fldChar w:fldCharType="end"/>
      </w:r>
    </w:p>
    <w:p w14:paraId="70520800"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4. Broj naselja, gustoća stanovnika i površina VUPKA</w:t>
      </w:r>
      <w:r>
        <w:rPr>
          <w:noProof/>
        </w:rPr>
        <w:tab/>
      </w:r>
      <w:r>
        <w:rPr>
          <w:noProof/>
        </w:rPr>
        <w:fldChar w:fldCharType="begin"/>
      </w:r>
      <w:r>
        <w:rPr>
          <w:noProof/>
        </w:rPr>
        <w:instrText xml:space="preserve"> PAGEREF _Toc437387477 \h </w:instrText>
      </w:r>
      <w:r>
        <w:rPr>
          <w:noProof/>
        </w:rPr>
      </w:r>
      <w:r>
        <w:rPr>
          <w:noProof/>
        </w:rPr>
        <w:fldChar w:fldCharType="separate"/>
      </w:r>
      <w:r>
        <w:rPr>
          <w:noProof/>
        </w:rPr>
        <w:t>14</w:t>
      </w:r>
      <w:r>
        <w:rPr>
          <w:noProof/>
        </w:rPr>
        <w:fldChar w:fldCharType="end"/>
      </w:r>
    </w:p>
    <w:p w14:paraId="1609ECDA"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5. Naselja VUPKA po veličini</w:t>
      </w:r>
      <w:r>
        <w:rPr>
          <w:noProof/>
        </w:rPr>
        <w:tab/>
      </w:r>
      <w:r>
        <w:rPr>
          <w:noProof/>
        </w:rPr>
        <w:fldChar w:fldCharType="begin"/>
      </w:r>
      <w:r>
        <w:rPr>
          <w:noProof/>
        </w:rPr>
        <w:instrText xml:space="preserve"> PAGEREF _Toc437387478 \h </w:instrText>
      </w:r>
      <w:r>
        <w:rPr>
          <w:noProof/>
        </w:rPr>
      </w:r>
      <w:r>
        <w:rPr>
          <w:noProof/>
        </w:rPr>
        <w:fldChar w:fldCharType="separate"/>
      </w:r>
      <w:r>
        <w:rPr>
          <w:noProof/>
        </w:rPr>
        <w:t>14</w:t>
      </w:r>
      <w:r>
        <w:rPr>
          <w:noProof/>
        </w:rPr>
        <w:fldChar w:fldCharType="end"/>
      </w:r>
    </w:p>
    <w:p w14:paraId="15D0338D"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6. Stanovništvo s teškoćama u obavljanju svakodnevnih aktivnosti, VUP Karlovac, KŽ i RH (2011.)</w:t>
      </w:r>
      <w:r>
        <w:rPr>
          <w:noProof/>
        </w:rPr>
        <w:tab/>
      </w:r>
      <w:r>
        <w:rPr>
          <w:noProof/>
        </w:rPr>
        <w:fldChar w:fldCharType="begin"/>
      </w:r>
      <w:r>
        <w:rPr>
          <w:noProof/>
        </w:rPr>
        <w:instrText xml:space="preserve"> PAGEREF _Toc437387479 \h </w:instrText>
      </w:r>
      <w:r>
        <w:rPr>
          <w:noProof/>
        </w:rPr>
      </w:r>
      <w:r>
        <w:rPr>
          <w:noProof/>
        </w:rPr>
        <w:fldChar w:fldCharType="separate"/>
      </w:r>
      <w:r>
        <w:rPr>
          <w:noProof/>
        </w:rPr>
        <w:t>17</w:t>
      </w:r>
      <w:r>
        <w:rPr>
          <w:noProof/>
        </w:rPr>
        <w:fldChar w:fldCharType="end"/>
      </w:r>
    </w:p>
    <w:p w14:paraId="6F565F38"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7 Obrazovna struktura stanovništva starijeg od 15 godina, VUP Karlovac, KŽ i RH (2011.)</w:t>
      </w:r>
      <w:r>
        <w:rPr>
          <w:noProof/>
        </w:rPr>
        <w:tab/>
      </w:r>
      <w:r>
        <w:rPr>
          <w:noProof/>
        </w:rPr>
        <w:fldChar w:fldCharType="begin"/>
      </w:r>
      <w:r>
        <w:rPr>
          <w:noProof/>
        </w:rPr>
        <w:instrText xml:space="preserve"> PAGEREF _Toc437387480 \h </w:instrText>
      </w:r>
      <w:r>
        <w:rPr>
          <w:noProof/>
        </w:rPr>
      </w:r>
      <w:r>
        <w:rPr>
          <w:noProof/>
        </w:rPr>
        <w:fldChar w:fldCharType="separate"/>
      </w:r>
      <w:r>
        <w:rPr>
          <w:noProof/>
        </w:rPr>
        <w:t>18</w:t>
      </w:r>
      <w:r>
        <w:rPr>
          <w:noProof/>
        </w:rPr>
        <w:fldChar w:fldCharType="end"/>
      </w:r>
    </w:p>
    <w:p w14:paraId="5F8FCD9F"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8. Stanovništvo VUPKA i KŽ prema glavnim izvorima sredstava za život</w:t>
      </w:r>
      <w:r>
        <w:rPr>
          <w:noProof/>
        </w:rPr>
        <w:tab/>
      </w:r>
      <w:r>
        <w:rPr>
          <w:noProof/>
        </w:rPr>
        <w:fldChar w:fldCharType="begin"/>
      </w:r>
      <w:r>
        <w:rPr>
          <w:noProof/>
        </w:rPr>
        <w:instrText xml:space="preserve"> PAGEREF _Toc437387481 \h </w:instrText>
      </w:r>
      <w:r>
        <w:rPr>
          <w:noProof/>
        </w:rPr>
      </w:r>
      <w:r>
        <w:rPr>
          <w:noProof/>
        </w:rPr>
        <w:fldChar w:fldCharType="separate"/>
      </w:r>
      <w:r>
        <w:rPr>
          <w:noProof/>
        </w:rPr>
        <w:t>19</w:t>
      </w:r>
      <w:r>
        <w:rPr>
          <w:noProof/>
        </w:rPr>
        <w:fldChar w:fldCharType="end"/>
      </w:r>
    </w:p>
    <w:p w14:paraId="2AD0245B"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9. Ustanove socijalne skrbi na području VUP-a Karlovac po gradovima (2019.)</w:t>
      </w:r>
      <w:r>
        <w:rPr>
          <w:noProof/>
        </w:rPr>
        <w:tab/>
      </w:r>
      <w:r>
        <w:rPr>
          <w:noProof/>
        </w:rPr>
        <w:fldChar w:fldCharType="begin"/>
      </w:r>
      <w:r>
        <w:rPr>
          <w:noProof/>
        </w:rPr>
        <w:instrText xml:space="preserve"> PAGEREF _Toc437387482 \h </w:instrText>
      </w:r>
      <w:r>
        <w:rPr>
          <w:noProof/>
        </w:rPr>
      </w:r>
      <w:r>
        <w:rPr>
          <w:noProof/>
        </w:rPr>
        <w:fldChar w:fldCharType="separate"/>
      </w:r>
      <w:r>
        <w:rPr>
          <w:noProof/>
        </w:rPr>
        <w:t>20</w:t>
      </w:r>
      <w:r>
        <w:rPr>
          <w:noProof/>
        </w:rPr>
        <w:fldChar w:fldCharType="end"/>
      </w:r>
    </w:p>
    <w:p w14:paraId="0E0F7780"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11. Stanovi prema načinu korištenja na području VUP-a Karlovac</w:t>
      </w:r>
      <w:r>
        <w:rPr>
          <w:noProof/>
        </w:rPr>
        <w:tab/>
      </w:r>
      <w:r>
        <w:rPr>
          <w:noProof/>
        </w:rPr>
        <w:fldChar w:fldCharType="begin"/>
      </w:r>
      <w:r>
        <w:rPr>
          <w:noProof/>
        </w:rPr>
        <w:instrText xml:space="preserve"> PAGEREF _Toc437387483 \h </w:instrText>
      </w:r>
      <w:r>
        <w:rPr>
          <w:noProof/>
        </w:rPr>
      </w:r>
      <w:r>
        <w:rPr>
          <w:noProof/>
        </w:rPr>
        <w:fldChar w:fldCharType="separate"/>
      </w:r>
      <w:r>
        <w:rPr>
          <w:noProof/>
        </w:rPr>
        <w:t>21</w:t>
      </w:r>
      <w:r>
        <w:rPr>
          <w:noProof/>
        </w:rPr>
        <w:fldChar w:fldCharType="end"/>
      </w:r>
    </w:p>
    <w:p w14:paraId="02682512"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12. Kategorija ustanova u kulturi na području VUP-a Karlovac</w:t>
      </w:r>
      <w:r>
        <w:rPr>
          <w:noProof/>
        </w:rPr>
        <w:tab/>
      </w:r>
      <w:r>
        <w:rPr>
          <w:noProof/>
        </w:rPr>
        <w:fldChar w:fldCharType="begin"/>
      </w:r>
      <w:r>
        <w:rPr>
          <w:noProof/>
        </w:rPr>
        <w:instrText xml:space="preserve"> PAGEREF _Toc437387484 \h </w:instrText>
      </w:r>
      <w:r>
        <w:rPr>
          <w:noProof/>
        </w:rPr>
      </w:r>
      <w:r>
        <w:rPr>
          <w:noProof/>
        </w:rPr>
        <w:fldChar w:fldCharType="separate"/>
      </w:r>
      <w:r>
        <w:rPr>
          <w:noProof/>
        </w:rPr>
        <w:t>22</w:t>
      </w:r>
      <w:r>
        <w:rPr>
          <w:noProof/>
        </w:rPr>
        <w:fldChar w:fldCharType="end"/>
      </w:r>
    </w:p>
    <w:p w14:paraId="7062E686"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13. Broj udruga VUP-a Karlovac s obzirom na područje djelovanja</w:t>
      </w:r>
      <w:r>
        <w:rPr>
          <w:noProof/>
        </w:rPr>
        <w:tab/>
      </w:r>
      <w:r>
        <w:rPr>
          <w:noProof/>
        </w:rPr>
        <w:fldChar w:fldCharType="begin"/>
      </w:r>
      <w:r>
        <w:rPr>
          <w:noProof/>
        </w:rPr>
        <w:instrText xml:space="preserve"> PAGEREF _Toc437387485 \h </w:instrText>
      </w:r>
      <w:r>
        <w:rPr>
          <w:noProof/>
        </w:rPr>
      </w:r>
      <w:r>
        <w:rPr>
          <w:noProof/>
        </w:rPr>
        <w:fldChar w:fldCharType="separate"/>
      </w:r>
      <w:r>
        <w:rPr>
          <w:noProof/>
        </w:rPr>
        <w:t>23</w:t>
      </w:r>
      <w:r>
        <w:rPr>
          <w:noProof/>
        </w:rPr>
        <w:fldChar w:fldCharType="end"/>
      </w:r>
    </w:p>
    <w:p w14:paraId="1D328B5C"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13. Broj prijavljenih kaznenih dijela na području VUP-a Karlovac</w:t>
      </w:r>
      <w:r>
        <w:rPr>
          <w:noProof/>
        </w:rPr>
        <w:tab/>
      </w:r>
      <w:r>
        <w:rPr>
          <w:noProof/>
        </w:rPr>
        <w:fldChar w:fldCharType="begin"/>
      </w:r>
      <w:r>
        <w:rPr>
          <w:noProof/>
        </w:rPr>
        <w:instrText xml:space="preserve"> PAGEREF _Toc437387486 \h </w:instrText>
      </w:r>
      <w:r>
        <w:rPr>
          <w:noProof/>
        </w:rPr>
      </w:r>
      <w:r>
        <w:rPr>
          <w:noProof/>
        </w:rPr>
        <w:fldChar w:fldCharType="separate"/>
      </w:r>
      <w:r>
        <w:rPr>
          <w:noProof/>
        </w:rPr>
        <w:t>24</w:t>
      </w:r>
      <w:r>
        <w:rPr>
          <w:noProof/>
        </w:rPr>
        <w:fldChar w:fldCharType="end"/>
      </w:r>
    </w:p>
    <w:p w14:paraId="37190963"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14. Ugovoreni sadržaji primarne zdravstvene zaštite na području VUP-a Karlovac</w:t>
      </w:r>
      <w:r>
        <w:rPr>
          <w:noProof/>
        </w:rPr>
        <w:tab/>
      </w:r>
      <w:r>
        <w:rPr>
          <w:noProof/>
        </w:rPr>
        <w:fldChar w:fldCharType="begin"/>
      </w:r>
      <w:r>
        <w:rPr>
          <w:noProof/>
        </w:rPr>
        <w:instrText xml:space="preserve"> PAGEREF _Toc437387487 \h </w:instrText>
      </w:r>
      <w:r>
        <w:rPr>
          <w:noProof/>
        </w:rPr>
      </w:r>
      <w:r>
        <w:rPr>
          <w:noProof/>
        </w:rPr>
        <w:fldChar w:fldCharType="separate"/>
      </w:r>
      <w:r>
        <w:rPr>
          <w:noProof/>
        </w:rPr>
        <w:t>25</w:t>
      </w:r>
      <w:r>
        <w:rPr>
          <w:noProof/>
        </w:rPr>
        <w:fldChar w:fldCharType="end"/>
      </w:r>
    </w:p>
    <w:p w14:paraId="5689E0F2"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15. Izvanbolnička specijalističko-konzilijarna i dijagnostička zdravstvena zaštita na području VUPKA</w:t>
      </w:r>
      <w:r>
        <w:rPr>
          <w:noProof/>
        </w:rPr>
        <w:tab/>
      </w:r>
      <w:r>
        <w:rPr>
          <w:noProof/>
        </w:rPr>
        <w:fldChar w:fldCharType="begin"/>
      </w:r>
      <w:r>
        <w:rPr>
          <w:noProof/>
        </w:rPr>
        <w:instrText xml:space="preserve"> PAGEREF _Toc437387488 \h </w:instrText>
      </w:r>
      <w:r>
        <w:rPr>
          <w:noProof/>
        </w:rPr>
      </w:r>
      <w:r>
        <w:rPr>
          <w:noProof/>
        </w:rPr>
        <w:fldChar w:fldCharType="separate"/>
      </w:r>
      <w:r>
        <w:rPr>
          <w:noProof/>
        </w:rPr>
        <w:t>25</w:t>
      </w:r>
      <w:r>
        <w:rPr>
          <w:noProof/>
        </w:rPr>
        <w:fldChar w:fldCharType="end"/>
      </w:r>
    </w:p>
    <w:p w14:paraId="028796C9"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16. Osnovne škole, razredni odjeli, učenici i učitelji na području VUPKA, 2013.-2017. g.</w:t>
      </w:r>
      <w:r>
        <w:rPr>
          <w:noProof/>
        </w:rPr>
        <w:tab/>
      </w:r>
      <w:r>
        <w:rPr>
          <w:noProof/>
        </w:rPr>
        <w:fldChar w:fldCharType="begin"/>
      </w:r>
      <w:r>
        <w:rPr>
          <w:noProof/>
        </w:rPr>
        <w:instrText xml:space="preserve"> PAGEREF _Toc437387489 \h </w:instrText>
      </w:r>
      <w:r>
        <w:rPr>
          <w:noProof/>
        </w:rPr>
      </w:r>
      <w:r>
        <w:rPr>
          <w:noProof/>
        </w:rPr>
        <w:fldChar w:fldCharType="separate"/>
      </w:r>
      <w:r>
        <w:rPr>
          <w:noProof/>
        </w:rPr>
        <w:t>27</w:t>
      </w:r>
      <w:r>
        <w:rPr>
          <w:noProof/>
        </w:rPr>
        <w:fldChar w:fldCharType="end"/>
      </w:r>
    </w:p>
    <w:p w14:paraId="26B03B98"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17. Srednje škole, razredni odjeli, učenici i nastavnici na području VUPKA, 2013.-2017. g.</w:t>
      </w:r>
      <w:r>
        <w:rPr>
          <w:noProof/>
        </w:rPr>
        <w:tab/>
      </w:r>
      <w:r>
        <w:rPr>
          <w:noProof/>
        </w:rPr>
        <w:fldChar w:fldCharType="begin"/>
      </w:r>
      <w:r>
        <w:rPr>
          <w:noProof/>
        </w:rPr>
        <w:instrText xml:space="preserve"> PAGEREF _Toc437387490 \h </w:instrText>
      </w:r>
      <w:r>
        <w:rPr>
          <w:noProof/>
        </w:rPr>
      </w:r>
      <w:r>
        <w:rPr>
          <w:noProof/>
        </w:rPr>
        <w:fldChar w:fldCharType="separate"/>
      </w:r>
      <w:r>
        <w:rPr>
          <w:noProof/>
        </w:rPr>
        <w:t>28</w:t>
      </w:r>
      <w:r>
        <w:rPr>
          <w:noProof/>
        </w:rPr>
        <w:fldChar w:fldCharType="end"/>
      </w:r>
    </w:p>
    <w:p w14:paraId="51EAEDE4"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18. Srednje škole prema vrsti programa i učenici krajem 2015./2016. i 2016./2017. godine u VUPKA</w:t>
      </w:r>
      <w:r>
        <w:rPr>
          <w:noProof/>
        </w:rPr>
        <w:tab/>
      </w:r>
      <w:r>
        <w:rPr>
          <w:noProof/>
        </w:rPr>
        <w:fldChar w:fldCharType="begin"/>
      </w:r>
      <w:r>
        <w:rPr>
          <w:noProof/>
        </w:rPr>
        <w:instrText xml:space="preserve"> PAGEREF _Toc437387491 \h </w:instrText>
      </w:r>
      <w:r>
        <w:rPr>
          <w:noProof/>
        </w:rPr>
      </w:r>
      <w:r>
        <w:rPr>
          <w:noProof/>
        </w:rPr>
        <w:fldChar w:fldCharType="separate"/>
      </w:r>
      <w:r>
        <w:rPr>
          <w:noProof/>
        </w:rPr>
        <w:t>28</w:t>
      </w:r>
      <w:r>
        <w:rPr>
          <w:noProof/>
        </w:rPr>
        <w:fldChar w:fldCharType="end"/>
      </w:r>
    </w:p>
    <w:p w14:paraId="3CB53319"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19. Struktura i broj učenika srednjih škola VUP-a Karlovac prema vrsti obrazovnog programa / zanimanja</w:t>
      </w:r>
      <w:r>
        <w:rPr>
          <w:noProof/>
        </w:rPr>
        <w:tab/>
      </w:r>
      <w:r>
        <w:rPr>
          <w:noProof/>
        </w:rPr>
        <w:fldChar w:fldCharType="begin"/>
      </w:r>
      <w:r>
        <w:rPr>
          <w:noProof/>
        </w:rPr>
        <w:instrText xml:space="preserve"> PAGEREF _Toc437387492 \h </w:instrText>
      </w:r>
      <w:r>
        <w:rPr>
          <w:noProof/>
        </w:rPr>
      </w:r>
      <w:r>
        <w:rPr>
          <w:noProof/>
        </w:rPr>
        <w:fldChar w:fldCharType="separate"/>
      </w:r>
      <w:r>
        <w:rPr>
          <w:noProof/>
        </w:rPr>
        <w:t>29</w:t>
      </w:r>
      <w:r>
        <w:rPr>
          <w:noProof/>
        </w:rPr>
        <w:fldChar w:fldCharType="end"/>
      </w:r>
    </w:p>
    <w:p w14:paraId="0E7615CF"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20. Pregled studijskih programa koji se izvode na urbanom području VUP Karlovac (2019.)</w:t>
      </w:r>
      <w:r>
        <w:rPr>
          <w:noProof/>
        </w:rPr>
        <w:tab/>
      </w:r>
      <w:r>
        <w:rPr>
          <w:noProof/>
        </w:rPr>
        <w:fldChar w:fldCharType="begin"/>
      </w:r>
      <w:r>
        <w:rPr>
          <w:noProof/>
        </w:rPr>
        <w:instrText xml:space="preserve"> PAGEREF _Toc437387493 \h </w:instrText>
      </w:r>
      <w:r>
        <w:rPr>
          <w:noProof/>
        </w:rPr>
      </w:r>
      <w:r>
        <w:rPr>
          <w:noProof/>
        </w:rPr>
        <w:fldChar w:fldCharType="separate"/>
      </w:r>
      <w:r>
        <w:rPr>
          <w:noProof/>
        </w:rPr>
        <w:t>30</w:t>
      </w:r>
      <w:r>
        <w:rPr>
          <w:noProof/>
        </w:rPr>
        <w:fldChar w:fldCharType="end"/>
      </w:r>
    </w:p>
    <w:p w14:paraId="632F63DD"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21. Upisani studenti na Veleučilištu u Karlovcu</w:t>
      </w:r>
      <w:r>
        <w:rPr>
          <w:noProof/>
        </w:rPr>
        <w:tab/>
      </w:r>
      <w:r>
        <w:rPr>
          <w:noProof/>
        </w:rPr>
        <w:fldChar w:fldCharType="begin"/>
      </w:r>
      <w:r>
        <w:rPr>
          <w:noProof/>
        </w:rPr>
        <w:instrText xml:space="preserve"> PAGEREF _Toc437387494 \h </w:instrText>
      </w:r>
      <w:r>
        <w:rPr>
          <w:noProof/>
        </w:rPr>
      </w:r>
      <w:r>
        <w:rPr>
          <w:noProof/>
        </w:rPr>
        <w:fldChar w:fldCharType="separate"/>
      </w:r>
      <w:r>
        <w:rPr>
          <w:noProof/>
        </w:rPr>
        <w:t>31</w:t>
      </w:r>
      <w:r>
        <w:rPr>
          <w:noProof/>
        </w:rPr>
        <w:fldChar w:fldCharType="end"/>
      </w:r>
    </w:p>
    <w:p w14:paraId="2C1701EF"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22 Udjeli gradova u gospodarstvu Karlovačke županije</w:t>
      </w:r>
      <w:r>
        <w:rPr>
          <w:noProof/>
        </w:rPr>
        <w:tab/>
      </w:r>
      <w:r>
        <w:rPr>
          <w:noProof/>
        </w:rPr>
        <w:fldChar w:fldCharType="begin"/>
      </w:r>
      <w:r>
        <w:rPr>
          <w:noProof/>
        </w:rPr>
        <w:instrText xml:space="preserve"> PAGEREF _Toc437387495 \h </w:instrText>
      </w:r>
      <w:r>
        <w:rPr>
          <w:noProof/>
        </w:rPr>
      </w:r>
      <w:r>
        <w:rPr>
          <w:noProof/>
        </w:rPr>
        <w:fldChar w:fldCharType="separate"/>
      </w:r>
      <w:r>
        <w:rPr>
          <w:noProof/>
        </w:rPr>
        <w:t>32</w:t>
      </w:r>
      <w:r>
        <w:rPr>
          <w:noProof/>
        </w:rPr>
        <w:fldChar w:fldCharType="end"/>
      </w:r>
    </w:p>
    <w:p w14:paraId="09B1EFD7"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23 Udio gospodarstva Karlovačke županije u gospodarstvu RH, 2017.</w:t>
      </w:r>
      <w:r>
        <w:rPr>
          <w:noProof/>
        </w:rPr>
        <w:tab/>
      </w:r>
      <w:r>
        <w:rPr>
          <w:noProof/>
        </w:rPr>
        <w:fldChar w:fldCharType="begin"/>
      </w:r>
      <w:r>
        <w:rPr>
          <w:noProof/>
        </w:rPr>
        <w:instrText xml:space="preserve"> PAGEREF _Toc437387496 \h </w:instrText>
      </w:r>
      <w:r>
        <w:rPr>
          <w:noProof/>
        </w:rPr>
      </w:r>
      <w:r>
        <w:rPr>
          <w:noProof/>
        </w:rPr>
        <w:fldChar w:fldCharType="separate"/>
      </w:r>
      <w:r>
        <w:rPr>
          <w:noProof/>
        </w:rPr>
        <w:t>32</w:t>
      </w:r>
      <w:r>
        <w:rPr>
          <w:noProof/>
        </w:rPr>
        <w:fldChar w:fldCharType="end"/>
      </w:r>
    </w:p>
    <w:p w14:paraId="0A4ABF8F"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24. Osnovni podaci o poslovnom sektoru Karlovac, 2013. - 2017.</w:t>
      </w:r>
      <w:r>
        <w:rPr>
          <w:noProof/>
        </w:rPr>
        <w:tab/>
      </w:r>
      <w:r>
        <w:rPr>
          <w:noProof/>
        </w:rPr>
        <w:fldChar w:fldCharType="begin"/>
      </w:r>
      <w:r>
        <w:rPr>
          <w:noProof/>
        </w:rPr>
        <w:instrText xml:space="preserve"> PAGEREF _Toc437387497 \h </w:instrText>
      </w:r>
      <w:r>
        <w:rPr>
          <w:noProof/>
        </w:rPr>
      </w:r>
      <w:r>
        <w:rPr>
          <w:noProof/>
        </w:rPr>
        <w:fldChar w:fldCharType="separate"/>
      </w:r>
      <w:r>
        <w:rPr>
          <w:noProof/>
        </w:rPr>
        <w:t>33</w:t>
      </w:r>
      <w:r>
        <w:rPr>
          <w:noProof/>
        </w:rPr>
        <w:fldChar w:fldCharType="end"/>
      </w:r>
    </w:p>
    <w:p w14:paraId="70A38A1E"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25. Osnovni podaci o poslovnom sektoru Duga Resa, 2013. - 2017.</w:t>
      </w:r>
      <w:r>
        <w:rPr>
          <w:noProof/>
        </w:rPr>
        <w:tab/>
      </w:r>
      <w:r>
        <w:rPr>
          <w:noProof/>
        </w:rPr>
        <w:fldChar w:fldCharType="begin"/>
      </w:r>
      <w:r>
        <w:rPr>
          <w:noProof/>
        </w:rPr>
        <w:instrText xml:space="preserve"> PAGEREF _Toc437387498 \h </w:instrText>
      </w:r>
      <w:r>
        <w:rPr>
          <w:noProof/>
        </w:rPr>
      </w:r>
      <w:r>
        <w:rPr>
          <w:noProof/>
        </w:rPr>
        <w:fldChar w:fldCharType="separate"/>
      </w:r>
      <w:r>
        <w:rPr>
          <w:noProof/>
        </w:rPr>
        <w:t>34</w:t>
      </w:r>
      <w:r>
        <w:rPr>
          <w:noProof/>
        </w:rPr>
        <w:fldChar w:fldCharType="end"/>
      </w:r>
    </w:p>
    <w:p w14:paraId="4CF69171"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26. Osnovni podaci o poslovnom sektoru Ozalj, 2013. - 2017.</w:t>
      </w:r>
      <w:r>
        <w:rPr>
          <w:noProof/>
        </w:rPr>
        <w:tab/>
      </w:r>
      <w:r>
        <w:rPr>
          <w:noProof/>
        </w:rPr>
        <w:fldChar w:fldCharType="begin"/>
      </w:r>
      <w:r>
        <w:rPr>
          <w:noProof/>
        </w:rPr>
        <w:instrText xml:space="preserve"> PAGEREF _Toc437387499 \h </w:instrText>
      </w:r>
      <w:r>
        <w:rPr>
          <w:noProof/>
        </w:rPr>
      </w:r>
      <w:r>
        <w:rPr>
          <w:noProof/>
        </w:rPr>
        <w:fldChar w:fldCharType="separate"/>
      </w:r>
      <w:r>
        <w:rPr>
          <w:noProof/>
        </w:rPr>
        <w:t>35</w:t>
      </w:r>
      <w:r>
        <w:rPr>
          <w:noProof/>
        </w:rPr>
        <w:fldChar w:fldCharType="end"/>
      </w:r>
    </w:p>
    <w:p w14:paraId="2A366F4C"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27. Poduzetnička infrastruktura i potporne institucije na području Karlovačke županije</w:t>
      </w:r>
      <w:r>
        <w:rPr>
          <w:noProof/>
        </w:rPr>
        <w:tab/>
      </w:r>
      <w:r>
        <w:rPr>
          <w:noProof/>
        </w:rPr>
        <w:fldChar w:fldCharType="begin"/>
      </w:r>
      <w:r>
        <w:rPr>
          <w:noProof/>
        </w:rPr>
        <w:instrText xml:space="preserve"> PAGEREF _Toc437387500 \h </w:instrText>
      </w:r>
      <w:r>
        <w:rPr>
          <w:noProof/>
        </w:rPr>
      </w:r>
      <w:r>
        <w:rPr>
          <w:noProof/>
        </w:rPr>
        <w:fldChar w:fldCharType="separate"/>
      </w:r>
      <w:r>
        <w:rPr>
          <w:noProof/>
        </w:rPr>
        <w:t>37</w:t>
      </w:r>
      <w:r>
        <w:rPr>
          <w:noProof/>
        </w:rPr>
        <w:fldChar w:fldCharType="end"/>
      </w:r>
    </w:p>
    <w:p w14:paraId="055888E2"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28. Turistički promet na području VUPKA, 2015. – 2017.</w:t>
      </w:r>
      <w:r>
        <w:rPr>
          <w:noProof/>
        </w:rPr>
        <w:tab/>
      </w:r>
      <w:r>
        <w:rPr>
          <w:noProof/>
        </w:rPr>
        <w:fldChar w:fldCharType="begin"/>
      </w:r>
      <w:r>
        <w:rPr>
          <w:noProof/>
        </w:rPr>
        <w:instrText xml:space="preserve"> PAGEREF _Toc437387501 \h </w:instrText>
      </w:r>
      <w:r>
        <w:rPr>
          <w:noProof/>
        </w:rPr>
      </w:r>
      <w:r>
        <w:rPr>
          <w:noProof/>
        </w:rPr>
        <w:fldChar w:fldCharType="separate"/>
      </w:r>
      <w:r>
        <w:rPr>
          <w:noProof/>
        </w:rPr>
        <w:t>40</w:t>
      </w:r>
      <w:r>
        <w:rPr>
          <w:noProof/>
        </w:rPr>
        <w:fldChar w:fldCharType="end"/>
      </w:r>
    </w:p>
    <w:p w14:paraId="30880A83"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29. Zaštićena područja prirode na Većem urbanom području Karlovac</w:t>
      </w:r>
      <w:r>
        <w:rPr>
          <w:noProof/>
        </w:rPr>
        <w:tab/>
      </w:r>
      <w:r>
        <w:rPr>
          <w:noProof/>
        </w:rPr>
        <w:fldChar w:fldCharType="begin"/>
      </w:r>
      <w:r>
        <w:rPr>
          <w:noProof/>
        </w:rPr>
        <w:instrText xml:space="preserve"> PAGEREF _Toc437387502 \h </w:instrText>
      </w:r>
      <w:r>
        <w:rPr>
          <w:noProof/>
        </w:rPr>
      </w:r>
      <w:r>
        <w:rPr>
          <w:noProof/>
        </w:rPr>
        <w:fldChar w:fldCharType="separate"/>
      </w:r>
      <w:r>
        <w:rPr>
          <w:noProof/>
        </w:rPr>
        <w:t>43</w:t>
      </w:r>
      <w:r>
        <w:rPr>
          <w:noProof/>
        </w:rPr>
        <w:fldChar w:fldCharType="end"/>
      </w:r>
    </w:p>
    <w:p w14:paraId="6E081735"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30. NATURA 2000 na Većem urbanom području Karlovac</w:t>
      </w:r>
      <w:r>
        <w:rPr>
          <w:noProof/>
        </w:rPr>
        <w:tab/>
      </w:r>
      <w:r>
        <w:rPr>
          <w:noProof/>
        </w:rPr>
        <w:fldChar w:fldCharType="begin"/>
      </w:r>
      <w:r>
        <w:rPr>
          <w:noProof/>
        </w:rPr>
        <w:instrText xml:space="preserve"> PAGEREF _Toc437387503 \h </w:instrText>
      </w:r>
      <w:r>
        <w:rPr>
          <w:noProof/>
        </w:rPr>
      </w:r>
      <w:r>
        <w:rPr>
          <w:noProof/>
        </w:rPr>
        <w:fldChar w:fldCharType="separate"/>
      </w:r>
      <w:r>
        <w:rPr>
          <w:noProof/>
        </w:rPr>
        <w:t>44</w:t>
      </w:r>
      <w:r>
        <w:rPr>
          <w:noProof/>
        </w:rPr>
        <w:fldChar w:fldCharType="end"/>
      </w:r>
    </w:p>
    <w:p w14:paraId="476F415E"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31. Količine odloženog miješanog komunalnog otpada na odlagalištu Ilovac 2013. – 2016. godina (u t)</w:t>
      </w:r>
      <w:r>
        <w:rPr>
          <w:noProof/>
        </w:rPr>
        <w:tab/>
      </w:r>
      <w:r>
        <w:rPr>
          <w:noProof/>
        </w:rPr>
        <w:fldChar w:fldCharType="begin"/>
      </w:r>
      <w:r>
        <w:rPr>
          <w:noProof/>
        </w:rPr>
        <w:instrText xml:space="preserve"> PAGEREF _Toc437387504 \h </w:instrText>
      </w:r>
      <w:r>
        <w:rPr>
          <w:noProof/>
        </w:rPr>
      </w:r>
      <w:r>
        <w:rPr>
          <w:noProof/>
        </w:rPr>
        <w:fldChar w:fldCharType="separate"/>
      </w:r>
      <w:r>
        <w:rPr>
          <w:noProof/>
        </w:rPr>
        <w:t>45</w:t>
      </w:r>
      <w:r>
        <w:rPr>
          <w:noProof/>
        </w:rPr>
        <w:fldChar w:fldCharType="end"/>
      </w:r>
    </w:p>
    <w:p w14:paraId="122B8965"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lastRenderedPageBreak/>
        <w:t>Tablica 32. Količine odvojeno prikupljenog otpada na urbanom području 2013. – 2016. godina (u t)</w:t>
      </w:r>
      <w:r>
        <w:rPr>
          <w:noProof/>
        </w:rPr>
        <w:tab/>
      </w:r>
      <w:r>
        <w:rPr>
          <w:noProof/>
        </w:rPr>
        <w:fldChar w:fldCharType="begin"/>
      </w:r>
      <w:r>
        <w:rPr>
          <w:noProof/>
        </w:rPr>
        <w:instrText xml:space="preserve"> PAGEREF _Toc437387505 \h </w:instrText>
      </w:r>
      <w:r>
        <w:rPr>
          <w:noProof/>
        </w:rPr>
      </w:r>
      <w:r>
        <w:rPr>
          <w:noProof/>
        </w:rPr>
        <w:fldChar w:fldCharType="separate"/>
      </w:r>
      <w:r>
        <w:rPr>
          <w:noProof/>
        </w:rPr>
        <w:t>46</w:t>
      </w:r>
      <w:r>
        <w:rPr>
          <w:noProof/>
        </w:rPr>
        <w:fldChar w:fldCharType="end"/>
      </w:r>
    </w:p>
    <w:p w14:paraId="2B429DCB"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33. Projekti OIE prema vrsti i ukupnoj snazi postrojenja na urbanom području s kojima je HROTE sklopio ugovor o otkupu električne energije</w:t>
      </w:r>
      <w:r>
        <w:rPr>
          <w:noProof/>
        </w:rPr>
        <w:tab/>
      </w:r>
      <w:r>
        <w:rPr>
          <w:noProof/>
        </w:rPr>
        <w:fldChar w:fldCharType="begin"/>
      </w:r>
      <w:r>
        <w:rPr>
          <w:noProof/>
        </w:rPr>
        <w:instrText xml:space="preserve"> PAGEREF _Toc437387506 \h </w:instrText>
      </w:r>
      <w:r>
        <w:rPr>
          <w:noProof/>
        </w:rPr>
      </w:r>
      <w:r>
        <w:rPr>
          <w:noProof/>
        </w:rPr>
        <w:fldChar w:fldCharType="separate"/>
      </w:r>
      <w:r>
        <w:rPr>
          <w:noProof/>
        </w:rPr>
        <w:t>49</w:t>
      </w:r>
      <w:r>
        <w:rPr>
          <w:noProof/>
        </w:rPr>
        <w:fldChar w:fldCharType="end"/>
      </w:r>
    </w:p>
    <w:p w14:paraId="35AC2DC4"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34. Podaci o vremenu putovanja od Karlovca do bližih gradova</w:t>
      </w:r>
      <w:r>
        <w:rPr>
          <w:noProof/>
        </w:rPr>
        <w:tab/>
      </w:r>
      <w:r>
        <w:rPr>
          <w:noProof/>
        </w:rPr>
        <w:fldChar w:fldCharType="begin"/>
      </w:r>
      <w:r>
        <w:rPr>
          <w:noProof/>
        </w:rPr>
        <w:instrText xml:space="preserve"> PAGEREF _Toc437387507 \h </w:instrText>
      </w:r>
      <w:r>
        <w:rPr>
          <w:noProof/>
        </w:rPr>
      </w:r>
      <w:r>
        <w:rPr>
          <w:noProof/>
        </w:rPr>
        <w:fldChar w:fldCharType="separate"/>
      </w:r>
      <w:r>
        <w:rPr>
          <w:noProof/>
        </w:rPr>
        <w:t>50</w:t>
      </w:r>
      <w:r>
        <w:rPr>
          <w:noProof/>
        </w:rPr>
        <w:fldChar w:fldCharType="end"/>
      </w:r>
    </w:p>
    <w:p w14:paraId="29649ACF"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35. Prikaz strateških ciljeva i vizija 3 JLS temeljem važećih općih strateških dokumenata JLS-ova</w:t>
      </w:r>
      <w:r>
        <w:rPr>
          <w:noProof/>
        </w:rPr>
        <w:tab/>
      </w:r>
      <w:r>
        <w:rPr>
          <w:noProof/>
        </w:rPr>
        <w:fldChar w:fldCharType="begin"/>
      </w:r>
      <w:r>
        <w:rPr>
          <w:noProof/>
        </w:rPr>
        <w:instrText xml:space="preserve"> PAGEREF _Toc437387508 \h </w:instrText>
      </w:r>
      <w:r>
        <w:rPr>
          <w:noProof/>
        </w:rPr>
      </w:r>
      <w:r>
        <w:rPr>
          <w:noProof/>
        </w:rPr>
        <w:fldChar w:fldCharType="separate"/>
      </w:r>
      <w:r>
        <w:rPr>
          <w:noProof/>
        </w:rPr>
        <w:t>63</w:t>
      </w:r>
      <w:r>
        <w:rPr>
          <w:noProof/>
        </w:rPr>
        <w:fldChar w:fldCharType="end"/>
      </w:r>
    </w:p>
    <w:p w14:paraId="1393D28A"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36. Broj i vrijednost projekata u indikativnoj bazi prema planskim domenama</w:t>
      </w:r>
      <w:r>
        <w:rPr>
          <w:noProof/>
        </w:rPr>
        <w:tab/>
      </w:r>
      <w:r>
        <w:rPr>
          <w:noProof/>
        </w:rPr>
        <w:fldChar w:fldCharType="begin"/>
      </w:r>
      <w:r>
        <w:rPr>
          <w:noProof/>
        </w:rPr>
        <w:instrText xml:space="preserve"> PAGEREF _Toc437387509 \h </w:instrText>
      </w:r>
      <w:r>
        <w:rPr>
          <w:noProof/>
        </w:rPr>
      </w:r>
      <w:r>
        <w:rPr>
          <w:noProof/>
        </w:rPr>
        <w:fldChar w:fldCharType="separate"/>
      </w:r>
      <w:r>
        <w:rPr>
          <w:noProof/>
        </w:rPr>
        <w:t>65</w:t>
      </w:r>
      <w:r>
        <w:rPr>
          <w:noProof/>
        </w:rPr>
        <w:fldChar w:fldCharType="end"/>
      </w:r>
    </w:p>
    <w:p w14:paraId="2900BBB8"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37. Prostorna raspodjela projekata u indikativnoj bazi, po broju i vrijednosti</w:t>
      </w:r>
      <w:r>
        <w:rPr>
          <w:noProof/>
        </w:rPr>
        <w:tab/>
      </w:r>
      <w:r>
        <w:rPr>
          <w:noProof/>
        </w:rPr>
        <w:fldChar w:fldCharType="begin"/>
      </w:r>
      <w:r>
        <w:rPr>
          <w:noProof/>
        </w:rPr>
        <w:instrText xml:space="preserve"> PAGEREF _Toc437387510 \h </w:instrText>
      </w:r>
      <w:r>
        <w:rPr>
          <w:noProof/>
        </w:rPr>
      </w:r>
      <w:r>
        <w:rPr>
          <w:noProof/>
        </w:rPr>
        <w:fldChar w:fldCharType="separate"/>
      </w:r>
      <w:r>
        <w:rPr>
          <w:noProof/>
        </w:rPr>
        <w:t>65</w:t>
      </w:r>
      <w:r>
        <w:rPr>
          <w:noProof/>
        </w:rPr>
        <w:fldChar w:fldCharType="end"/>
      </w:r>
    </w:p>
    <w:p w14:paraId="1C2E558B"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Tablica 38.  Popis članica Partnerskog vijeća VUPKA</w:t>
      </w:r>
      <w:r>
        <w:rPr>
          <w:noProof/>
        </w:rPr>
        <w:tab/>
      </w:r>
      <w:r>
        <w:rPr>
          <w:noProof/>
        </w:rPr>
        <w:fldChar w:fldCharType="begin"/>
      </w:r>
      <w:r>
        <w:rPr>
          <w:noProof/>
        </w:rPr>
        <w:instrText xml:space="preserve"> PAGEREF _Toc437387511 \h </w:instrText>
      </w:r>
      <w:r>
        <w:rPr>
          <w:noProof/>
        </w:rPr>
      </w:r>
      <w:r>
        <w:rPr>
          <w:noProof/>
        </w:rPr>
        <w:fldChar w:fldCharType="separate"/>
      </w:r>
      <w:r>
        <w:rPr>
          <w:noProof/>
        </w:rPr>
        <w:t>98</w:t>
      </w:r>
      <w:r>
        <w:rPr>
          <w:noProof/>
        </w:rPr>
        <w:fldChar w:fldCharType="end"/>
      </w:r>
    </w:p>
    <w:p w14:paraId="2433DFEE" w14:textId="77777777" w:rsidR="00604418" w:rsidRDefault="00604418">
      <w:pPr>
        <w:spacing w:before="0" w:after="0"/>
        <w:jc w:val="left"/>
        <w:rPr>
          <w:b/>
          <w:color w:val="1F497D" w:themeColor="text2"/>
          <w:sz w:val="28"/>
          <w:szCs w:val="28"/>
        </w:rPr>
      </w:pPr>
      <w:r>
        <w:rPr>
          <w:b/>
          <w:color w:val="1F497D" w:themeColor="text2"/>
          <w:sz w:val="28"/>
          <w:szCs w:val="28"/>
        </w:rPr>
        <w:fldChar w:fldCharType="end"/>
      </w:r>
    </w:p>
    <w:p w14:paraId="594CD381" w14:textId="77777777" w:rsidR="004132C4" w:rsidRDefault="00604418">
      <w:pPr>
        <w:pStyle w:val="TableofFigures"/>
        <w:tabs>
          <w:tab w:val="right" w:leader="dot" w:pos="9118"/>
        </w:tabs>
        <w:rPr>
          <w:rFonts w:asciiTheme="minorHAnsi" w:hAnsiTheme="minorHAnsi"/>
          <w:noProof/>
          <w:sz w:val="24"/>
          <w:szCs w:val="24"/>
          <w:lang w:val="en-GB" w:eastAsia="ja-JP"/>
        </w:rPr>
      </w:pPr>
      <w:r>
        <w:rPr>
          <w:b/>
          <w:color w:val="1F497D" w:themeColor="text2"/>
          <w:sz w:val="28"/>
          <w:szCs w:val="28"/>
        </w:rPr>
        <w:fldChar w:fldCharType="begin"/>
      </w:r>
      <w:r>
        <w:rPr>
          <w:b/>
          <w:color w:val="1F497D" w:themeColor="text2"/>
          <w:sz w:val="28"/>
          <w:szCs w:val="28"/>
        </w:rPr>
        <w:instrText xml:space="preserve"> TOC \c "Dijagram" </w:instrText>
      </w:r>
      <w:r>
        <w:rPr>
          <w:b/>
          <w:color w:val="1F497D" w:themeColor="text2"/>
          <w:sz w:val="28"/>
          <w:szCs w:val="28"/>
        </w:rPr>
        <w:fldChar w:fldCharType="separate"/>
      </w:r>
      <w:r w:rsidR="004132C4">
        <w:rPr>
          <w:noProof/>
        </w:rPr>
        <w:t>Dijagram 1. Regionalni indeks konkurentnosti Karlovačke županije (2013.)</w:t>
      </w:r>
      <w:r w:rsidR="004132C4">
        <w:rPr>
          <w:noProof/>
        </w:rPr>
        <w:tab/>
      </w:r>
      <w:r w:rsidR="004132C4">
        <w:rPr>
          <w:noProof/>
        </w:rPr>
        <w:fldChar w:fldCharType="begin"/>
      </w:r>
      <w:r w:rsidR="004132C4">
        <w:rPr>
          <w:noProof/>
        </w:rPr>
        <w:instrText xml:space="preserve"> PAGEREF _Toc437387464 \h </w:instrText>
      </w:r>
      <w:r w:rsidR="004132C4">
        <w:rPr>
          <w:noProof/>
        </w:rPr>
      </w:r>
      <w:r w:rsidR="004132C4">
        <w:rPr>
          <w:noProof/>
        </w:rPr>
        <w:fldChar w:fldCharType="separate"/>
      </w:r>
      <w:r w:rsidR="004132C4">
        <w:rPr>
          <w:noProof/>
        </w:rPr>
        <w:t>12</w:t>
      </w:r>
      <w:r w:rsidR="004132C4">
        <w:rPr>
          <w:noProof/>
        </w:rPr>
        <w:fldChar w:fldCharType="end"/>
      </w:r>
    </w:p>
    <w:p w14:paraId="735AE0B7"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Dijagram 2. Broj projekata u inicijalnoj bazi, po planskim domenama i JLS</w:t>
      </w:r>
      <w:r>
        <w:rPr>
          <w:noProof/>
        </w:rPr>
        <w:tab/>
      </w:r>
      <w:r>
        <w:rPr>
          <w:noProof/>
        </w:rPr>
        <w:fldChar w:fldCharType="begin"/>
      </w:r>
      <w:r>
        <w:rPr>
          <w:noProof/>
        </w:rPr>
        <w:instrText xml:space="preserve"> PAGEREF _Toc437387465 \h </w:instrText>
      </w:r>
      <w:r>
        <w:rPr>
          <w:noProof/>
        </w:rPr>
      </w:r>
      <w:r>
        <w:rPr>
          <w:noProof/>
        </w:rPr>
        <w:fldChar w:fldCharType="separate"/>
      </w:r>
      <w:r>
        <w:rPr>
          <w:noProof/>
        </w:rPr>
        <w:t>65</w:t>
      </w:r>
      <w:r>
        <w:rPr>
          <w:noProof/>
        </w:rPr>
        <w:fldChar w:fldCharType="end"/>
      </w:r>
    </w:p>
    <w:p w14:paraId="006BB90E"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Dijagram 3. Projekti u indikativnoj bazi, po veličini i JLS</w:t>
      </w:r>
      <w:r>
        <w:rPr>
          <w:noProof/>
        </w:rPr>
        <w:tab/>
      </w:r>
      <w:r>
        <w:rPr>
          <w:noProof/>
        </w:rPr>
        <w:fldChar w:fldCharType="begin"/>
      </w:r>
      <w:r>
        <w:rPr>
          <w:noProof/>
        </w:rPr>
        <w:instrText xml:space="preserve"> PAGEREF _Toc437387466 \h </w:instrText>
      </w:r>
      <w:r>
        <w:rPr>
          <w:noProof/>
        </w:rPr>
      </w:r>
      <w:r>
        <w:rPr>
          <w:noProof/>
        </w:rPr>
        <w:fldChar w:fldCharType="separate"/>
      </w:r>
      <w:r>
        <w:rPr>
          <w:noProof/>
        </w:rPr>
        <w:t>66</w:t>
      </w:r>
      <w:r>
        <w:rPr>
          <w:noProof/>
        </w:rPr>
        <w:fldChar w:fldCharType="end"/>
      </w:r>
    </w:p>
    <w:p w14:paraId="3FA70934"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Dijagram 4. Projekti u indikativnoj bazi, po zrelosti i JLS</w:t>
      </w:r>
      <w:r>
        <w:rPr>
          <w:noProof/>
        </w:rPr>
        <w:tab/>
      </w:r>
      <w:r>
        <w:rPr>
          <w:noProof/>
        </w:rPr>
        <w:fldChar w:fldCharType="begin"/>
      </w:r>
      <w:r>
        <w:rPr>
          <w:noProof/>
        </w:rPr>
        <w:instrText xml:space="preserve"> PAGEREF _Toc437387467 \h </w:instrText>
      </w:r>
      <w:r>
        <w:rPr>
          <w:noProof/>
        </w:rPr>
      </w:r>
      <w:r>
        <w:rPr>
          <w:noProof/>
        </w:rPr>
        <w:fldChar w:fldCharType="separate"/>
      </w:r>
      <w:r>
        <w:rPr>
          <w:noProof/>
        </w:rPr>
        <w:t>67</w:t>
      </w:r>
      <w:r>
        <w:rPr>
          <w:noProof/>
        </w:rPr>
        <w:fldChar w:fldCharType="end"/>
      </w:r>
    </w:p>
    <w:p w14:paraId="71D11111" w14:textId="77777777" w:rsidR="00604418" w:rsidRDefault="00604418">
      <w:pPr>
        <w:spacing w:before="0" w:after="0"/>
        <w:jc w:val="left"/>
        <w:rPr>
          <w:b/>
          <w:color w:val="1F497D" w:themeColor="text2"/>
          <w:sz w:val="28"/>
          <w:szCs w:val="28"/>
        </w:rPr>
      </w:pPr>
      <w:r>
        <w:rPr>
          <w:b/>
          <w:color w:val="1F497D" w:themeColor="text2"/>
          <w:sz w:val="28"/>
          <w:szCs w:val="28"/>
        </w:rPr>
        <w:fldChar w:fldCharType="end"/>
      </w:r>
    </w:p>
    <w:p w14:paraId="09F55458" w14:textId="77777777" w:rsidR="004132C4" w:rsidRDefault="00604418">
      <w:pPr>
        <w:pStyle w:val="TableofFigures"/>
        <w:tabs>
          <w:tab w:val="right" w:leader="dot" w:pos="9118"/>
        </w:tabs>
        <w:rPr>
          <w:rFonts w:asciiTheme="minorHAnsi" w:hAnsiTheme="minorHAnsi"/>
          <w:noProof/>
          <w:sz w:val="24"/>
          <w:szCs w:val="24"/>
          <w:lang w:val="en-GB" w:eastAsia="ja-JP"/>
        </w:rPr>
      </w:pPr>
      <w:r>
        <w:rPr>
          <w:b/>
          <w:color w:val="1F497D" w:themeColor="text2"/>
          <w:sz w:val="28"/>
          <w:szCs w:val="28"/>
        </w:rPr>
        <w:fldChar w:fldCharType="begin"/>
      </w:r>
      <w:r>
        <w:rPr>
          <w:b/>
          <w:color w:val="1F497D" w:themeColor="text2"/>
          <w:sz w:val="28"/>
          <w:szCs w:val="28"/>
        </w:rPr>
        <w:instrText xml:space="preserve"> TOC \c "Slika" </w:instrText>
      </w:r>
      <w:r>
        <w:rPr>
          <w:b/>
          <w:color w:val="1F497D" w:themeColor="text2"/>
          <w:sz w:val="28"/>
          <w:szCs w:val="28"/>
        </w:rPr>
        <w:fldChar w:fldCharType="separate"/>
      </w:r>
      <w:r w:rsidR="004132C4">
        <w:rPr>
          <w:noProof/>
        </w:rPr>
        <w:t>Slika 1. Mape siromaštva na razini NUTS3 i na razini JLS</w:t>
      </w:r>
      <w:r w:rsidR="004132C4">
        <w:rPr>
          <w:noProof/>
        </w:rPr>
        <w:tab/>
      </w:r>
      <w:r w:rsidR="004132C4">
        <w:rPr>
          <w:noProof/>
        </w:rPr>
        <w:fldChar w:fldCharType="begin"/>
      </w:r>
      <w:r w:rsidR="004132C4">
        <w:rPr>
          <w:noProof/>
        </w:rPr>
        <w:instrText xml:space="preserve"> PAGEREF _Toc437387457 \h </w:instrText>
      </w:r>
      <w:r w:rsidR="004132C4">
        <w:rPr>
          <w:noProof/>
        </w:rPr>
      </w:r>
      <w:r w:rsidR="004132C4">
        <w:rPr>
          <w:noProof/>
        </w:rPr>
        <w:fldChar w:fldCharType="separate"/>
      </w:r>
      <w:r w:rsidR="004132C4">
        <w:rPr>
          <w:noProof/>
        </w:rPr>
        <w:t>13</w:t>
      </w:r>
      <w:r w:rsidR="004132C4">
        <w:rPr>
          <w:noProof/>
        </w:rPr>
        <w:fldChar w:fldCharType="end"/>
      </w:r>
    </w:p>
    <w:p w14:paraId="23B169FE"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Slika 2. Planirani sustav središnjih naselja, Strategija prostornog razvoja Republike Hrvatske</w:t>
      </w:r>
      <w:r>
        <w:rPr>
          <w:noProof/>
        </w:rPr>
        <w:tab/>
      </w:r>
      <w:r>
        <w:rPr>
          <w:noProof/>
        </w:rPr>
        <w:fldChar w:fldCharType="begin"/>
      </w:r>
      <w:r>
        <w:rPr>
          <w:noProof/>
        </w:rPr>
        <w:instrText xml:space="preserve"> PAGEREF _Toc437387458 \h </w:instrText>
      </w:r>
      <w:r>
        <w:rPr>
          <w:noProof/>
        </w:rPr>
      </w:r>
      <w:r>
        <w:rPr>
          <w:noProof/>
        </w:rPr>
        <w:fldChar w:fldCharType="separate"/>
      </w:r>
      <w:r>
        <w:rPr>
          <w:noProof/>
        </w:rPr>
        <w:t>14</w:t>
      </w:r>
      <w:r>
        <w:rPr>
          <w:noProof/>
        </w:rPr>
        <w:fldChar w:fldCharType="end"/>
      </w:r>
    </w:p>
    <w:p w14:paraId="683C0DB0"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Slika 3. Prikaz podataka o dostupnosti i korištenju brzina nepokretnog širokopojasnog pristupa kućanstava na području gradova Karlovac, Duga Resa, Ozalj te područje Karlovačke županije (2019.)</w:t>
      </w:r>
      <w:r>
        <w:rPr>
          <w:noProof/>
        </w:rPr>
        <w:tab/>
      </w:r>
      <w:r>
        <w:rPr>
          <w:noProof/>
        </w:rPr>
        <w:fldChar w:fldCharType="begin"/>
      </w:r>
      <w:r>
        <w:rPr>
          <w:noProof/>
        </w:rPr>
        <w:instrText xml:space="preserve"> PAGEREF _Toc437387459 \h </w:instrText>
      </w:r>
      <w:r>
        <w:rPr>
          <w:noProof/>
        </w:rPr>
      </w:r>
      <w:r>
        <w:rPr>
          <w:noProof/>
        </w:rPr>
        <w:fldChar w:fldCharType="separate"/>
      </w:r>
      <w:r>
        <w:rPr>
          <w:noProof/>
        </w:rPr>
        <w:t>52</w:t>
      </w:r>
      <w:r>
        <w:rPr>
          <w:noProof/>
        </w:rPr>
        <w:fldChar w:fldCharType="end"/>
      </w:r>
    </w:p>
    <w:p w14:paraId="62E5FFAA" w14:textId="77777777" w:rsidR="004132C4" w:rsidRDefault="004132C4">
      <w:pPr>
        <w:pStyle w:val="TableofFigures"/>
        <w:tabs>
          <w:tab w:val="right" w:leader="dot" w:pos="9118"/>
        </w:tabs>
        <w:rPr>
          <w:rFonts w:asciiTheme="minorHAnsi" w:hAnsiTheme="minorHAnsi"/>
          <w:noProof/>
          <w:sz w:val="24"/>
          <w:szCs w:val="24"/>
          <w:lang w:val="en-GB" w:eastAsia="ja-JP"/>
        </w:rPr>
      </w:pPr>
      <w:r>
        <w:rPr>
          <w:noProof/>
        </w:rPr>
        <w:t>Slika 4. Grafički prikaz strateških ciljeva, prioriteta i mjera SRVUPKA</w:t>
      </w:r>
      <w:r>
        <w:rPr>
          <w:noProof/>
        </w:rPr>
        <w:tab/>
      </w:r>
      <w:r>
        <w:rPr>
          <w:noProof/>
        </w:rPr>
        <w:fldChar w:fldCharType="begin"/>
      </w:r>
      <w:r>
        <w:rPr>
          <w:noProof/>
        </w:rPr>
        <w:instrText xml:space="preserve"> PAGEREF _Toc437387460 \h </w:instrText>
      </w:r>
      <w:r>
        <w:rPr>
          <w:noProof/>
        </w:rPr>
      </w:r>
      <w:r>
        <w:rPr>
          <w:noProof/>
        </w:rPr>
        <w:fldChar w:fldCharType="separate"/>
      </w:r>
      <w:r>
        <w:rPr>
          <w:noProof/>
        </w:rPr>
        <w:t>74</w:t>
      </w:r>
      <w:r>
        <w:rPr>
          <w:noProof/>
        </w:rPr>
        <w:fldChar w:fldCharType="end"/>
      </w:r>
    </w:p>
    <w:p w14:paraId="32D12589" w14:textId="77777777" w:rsidR="00604418" w:rsidRPr="0070436D" w:rsidRDefault="00604418" w:rsidP="0070436D">
      <w:pPr>
        <w:spacing w:before="0" w:after="0"/>
      </w:pPr>
      <w:r>
        <w:fldChar w:fldCharType="end"/>
      </w:r>
    </w:p>
    <w:p w14:paraId="19ED910D" w14:textId="77777777" w:rsidR="00604418" w:rsidRPr="0070436D" w:rsidRDefault="00604418" w:rsidP="0070436D">
      <w:pPr>
        <w:spacing w:before="0" w:after="0"/>
      </w:pPr>
    </w:p>
    <w:p w14:paraId="69463490" w14:textId="20F11257" w:rsidR="00FD325D" w:rsidRDefault="00604418">
      <w:pPr>
        <w:spacing w:before="0" w:after="0"/>
        <w:jc w:val="left"/>
        <w:rPr>
          <w:b/>
          <w:color w:val="1F497D" w:themeColor="text2"/>
          <w:sz w:val="28"/>
          <w:szCs w:val="28"/>
        </w:rPr>
      </w:pPr>
      <w:r>
        <w:rPr>
          <w:b/>
          <w:color w:val="1F497D" w:themeColor="text2"/>
          <w:sz w:val="28"/>
          <w:szCs w:val="28"/>
        </w:rPr>
        <w:t>Popis kratica</w:t>
      </w:r>
    </w:p>
    <w:p w14:paraId="78604983" w14:textId="77777777" w:rsidR="00604418" w:rsidRDefault="00604418">
      <w:pPr>
        <w:spacing w:before="0" w:after="0"/>
        <w:jc w:val="left"/>
      </w:pPr>
    </w:p>
    <w:tbl>
      <w:tblPr>
        <w:tblStyle w:val="TableGrid"/>
        <w:tblW w:w="0" w:type="auto"/>
        <w:tblBorders>
          <w:top w:val="dotted" w:sz="4" w:space="0" w:color="auto"/>
          <w:left w:val="dotted" w:sz="4" w:space="0" w:color="auto"/>
          <w:bottom w:val="dotted" w:sz="4" w:space="0" w:color="auto"/>
          <w:right w:val="dotted" w:sz="4" w:space="0" w:color="auto"/>
          <w:insideH w:val="dotted" w:sz="4" w:space="0" w:color="auto"/>
          <w:insideV w:val="none" w:sz="0" w:space="0" w:color="auto"/>
        </w:tblBorders>
        <w:tblLook w:val="04A0" w:firstRow="1" w:lastRow="0" w:firstColumn="1" w:lastColumn="0" w:noHBand="0" w:noVBand="1"/>
      </w:tblPr>
      <w:tblGrid>
        <w:gridCol w:w="2376"/>
        <w:gridCol w:w="6912"/>
      </w:tblGrid>
      <w:tr w:rsidR="00604418" w:rsidRPr="00604418" w14:paraId="7986A5FA" w14:textId="77777777" w:rsidTr="009D7BA9">
        <w:tc>
          <w:tcPr>
            <w:tcW w:w="2376" w:type="dxa"/>
          </w:tcPr>
          <w:p w14:paraId="5AD7F80E" w14:textId="77777777" w:rsidR="00604418" w:rsidRPr="00604418" w:rsidRDefault="00604418" w:rsidP="00604418">
            <w:pPr>
              <w:spacing w:before="60" w:after="60"/>
              <w:jc w:val="left"/>
              <w:rPr>
                <w:rFonts w:ascii="Calibri Light" w:hAnsi="Calibri Light"/>
              </w:rPr>
            </w:pPr>
            <w:r w:rsidRPr="00604418">
              <w:rPr>
                <w:rFonts w:ascii="Calibri Light" w:hAnsi="Calibri Light"/>
              </w:rPr>
              <w:t>BDP</w:t>
            </w:r>
          </w:p>
        </w:tc>
        <w:tc>
          <w:tcPr>
            <w:tcW w:w="6912" w:type="dxa"/>
          </w:tcPr>
          <w:p w14:paraId="2A5427C6" w14:textId="77777777" w:rsidR="00604418" w:rsidRPr="00604418" w:rsidRDefault="00604418" w:rsidP="00604418">
            <w:pPr>
              <w:spacing w:before="60" w:after="60"/>
              <w:jc w:val="left"/>
              <w:rPr>
                <w:rFonts w:ascii="Calibri Light" w:hAnsi="Calibri Light"/>
              </w:rPr>
            </w:pPr>
            <w:r w:rsidRPr="00604418">
              <w:rPr>
                <w:rFonts w:ascii="Calibri Light" w:hAnsi="Calibri Light"/>
              </w:rPr>
              <w:t>Bruto domaći proizvod</w:t>
            </w:r>
          </w:p>
        </w:tc>
      </w:tr>
      <w:tr w:rsidR="00604418" w:rsidRPr="00604418" w14:paraId="036039FF" w14:textId="77777777" w:rsidTr="009D7BA9">
        <w:tc>
          <w:tcPr>
            <w:tcW w:w="2376" w:type="dxa"/>
          </w:tcPr>
          <w:p w14:paraId="3D9A59DD" w14:textId="77777777" w:rsidR="00604418" w:rsidRPr="00604418" w:rsidRDefault="00604418" w:rsidP="00604418">
            <w:pPr>
              <w:spacing w:before="60" w:after="60"/>
              <w:jc w:val="left"/>
              <w:rPr>
                <w:rFonts w:ascii="Calibri Light" w:hAnsi="Calibri Light"/>
              </w:rPr>
            </w:pPr>
            <w:r w:rsidRPr="00604418">
              <w:rPr>
                <w:rFonts w:ascii="Calibri Light" w:hAnsi="Calibri Light"/>
              </w:rPr>
              <w:t>DZS</w:t>
            </w:r>
          </w:p>
        </w:tc>
        <w:tc>
          <w:tcPr>
            <w:tcW w:w="6912" w:type="dxa"/>
          </w:tcPr>
          <w:p w14:paraId="65763871" w14:textId="77777777" w:rsidR="00604418" w:rsidRPr="00604418" w:rsidRDefault="00604418" w:rsidP="00604418">
            <w:pPr>
              <w:spacing w:before="60" w:after="60"/>
              <w:jc w:val="left"/>
              <w:rPr>
                <w:rFonts w:ascii="Calibri Light" w:hAnsi="Calibri Light"/>
              </w:rPr>
            </w:pPr>
            <w:r w:rsidRPr="00604418">
              <w:rPr>
                <w:rFonts w:ascii="Calibri Light" w:hAnsi="Calibri Light"/>
              </w:rPr>
              <w:t>Državni zavod za statistiku</w:t>
            </w:r>
          </w:p>
        </w:tc>
      </w:tr>
      <w:tr w:rsidR="00604418" w:rsidRPr="00604418" w14:paraId="1D88F3FC" w14:textId="77777777" w:rsidTr="009D7BA9">
        <w:tc>
          <w:tcPr>
            <w:tcW w:w="2376" w:type="dxa"/>
          </w:tcPr>
          <w:p w14:paraId="1D9D912E" w14:textId="77777777" w:rsidR="00604418" w:rsidRPr="00604418" w:rsidRDefault="00604418" w:rsidP="00604418">
            <w:pPr>
              <w:spacing w:before="60" w:after="60"/>
              <w:jc w:val="left"/>
              <w:rPr>
                <w:rFonts w:ascii="Calibri Light" w:hAnsi="Calibri Light"/>
              </w:rPr>
            </w:pPr>
            <w:r w:rsidRPr="00604418">
              <w:rPr>
                <w:rFonts w:ascii="Calibri Light" w:hAnsi="Calibri Light"/>
              </w:rPr>
              <w:t>EU</w:t>
            </w:r>
          </w:p>
        </w:tc>
        <w:tc>
          <w:tcPr>
            <w:tcW w:w="6912" w:type="dxa"/>
          </w:tcPr>
          <w:p w14:paraId="40D74543" w14:textId="77777777" w:rsidR="00604418" w:rsidRPr="00604418" w:rsidRDefault="00604418" w:rsidP="00604418">
            <w:pPr>
              <w:spacing w:before="60" w:after="60"/>
              <w:jc w:val="left"/>
              <w:rPr>
                <w:rFonts w:ascii="Calibri Light" w:hAnsi="Calibri Light"/>
              </w:rPr>
            </w:pPr>
            <w:r w:rsidRPr="00604418">
              <w:rPr>
                <w:rFonts w:ascii="Calibri Light" w:hAnsi="Calibri Light"/>
              </w:rPr>
              <w:t>Europska unija</w:t>
            </w:r>
          </w:p>
        </w:tc>
      </w:tr>
      <w:tr w:rsidR="00604418" w:rsidRPr="00604418" w14:paraId="718AF240" w14:textId="77777777" w:rsidTr="009D7BA9">
        <w:tc>
          <w:tcPr>
            <w:tcW w:w="2376" w:type="dxa"/>
          </w:tcPr>
          <w:p w14:paraId="2A04B974" w14:textId="77777777" w:rsidR="00604418" w:rsidRPr="00604418" w:rsidRDefault="00604418" w:rsidP="00604418">
            <w:pPr>
              <w:spacing w:before="60" w:after="60"/>
              <w:jc w:val="left"/>
              <w:rPr>
                <w:rFonts w:ascii="Calibri Light" w:hAnsi="Calibri Light"/>
              </w:rPr>
            </w:pPr>
            <w:r w:rsidRPr="00604418">
              <w:rPr>
                <w:rFonts w:ascii="Calibri Light" w:hAnsi="Calibri Light"/>
              </w:rPr>
              <w:t>HGK</w:t>
            </w:r>
          </w:p>
        </w:tc>
        <w:tc>
          <w:tcPr>
            <w:tcW w:w="6912" w:type="dxa"/>
          </w:tcPr>
          <w:p w14:paraId="124B65BE" w14:textId="77777777" w:rsidR="00604418" w:rsidRPr="00604418" w:rsidRDefault="00604418" w:rsidP="00604418">
            <w:pPr>
              <w:spacing w:before="60" w:after="60"/>
              <w:jc w:val="left"/>
              <w:rPr>
                <w:rFonts w:ascii="Calibri Light" w:hAnsi="Calibri Light"/>
              </w:rPr>
            </w:pPr>
            <w:r w:rsidRPr="00604418">
              <w:rPr>
                <w:rFonts w:ascii="Calibri Light" w:hAnsi="Calibri Light"/>
              </w:rPr>
              <w:t>Hrvatska gospodarska komora</w:t>
            </w:r>
          </w:p>
        </w:tc>
      </w:tr>
      <w:tr w:rsidR="00604418" w:rsidRPr="00604418" w14:paraId="2D053737" w14:textId="77777777" w:rsidTr="009D7BA9">
        <w:tc>
          <w:tcPr>
            <w:tcW w:w="2376" w:type="dxa"/>
          </w:tcPr>
          <w:p w14:paraId="7A7C8558" w14:textId="77777777" w:rsidR="00604418" w:rsidRPr="00604418" w:rsidRDefault="00604418" w:rsidP="00604418">
            <w:pPr>
              <w:spacing w:before="60" w:after="60"/>
              <w:jc w:val="left"/>
              <w:rPr>
                <w:rFonts w:ascii="Calibri Light" w:hAnsi="Calibri Light"/>
              </w:rPr>
            </w:pPr>
            <w:r w:rsidRPr="00604418">
              <w:rPr>
                <w:rFonts w:ascii="Calibri Light" w:hAnsi="Calibri Light"/>
              </w:rPr>
              <w:t>HROTE</w:t>
            </w:r>
          </w:p>
        </w:tc>
        <w:tc>
          <w:tcPr>
            <w:tcW w:w="6912" w:type="dxa"/>
          </w:tcPr>
          <w:p w14:paraId="16148A2A" w14:textId="581B5BD5" w:rsidR="00604418" w:rsidRPr="00604418" w:rsidRDefault="00B55150" w:rsidP="00604418">
            <w:pPr>
              <w:spacing w:before="60" w:after="60"/>
              <w:jc w:val="left"/>
              <w:rPr>
                <w:rFonts w:ascii="Calibri Light" w:hAnsi="Calibri Light"/>
              </w:rPr>
            </w:pPr>
            <w:r>
              <w:rPr>
                <w:rFonts w:ascii="Calibri Light" w:hAnsi="Calibri Light"/>
              </w:rPr>
              <w:t>Hrvatski</w:t>
            </w:r>
            <w:r w:rsidR="00604418" w:rsidRPr="00604418">
              <w:rPr>
                <w:rFonts w:ascii="Calibri Light" w:hAnsi="Calibri Light"/>
              </w:rPr>
              <w:t xml:space="preserve"> operator tržišta energije</w:t>
            </w:r>
          </w:p>
        </w:tc>
      </w:tr>
      <w:tr w:rsidR="00604418" w:rsidRPr="00604418" w14:paraId="613BBC1A" w14:textId="77777777" w:rsidTr="009D7BA9">
        <w:tc>
          <w:tcPr>
            <w:tcW w:w="2376" w:type="dxa"/>
          </w:tcPr>
          <w:p w14:paraId="3C23F72C" w14:textId="77777777" w:rsidR="00604418" w:rsidRPr="00604418" w:rsidRDefault="00604418" w:rsidP="00604418">
            <w:pPr>
              <w:spacing w:before="60" w:after="60"/>
              <w:jc w:val="left"/>
              <w:rPr>
                <w:rFonts w:ascii="Calibri Light" w:hAnsi="Calibri Light"/>
              </w:rPr>
            </w:pPr>
            <w:r w:rsidRPr="00604418">
              <w:rPr>
                <w:rFonts w:ascii="Calibri Light" w:hAnsi="Calibri Light"/>
              </w:rPr>
              <w:t>KŽ</w:t>
            </w:r>
          </w:p>
        </w:tc>
        <w:tc>
          <w:tcPr>
            <w:tcW w:w="6912" w:type="dxa"/>
          </w:tcPr>
          <w:p w14:paraId="4ACE23AF" w14:textId="77777777" w:rsidR="00604418" w:rsidRPr="00604418" w:rsidRDefault="00604418" w:rsidP="00604418">
            <w:pPr>
              <w:spacing w:before="60" w:after="60"/>
              <w:jc w:val="left"/>
              <w:rPr>
                <w:rFonts w:ascii="Calibri Light" w:hAnsi="Calibri Light"/>
              </w:rPr>
            </w:pPr>
            <w:r w:rsidRPr="00604418">
              <w:rPr>
                <w:rFonts w:ascii="Calibri Light" w:hAnsi="Calibri Light"/>
              </w:rPr>
              <w:t>Karlovačka županija</w:t>
            </w:r>
          </w:p>
        </w:tc>
      </w:tr>
      <w:tr w:rsidR="00604418" w:rsidRPr="00604418" w14:paraId="49E928F1" w14:textId="77777777" w:rsidTr="009D7BA9">
        <w:tc>
          <w:tcPr>
            <w:tcW w:w="2376" w:type="dxa"/>
          </w:tcPr>
          <w:p w14:paraId="4BAC0EE1" w14:textId="77777777" w:rsidR="00604418" w:rsidRPr="00604418" w:rsidRDefault="00604418" w:rsidP="00604418">
            <w:pPr>
              <w:spacing w:before="60" w:after="60"/>
              <w:jc w:val="left"/>
              <w:rPr>
                <w:rFonts w:ascii="Calibri Light" w:hAnsi="Calibri Light"/>
              </w:rPr>
            </w:pPr>
            <w:r w:rsidRPr="00604418">
              <w:rPr>
                <w:rFonts w:ascii="Calibri Light" w:hAnsi="Calibri Light"/>
              </w:rPr>
              <w:t>MDOMSP</w:t>
            </w:r>
          </w:p>
        </w:tc>
        <w:tc>
          <w:tcPr>
            <w:tcW w:w="6912" w:type="dxa"/>
          </w:tcPr>
          <w:p w14:paraId="22C3BAFC" w14:textId="77777777" w:rsidR="00604418" w:rsidRPr="00604418" w:rsidRDefault="00604418" w:rsidP="00604418">
            <w:pPr>
              <w:spacing w:before="60" w:after="60"/>
              <w:jc w:val="left"/>
              <w:rPr>
                <w:rFonts w:ascii="Calibri Light" w:hAnsi="Calibri Light"/>
              </w:rPr>
            </w:pPr>
            <w:r w:rsidRPr="00604418">
              <w:rPr>
                <w:rFonts w:ascii="Calibri Light" w:hAnsi="Calibri Light"/>
              </w:rPr>
              <w:t>Ministarstvo za demografiju, obitelj, mlade i socijalnu politiku</w:t>
            </w:r>
          </w:p>
        </w:tc>
      </w:tr>
      <w:tr w:rsidR="00604418" w:rsidRPr="00604418" w14:paraId="0BB68F19" w14:textId="77777777" w:rsidTr="009D7BA9">
        <w:tc>
          <w:tcPr>
            <w:tcW w:w="2376" w:type="dxa"/>
          </w:tcPr>
          <w:p w14:paraId="10D485C3" w14:textId="77777777" w:rsidR="00604418" w:rsidRPr="00604418" w:rsidRDefault="00604418" w:rsidP="00604418">
            <w:pPr>
              <w:spacing w:before="60" w:after="60"/>
              <w:jc w:val="left"/>
              <w:rPr>
                <w:rFonts w:ascii="Calibri Light" w:hAnsi="Calibri Light"/>
              </w:rPr>
            </w:pPr>
            <w:r w:rsidRPr="00604418">
              <w:rPr>
                <w:rFonts w:ascii="Calibri Light" w:hAnsi="Calibri Light"/>
              </w:rPr>
              <w:t>MRRFEU</w:t>
            </w:r>
          </w:p>
        </w:tc>
        <w:tc>
          <w:tcPr>
            <w:tcW w:w="6912" w:type="dxa"/>
          </w:tcPr>
          <w:p w14:paraId="441C4602" w14:textId="77777777" w:rsidR="00604418" w:rsidRPr="00604418" w:rsidRDefault="00604418" w:rsidP="00604418">
            <w:pPr>
              <w:spacing w:before="60" w:after="60"/>
              <w:jc w:val="left"/>
              <w:rPr>
                <w:rFonts w:ascii="Calibri Light" w:hAnsi="Calibri Light"/>
              </w:rPr>
            </w:pPr>
            <w:r w:rsidRPr="00604418">
              <w:rPr>
                <w:rFonts w:ascii="Calibri Light" w:hAnsi="Calibri Light"/>
              </w:rPr>
              <w:t>Ministarstvo regionalnoga razvoja i fondova Europske unije</w:t>
            </w:r>
          </w:p>
        </w:tc>
      </w:tr>
      <w:tr w:rsidR="004E6A08" w:rsidRPr="00604418" w14:paraId="18E0F1DC" w14:textId="77777777" w:rsidTr="009D7BA9">
        <w:tc>
          <w:tcPr>
            <w:tcW w:w="2376" w:type="dxa"/>
          </w:tcPr>
          <w:p w14:paraId="656266C4" w14:textId="08AB394D" w:rsidR="004E6A08" w:rsidRPr="00604418" w:rsidRDefault="004E6A08" w:rsidP="00604418">
            <w:pPr>
              <w:spacing w:before="60" w:after="60"/>
              <w:jc w:val="left"/>
              <w:rPr>
                <w:rFonts w:ascii="Calibri Light" w:hAnsi="Calibri Light"/>
              </w:rPr>
            </w:pPr>
            <w:r>
              <w:rPr>
                <w:rFonts w:ascii="Calibri Light" w:hAnsi="Calibri Light"/>
              </w:rPr>
              <w:t>MSP</w:t>
            </w:r>
          </w:p>
        </w:tc>
        <w:tc>
          <w:tcPr>
            <w:tcW w:w="6912" w:type="dxa"/>
          </w:tcPr>
          <w:p w14:paraId="0B0D50C9" w14:textId="2BC1F12D" w:rsidR="004E6A08" w:rsidRPr="00604418" w:rsidRDefault="004E6A08" w:rsidP="00604418">
            <w:pPr>
              <w:spacing w:before="60" w:after="60"/>
              <w:jc w:val="left"/>
              <w:rPr>
                <w:rFonts w:ascii="Calibri Light" w:hAnsi="Calibri Light"/>
              </w:rPr>
            </w:pPr>
            <w:r>
              <w:rPr>
                <w:rFonts w:ascii="Calibri Light" w:hAnsi="Calibri Light"/>
              </w:rPr>
              <w:t>Malo i srednje poduzetništvo</w:t>
            </w:r>
          </w:p>
        </w:tc>
      </w:tr>
      <w:tr w:rsidR="00604418" w:rsidRPr="00604418" w14:paraId="038F8BA2" w14:textId="77777777" w:rsidTr="009D7BA9">
        <w:tc>
          <w:tcPr>
            <w:tcW w:w="2376" w:type="dxa"/>
          </w:tcPr>
          <w:p w14:paraId="759C79C9" w14:textId="77777777" w:rsidR="00604418" w:rsidRPr="00604418" w:rsidRDefault="00604418" w:rsidP="00604418">
            <w:pPr>
              <w:spacing w:before="60" w:after="60"/>
              <w:jc w:val="left"/>
              <w:rPr>
                <w:rFonts w:ascii="Calibri Light" w:hAnsi="Calibri Light"/>
              </w:rPr>
            </w:pPr>
            <w:r w:rsidRPr="00604418">
              <w:rPr>
                <w:rFonts w:ascii="Calibri Light" w:hAnsi="Calibri Light"/>
              </w:rPr>
              <w:t>MZO</w:t>
            </w:r>
          </w:p>
        </w:tc>
        <w:tc>
          <w:tcPr>
            <w:tcW w:w="6912" w:type="dxa"/>
          </w:tcPr>
          <w:p w14:paraId="0EF90DB5" w14:textId="77777777" w:rsidR="00604418" w:rsidRPr="00604418" w:rsidRDefault="00604418" w:rsidP="00604418">
            <w:pPr>
              <w:spacing w:before="60" w:after="60"/>
              <w:jc w:val="left"/>
              <w:rPr>
                <w:rFonts w:ascii="Calibri Light" w:hAnsi="Calibri Light"/>
              </w:rPr>
            </w:pPr>
            <w:r w:rsidRPr="00604418">
              <w:rPr>
                <w:rFonts w:ascii="Calibri Light" w:hAnsi="Calibri Light"/>
              </w:rPr>
              <w:t>Ministarstvo znanosti i obrazovanja</w:t>
            </w:r>
          </w:p>
        </w:tc>
      </w:tr>
      <w:tr w:rsidR="00604418" w:rsidRPr="00604418" w14:paraId="4BC78F21" w14:textId="77777777" w:rsidTr="009D7BA9">
        <w:tc>
          <w:tcPr>
            <w:tcW w:w="2376" w:type="dxa"/>
          </w:tcPr>
          <w:p w14:paraId="34EC8624" w14:textId="77777777" w:rsidR="00604418" w:rsidRPr="00604418" w:rsidRDefault="00604418" w:rsidP="00604418">
            <w:pPr>
              <w:spacing w:before="60" w:after="60"/>
              <w:jc w:val="left"/>
              <w:rPr>
                <w:rFonts w:ascii="Calibri Light" w:hAnsi="Calibri Light"/>
              </w:rPr>
            </w:pPr>
            <w:r w:rsidRPr="00604418">
              <w:rPr>
                <w:rFonts w:ascii="Calibri Light" w:hAnsi="Calibri Light"/>
              </w:rPr>
              <w:t>OIE</w:t>
            </w:r>
          </w:p>
        </w:tc>
        <w:tc>
          <w:tcPr>
            <w:tcW w:w="6912" w:type="dxa"/>
          </w:tcPr>
          <w:p w14:paraId="70E2E712" w14:textId="77777777" w:rsidR="00604418" w:rsidRPr="00604418" w:rsidRDefault="00604418" w:rsidP="00604418">
            <w:pPr>
              <w:spacing w:before="60" w:after="60"/>
              <w:jc w:val="left"/>
              <w:rPr>
                <w:rFonts w:ascii="Calibri Light" w:hAnsi="Calibri Light"/>
              </w:rPr>
            </w:pPr>
            <w:r w:rsidRPr="00604418">
              <w:rPr>
                <w:rFonts w:ascii="Calibri Light" w:hAnsi="Calibri Light"/>
              </w:rPr>
              <w:t>Obnovljivi izvori energije</w:t>
            </w:r>
          </w:p>
        </w:tc>
      </w:tr>
      <w:tr w:rsidR="00604418" w:rsidRPr="00604418" w14:paraId="2CC8A8C6" w14:textId="77777777" w:rsidTr="009D7BA9">
        <w:tc>
          <w:tcPr>
            <w:tcW w:w="2376" w:type="dxa"/>
          </w:tcPr>
          <w:p w14:paraId="41CACCEA" w14:textId="77777777" w:rsidR="00604418" w:rsidRPr="00604418" w:rsidRDefault="00604418" w:rsidP="00604418">
            <w:pPr>
              <w:spacing w:before="60" w:after="60"/>
              <w:jc w:val="left"/>
              <w:rPr>
                <w:rFonts w:ascii="Calibri Light" w:hAnsi="Calibri Light"/>
              </w:rPr>
            </w:pPr>
            <w:r w:rsidRPr="00604418">
              <w:rPr>
                <w:rFonts w:ascii="Calibri Light" w:hAnsi="Calibri Light"/>
              </w:rPr>
              <w:t>RH</w:t>
            </w:r>
          </w:p>
        </w:tc>
        <w:tc>
          <w:tcPr>
            <w:tcW w:w="6912" w:type="dxa"/>
          </w:tcPr>
          <w:p w14:paraId="1C240460" w14:textId="77777777" w:rsidR="00604418" w:rsidRPr="00604418" w:rsidRDefault="00604418" w:rsidP="00604418">
            <w:pPr>
              <w:spacing w:before="60" w:after="60"/>
              <w:jc w:val="left"/>
              <w:rPr>
                <w:rFonts w:ascii="Calibri Light" w:hAnsi="Calibri Light"/>
              </w:rPr>
            </w:pPr>
            <w:r w:rsidRPr="00604418">
              <w:rPr>
                <w:rFonts w:ascii="Calibri Light" w:hAnsi="Calibri Light"/>
              </w:rPr>
              <w:t>Republika Hrvatska</w:t>
            </w:r>
          </w:p>
        </w:tc>
      </w:tr>
      <w:tr w:rsidR="00604418" w:rsidRPr="00604418" w14:paraId="5D6371AE" w14:textId="77777777" w:rsidTr="009D7BA9">
        <w:tc>
          <w:tcPr>
            <w:tcW w:w="2376" w:type="dxa"/>
          </w:tcPr>
          <w:p w14:paraId="28FF7BDD" w14:textId="66DDFBE1" w:rsidR="00604418" w:rsidRPr="00604418" w:rsidRDefault="00604418" w:rsidP="00604418">
            <w:pPr>
              <w:spacing w:before="60" w:after="60"/>
              <w:jc w:val="left"/>
              <w:rPr>
                <w:rFonts w:ascii="Calibri Light" w:hAnsi="Calibri Light"/>
              </w:rPr>
            </w:pPr>
            <w:r w:rsidRPr="00604418">
              <w:rPr>
                <w:rFonts w:ascii="Calibri Light" w:hAnsi="Calibri Light"/>
              </w:rPr>
              <w:t>SR</w:t>
            </w:r>
            <w:r w:rsidR="00B55150">
              <w:rPr>
                <w:rFonts w:ascii="Calibri Light" w:hAnsi="Calibri Light"/>
              </w:rPr>
              <w:t>V</w:t>
            </w:r>
            <w:r w:rsidRPr="00604418">
              <w:rPr>
                <w:rFonts w:ascii="Calibri Light" w:hAnsi="Calibri Light"/>
              </w:rPr>
              <w:t>UPKA</w:t>
            </w:r>
          </w:p>
        </w:tc>
        <w:tc>
          <w:tcPr>
            <w:tcW w:w="6912" w:type="dxa"/>
          </w:tcPr>
          <w:p w14:paraId="6C3F8F25" w14:textId="2C9EE5AD" w:rsidR="00604418" w:rsidRPr="00604418" w:rsidRDefault="00604418" w:rsidP="00604418">
            <w:pPr>
              <w:spacing w:before="60" w:after="60"/>
              <w:jc w:val="left"/>
              <w:rPr>
                <w:rFonts w:ascii="Calibri Light" w:hAnsi="Calibri Light"/>
              </w:rPr>
            </w:pPr>
            <w:r w:rsidRPr="00604418">
              <w:rPr>
                <w:rFonts w:ascii="Calibri Light" w:hAnsi="Calibri Light"/>
              </w:rPr>
              <w:t xml:space="preserve">Strategija razvoja </w:t>
            </w:r>
            <w:r w:rsidR="00B55150">
              <w:rPr>
                <w:rFonts w:ascii="Calibri Light" w:hAnsi="Calibri Light"/>
              </w:rPr>
              <w:t xml:space="preserve">Većeg </w:t>
            </w:r>
            <w:r w:rsidRPr="00604418">
              <w:rPr>
                <w:rFonts w:ascii="Calibri Light" w:hAnsi="Calibri Light"/>
              </w:rPr>
              <w:t>urbanog područja Karlovac</w:t>
            </w:r>
          </w:p>
        </w:tc>
      </w:tr>
      <w:tr w:rsidR="00604418" w:rsidRPr="00604418" w14:paraId="24093D87" w14:textId="77777777" w:rsidTr="009D7BA9">
        <w:tc>
          <w:tcPr>
            <w:tcW w:w="2376" w:type="dxa"/>
          </w:tcPr>
          <w:p w14:paraId="4B0D0823" w14:textId="77777777" w:rsidR="00604418" w:rsidRPr="00604418" w:rsidRDefault="00604418" w:rsidP="00604418">
            <w:pPr>
              <w:spacing w:before="60" w:after="60"/>
              <w:jc w:val="left"/>
              <w:rPr>
                <w:rFonts w:ascii="Calibri Light" w:hAnsi="Calibri Light"/>
              </w:rPr>
            </w:pPr>
            <w:r w:rsidRPr="00604418">
              <w:rPr>
                <w:rFonts w:ascii="Calibri Light" w:hAnsi="Calibri Light"/>
              </w:rPr>
              <w:t>VUPKA</w:t>
            </w:r>
          </w:p>
        </w:tc>
        <w:tc>
          <w:tcPr>
            <w:tcW w:w="6912" w:type="dxa"/>
          </w:tcPr>
          <w:p w14:paraId="4DFDFE15" w14:textId="77777777" w:rsidR="00604418" w:rsidRPr="00604418" w:rsidRDefault="00604418" w:rsidP="00604418">
            <w:pPr>
              <w:spacing w:before="60" w:after="60"/>
              <w:jc w:val="left"/>
              <w:rPr>
                <w:rFonts w:ascii="Calibri Light" w:hAnsi="Calibri Light"/>
              </w:rPr>
            </w:pPr>
            <w:r w:rsidRPr="00604418">
              <w:rPr>
                <w:rFonts w:ascii="Calibri Light" w:hAnsi="Calibri Light"/>
              </w:rPr>
              <w:t>Veće urbano područje Karlovac</w:t>
            </w:r>
          </w:p>
        </w:tc>
      </w:tr>
    </w:tbl>
    <w:p w14:paraId="7660AF82" w14:textId="2CBF2E53" w:rsidR="00392D4B" w:rsidRDefault="00E9112A">
      <w:pPr>
        <w:spacing w:before="0" w:after="0"/>
        <w:jc w:val="left"/>
      </w:pPr>
      <w:r>
        <w:lastRenderedPageBreak/>
        <w:tab/>
      </w:r>
      <w:r w:rsidR="00392D4B">
        <w:br w:type="page"/>
      </w:r>
    </w:p>
    <w:p w14:paraId="2903E945" w14:textId="77777777" w:rsidR="00392D4B" w:rsidRPr="001A5F94" w:rsidRDefault="00392D4B" w:rsidP="001A5F94"/>
    <w:p w14:paraId="59D0655E" w14:textId="45F057B4" w:rsidR="003C7C29" w:rsidRDefault="00584072" w:rsidP="001A5F94">
      <w:pPr>
        <w:pStyle w:val="Heading1"/>
        <w:rPr>
          <w:noProof/>
        </w:rPr>
      </w:pPr>
      <w:bookmarkStart w:id="0" w:name="_Toc437390571"/>
      <w:r w:rsidRPr="00DA239E">
        <w:rPr>
          <w:noProof/>
        </w:rPr>
        <w:t>SAŽETAK</w:t>
      </w:r>
      <w:bookmarkEnd w:id="0"/>
    </w:p>
    <w:p w14:paraId="7A7A6307" w14:textId="2C7E74A7" w:rsidR="00012488" w:rsidRPr="00E426AF" w:rsidRDefault="00E426AF" w:rsidP="00E426AF">
      <w:r>
        <w:t xml:space="preserve">Odlukama gradskih vijeća u veljači 2019. godine uspostavljeno je </w:t>
      </w:r>
      <w:r w:rsidRPr="00E426AF">
        <w:rPr>
          <w:b/>
        </w:rPr>
        <w:t>Veće urbano područje</w:t>
      </w:r>
      <w:r w:rsidR="00012488" w:rsidRPr="00E426AF">
        <w:rPr>
          <w:b/>
        </w:rPr>
        <w:t xml:space="preserve"> Karlovac</w:t>
      </w:r>
      <w:r w:rsidR="00012488" w:rsidRPr="00E426AF">
        <w:t xml:space="preserve"> </w:t>
      </w:r>
      <w:r>
        <w:t>(VUPKA) koje u svom sastavu okupl</w:t>
      </w:r>
      <w:r w:rsidR="00B55150">
        <w:t>ja jedinice lokalne samouprave - gradove</w:t>
      </w:r>
      <w:r>
        <w:t xml:space="preserve"> </w:t>
      </w:r>
      <w:r w:rsidR="00012488" w:rsidRPr="00E426AF">
        <w:t>Karlovac</w:t>
      </w:r>
      <w:r>
        <w:t xml:space="preserve">, </w:t>
      </w:r>
      <w:r w:rsidR="00012488" w:rsidRPr="00E426AF">
        <w:t>Ozalj</w:t>
      </w:r>
      <w:r>
        <w:t xml:space="preserve"> i </w:t>
      </w:r>
      <w:r w:rsidR="00012488" w:rsidRPr="00E426AF">
        <w:t>Duga Resa</w:t>
      </w:r>
      <w:r>
        <w:t>, i koje je u ožujku iste godine potvrđeno pozitivnim mišljenjem Ministarstva regionalnoga razvoja i fondova Europske unije.</w:t>
      </w:r>
    </w:p>
    <w:p w14:paraId="3B022C02" w14:textId="69B19334" w:rsidR="00012488" w:rsidRPr="00DE7574" w:rsidRDefault="00012488" w:rsidP="00DE7574">
      <w:r>
        <w:t xml:space="preserve">Područje gradova Karlovca, Ozlja i Duge Rese </w:t>
      </w:r>
      <w:r w:rsidR="00E426AF">
        <w:t xml:space="preserve">koji čine veće urbano područje </w:t>
      </w:r>
      <w:r>
        <w:t xml:space="preserve">je blago brežuljkasti kraj na sjevernom dijelu Karlovačke županije, 50ak km udaljenosti od Zagreba. </w:t>
      </w:r>
      <w:r w:rsidR="00DE7574">
        <w:t xml:space="preserve">Radi se o visoko urbaniziranom području pod širim gravitacijskim utjecajem glavnog grada Zagreba, koje se nalazi </w:t>
      </w:r>
      <w:r>
        <w:t>na kontaktnoj zoni južne i sjeverne Hrvatske</w:t>
      </w:r>
      <w:r w:rsidR="00DE7574">
        <w:t xml:space="preserve"> </w:t>
      </w:r>
      <w:r w:rsidR="005B41B4">
        <w:t>odnosno na glavnom prometnom prav</w:t>
      </w:r>
      <w:r>
        <w:t>c</w:t>
      </w:r>
      <w:r w:rsidR="005B41B4">
        <w:t>u</w:t>
      </w:r>
      <w:r>
        <w:t xml:space="preserve"> koji spaja sjever i jug Hrvatske </w:t>
      </w:r>
      <w:r w:rsidR="005B41B4">
        <w:t>–</w:t>
      </w:r>
      <w:r>
        <w:t xml:space="preserve"> </w:t>
      </w:r>
      <w:r w:rsidR="005B41B4">
        <w:t xml:space="preserve">uz </w:t>
      </w:r>
      <w:r>
        <w:t>autoceste Zagreb-Rijeka i Zagreb-Split-Dubrovnik.</w:t>
      </w:r>
      <w:r w:rsidR="00DE7574">
        <w:t xml:space="preserve"> Iako </w:t>
      </w:r>
      <w:r w:rsidRPr="00DE7574">
        <w:t>VUPKA zauzima tek oko 20% površine Karlovačke županije, na ovom području živi ukup</w:t>
      </w:r>
      <w:r w:rsidR="00DE7574">
        <w:t>no 57% županijskog stanovništva</w:t>
      </w:r>
      <w:r w:rsidRPr="00DE7574">
        <w:t>. Urbani ut</w:t>
      </w:r>
      <w:r w:rsidR="00B55150">
        <w:t>jecaj triju gradova očituje se u</w:t>
      </w:r>
      <w:r w:rsidRPr="00DE7574">
        <w:t xml:space="preserve"> udjelu stanovnika VUPKA u broju stanovnika </w:t>
      </w:r>
      <w:r w:rsidR="00DE7574">
        <w:t>Karlovačke županije</w:t>
      </w:r>
      <w:r w:rsidRPr="00DE7574">
        <w:t>, koji se u razdoblju od 1971. do 2011. popeo sa 45% na sadašnjih 57%.</w:t>
      </w:r>
    </w:p>
    <w:p w14:paraId="44A40C8D" w14:textId="2015EDF3" w:rsidR="00DE7574" w:rsidRDefault="00DE7574" w:rsidP="00DE7574">
      <w:r>
        <w:t xml:space="preserve">Iako prostorni i demografski podaci pokazuju da je </w:t>
      </w:r>
      <w:r w:rsidR="00B55150">
        <w:t xml:space="preserve">ovo </w:t>
      </w:r>
      <w:r>
        <w:t xml:space="preserve">područje, kao i </w:t>
      </w:r>
      <w:r w:rsidR="00B55150">
        <w:t xml:space="preserve">velik dio cijele </w:t>
      </w:r>
      <w:r>
        <w:t xml:space="preserve">Hrvatske, teško pogođeno depopulacijom i deruralizacijom prostora, evidentna je </w:t>
      </w:r>
      <w:r>
        <w:rPr>
          <w:b/>
        </w:rPr>
        <w:t>koncentracija</w:t>
      </w:r>
      <w:r w:rsidRPr="00786429">
        <w:rPr>
          <w:b/>
        </w:rPr>
        <w:t xml:space="preserve"> stanovništva (73%) u tri urbana centra – naseljima Karlovac, Ozalj i Duga Resa, kao i gravitacijski značaj grada Karlovca</w:t>
      </w:r>
      <w:r>
        <w:t xml:space="preserve"> koji se ogleda i iz podataka o dnevnim migracijama na temelju kojih je uspostavljeno Veće urbano područje Karlovac (udio dnevnih migranata iz Ozlja i Duge Rese u Karlovac je </w:t>
      </w:r>
      <w:r w:rsidR="00B55150">
        <w:t>veći od</w:t>
      </w:r>
      <w:r>
        <w:t xml:space="preserve"> 30%)</w:t>
      </w:r>
      <w:r w:rsidRPr="003F0585">
        <w:t xml:space="preserve">. </w:t>
      </w:r>
    </w:p>
    <w:p w14:paraId="390A8728" w14:textId="29754B38" w:rsidR="00DE7574" w:rsidRDefault="00DE7574" w:rsidP="00DE7574">
      <w:r>
        <w:t xml:space="preserve">Iako je </w:t>
      </w:r>
      <w:r w:rsidRPr="007147C3">
        <w:rPr>
          <w:b/>
        </w:rPr>
        <w:t>disperziranost naseljenosti i velik broj malih naselja nepovoljna karakteristika urbane strukture VUPKA</w:t>
      </w:r>
      <w:r>
        <w:t xml:space="preserve"> koja podrazumijeva uobičajene negativne efekte (suvišni pritisci na okoliš, opterećenje komunalne infrastrukture i sl.), </w:t>
      </w:r>
      <w:r w:rsidRPr="007147C3">
        <w:rPr>
          <w:b/>
        </w:rPr>
        <w:t>postojeća kon</w:t>
      </w:r>
      <w:r w:rsidR="00B55150">
        <w:rPr>
          <w:b/>
        </w:rPr>
        <w:t>centracija stanovništva i socio</w:t>
      </w:r>
      <w:r w:rsidRPr="007147C3">
        <w:rPr>
          <w:b/>
        </w:rPr>
        <w:t>ekonomskog života u ova tri centra je povoljno zatečeno stanje koje je dobar temelj za održivu prostornu organizaciju i policentrični razvoj</w:t>
      </w:r>
      <w:r>
        <w:t xml:space="preserve">. Prema planiranim stupnjevima centraliteta središnjih naselja koji su nužni za uravnoteženi prostorni razvoj države kako ga definira Strategija prostornog razvoja Republike Hrvatske, </w:t>
      </w:r>
      <w:r w:rsidRPr="00DE6514">
        <w:rPr>
          <w:b/>
        </w:rPr>
        <w:t>gradovi Karlovac, Duga Resa i Ozalj su regionalni (Karlovac), odnosno subregionalni centri (Ozalj, Duga Resa), čije je jačanje funkcija od presudne važnosti za ublažavanje negativnih razvojnih i demografskih procesa, izbjegavanje polarizacije između glavnog</w:t>
      </w:r>
      <w:r w:rsidR="00B55150">
        <w:rPr>
          <w:b/>
        </w:rPr>
        <w:t>a</w:t>
      </w:r>
      <w:r w:rsidRPr="00DE6514">
        <w:rPr>
          <w:b/>
        </w:rPr>
        <w:t xml:space="preserve"> grada, metropolitanskih područja i srednje velikih gradova na nacionalnoj razini te općenito, generiranje općeg regionalnog razvoja Republike Hrvatske</w:t>
      </w:r>
      <w:r>
        <w:rPr>
          <w:rStyle w:val="FootnoteReference"/>
          <w:b/>
        </w:rPr>
        <w:footnoteReference w:id="1"/>
      </w:r>
      <w:r w:rsidR="00B55150">
        <w:t>. Pritom</w:t>
      </w:r>
      <w:r>
        <w:t xml:space="preserve"> u</w:t>
      </w:r>
      <w:r w:rsidRPr="00B54E97">
        <w:t xml:space="preserve"> planiranoj policentričnoj strukturi naselja </w:t>
      </w:r>
      <w:r>
        <w:t xml:space="preserve">– kako na razini Republike Hrvatske, tako i na razini Karlovačke županije i VUPKA </w:t>
      </w:r>
      <w:r w:rsidR="00417BC3">
        <w:t>–</w:t>
      </w:r>
      <w:r>
        <w:t xml:space="preserve"> </w:t>
      </w:r>
      <w:r w:rsidR="00417BC3">
        <w:t>podrazumijeva se očuvanje</w:t>
      </w:r>
      <w:r w:rsidRPr="00B54E97">
        <w:t xml:space="preserve"> vrijednosti prirodnih</w:t>
      </w:r>
      <w:r>
        <w:t xml:space="preserve"> okružja gradova i identitet ma</w:t>
      </w:r>
      <w:r w:rsidRPr="00B54E97">
        <w:t xml:space="preserve">njih naselja, </w:t>
      </w:r>
      <w:r>
        <w:t>uz prepoznavanje i planiranje stupnjeva centraliteta i određivanje funkcija, odnosno društvenih sadržaja, bez kojih pojedino naselje ne bi smjelo ostati.</w:t>
      </w:r>
    </w:p>
    <w:p w14:paraId="576B692E" w14:textId="77777777" w:rsidR="00CF607C" w:rsidRDefault="00DE7574" w:rsidP="00DE7574">
      <w:r>
        <w:t xml:space="preserve">Na tragu ovakvog teritorijalnog konteksta postavljen je </w:t>
      </w:r>
      <w:r w:rsidRPr="00417BC3">
        <w:rPr>
          <w:b/>
        </w:rPr>
        <w:t xml:space="preserve">strateški </w:t>
      </w:r>
      <w:r w:rsidR="00417BC3" w:rsidRPr="00417BC3">
        <w:rPr>
          <w:b/>
        </w:rPr>
        <w:t>i prove</w:t>
      </w:r>
      <w:r w:rsidR="00B55150">
        <w:rPr>
          <w:b/>
        </w:rPr>
        <w:t>dbeni okvir Strategije razvoja V</w:t>
      </w:r>
      <w:r w:rsidR="00417BC3" w:rsidRPr="00417BC3">
        <w:rPr>
          <w:b/>
        </w:rPr>
        <w:t>ećeg urbanog područja Karlovac (</w:t>
      </w:r>
      <w:r w:rsidR="00B55150">
        <w:rPr>
          <w:b/>
        </w:rPr>
        <w:t>SRVUPKA</w:t>
      </w:r>
      <w:r w:rsidR="00417BC3" w:rsidRPr="00417BC3">
        <w:rPr>
          <w:b/>
        </w:rPr>
        <w:t>)</w:t>
      </w:r>
      <w:r w:rsidR="00417BC3">
        <w:t xml:space="preserve">. Metodološki, strateški okvir </w:t>
      </w:r>
      <w:r w:rsidR="00B55150">
        <w:t>SRVUPKA</w:t>
      </w:r>
      <w:r w:rsidR="00417BC3">
        <w:t xml:space="preserve"> izrastao je u kombinaciji 'top-down' i 'bottom-up' pristupa. S jedne strane</w:t>
      </w:r>
      <w:r w:rsidR="00B55150">
        <w:t>, izvršena</w:t>
      </w:r>
      <w:r w:rsidR="00417BC3">
        <w:t xml:space="preserve"> je kvalitativna komparativna analiza razvojnih napora na području triju gradova (lokalne i regionalne strategije), kako bi se ostvarila što bolja usklađenost s postojećim razvojnim politikama i inicijativama u koje su u proteklim godinama uloženi</w:t>
      </w:r>
      <w:r w:rsidR="00B55150">
        <w:t xml:space="preserve"> materijalni i ljudski resursi te je</w:t>
      </w:r>
      <w:r w:rsidR="00417BC3">
        <w:t xml:space="preserve"> izgrađen društveni konsenzus </w:t>
      </w:r>
      <w:r w:rsidR="00B55150">
        <w:t>vezano uz razvoj</w:t>
      </w:r>
      <w:r w:rsidR="00417BC3">
        <w:t xml:space="preserve"> triju gradova. S druge strane, uzeti su u obzir konkretni projektni prijedlozi u raznim fazama zrelosti (od spremnih za provedbu do projektnih ideja) ko</w:t>
      </w:r>
      <w:r w:rsidR="00B55150">
        <w:t>ji su služili kao dodatak socio</w:t>
      </w:r>
      <w:r w:rsidR="00417BC3">
        <w:t xml:space="preserve">ekonomskoj i SWOT analizi, odnosno indikator teritorijalnih potreba. </w:t>
      </w:r>
      <w:r w:rsidR="00B55150">
        <w:t>Ovakav</w:t>
      </w:r>
      <w:r w:rsidR="00417BC3">
        <w:t xml:space="preserve"> način </w:t>
      </w:r>
      <w:r w:rsidR="00417BC3" w:rsidRPr="00CA67D6">
        <w:t xml:space="preserve">utvrđivanja potreba i potencijala u obliku </w:t>
      </w:r>
      <w:r w:rsidR="00417BC3" w:rsidRPr="00CA67D6">
        <w:lastRenderedPageBreak/>
        <w:t xml:space="preserve">konkretnih razvojnih projekata </w:t>
      </w:r>
      <w:r w:rsidR="00417BC3">
        <w:t>dao je</w:t>
      </w:r>
      <w:r w:rsidR="00417BC3" w:rsidRPr="00CA67D6">
        <w:t xml:space="preserve"> čvrs</w:t>
      </w:r>
      <w:r w:rsidR="00417BC3" w:rsidRPr="00AE08A0">
        <w:t>to uporište za operacionalizaciju</w:t>
      </w:r>
      <w:r w:rsidR="00417BC3">
        <w:t xml:space="preserve"> </w:t>
      </w:r>
      <w:r w:rsidR="00B55150">
        <w:t>SRVUPKA</w:t>
      </w:r>
      <w:r w:rsidR="00417BC3">
        <w:t>, u smislu definiranja strateških projekata i projekata za realizaciju u trogodišnjem razdoblju.</w:t>
      </w:r>
    </w:p>
    <w:p w14:paraId="0C2EEAF4" w14:textId="4EAEE486" w:rsidR="00DE7574" w:rsidRDefault="00687B69" w:rsidP="00DE7574">
      <w:r>
        <w:rPr>
          <w:b/>
          <w:noProof/>
          <w:lang w:val="en-US"/>
        </w:rPr>
        <w:drawing>
          <wp:anchor distT="0" distB="0" distL="114300" distR="114300" simplePos="0" relativeHeight="251701248" behindDoc="0" locked="0" layoutInCell="1" allowOverlap="1" wp14:anchorId="2F9C2740" wp14:editId="62A4E2D9">
            <wp:simplePos x="0" y="0"/>
            <wp:positionH relativeFrom="column">
              <wp:posOffset>1028700</wp:posOffset>
            </wp:positionH>
            <wp:positionV relativeFrom="paragraph">
              <wp:posOffset>787400</wp:posOffset>
            </wp:positionV>
            <wp:extent cx="3506470" cy="3509645"/>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egija.png"/>
                    <pic:cNvPicPr/>
                  </pic:nvPicPr>
                  <pic:blipFill>
                    <a:blip r:embed="rId13">
                      <a:extLst>
                        <a:ext uri="{28A0092B-C50C-407E-A947-70E740481C1C}">
                          <a14:useLocalDpi xmlns:a14="http://schemas.microsoft.com/office/drawing/2010/main" val="0"/>
                        </a:ext>
                      </a:extLst>
                    </a:blip>
                    <a:stretch>
                      <a:fillRect/>
                    </a:stretch>
                  </pic:blipFill>
                  <pic:spPr>
                    <a:xfrm>
                      <a:off x="0" y="0"/>
                      <a:ext cx="3506470" cy="3509645"/>
                    </a:xfrm>
                    <a:prstGeom prst="rect">
                      <a:avLst/>
                    </a:prstGeom>
                  </pic:spPr>
                </pic:pic>
              </a:graphicData>
            </a:graphic>
            <wp14:sizeRelH relativeFrom="page">
              <wp14:pctWidth>0</wp14:pctWidth>
            </wp14:sizeRelH>
            <wp14:sizeRelV relativeFrom="page">
              <wp14:pctHeight>0</wp14:pctHeight>
            </wp14:sizeRelV>
          </wp:anchor>
        </w:drawing>
      </w:r>
      <w:r w:rsidR="00417BC3">
        <w:t xml:space="preserve">Kroz proces participativnog strateškog planiranja, analizom i sintezom razvojnih problema i potencijala te promišljanjem razvojnih scenarija, utvrđen je generalni razvojni smjer urbanog područja Karlovac koji podrazumijeva </w:t>
      </w:r>
      <w:r w:rsidR="00417BC3" w:rsidRPr="00417BC3">
        <w:rPr>
          <w:b/>
        </w:rPr>
        <w:t xml:space="preserve">tri generalna područja djelovanja – tri specifična cilja </w:t>
      </w:r>
      <w:r w:rsidR="00B55150">
        <w:rPr>
          <w:b/>
        </w:rPr>
        <w:t>SRVUPKA</w:t>
      </w:r>
      <w:r w:rsidR="00417BC3" w:rsidRPr="00417BC3">
        <w:rPr>
          <w:b/>
        </w:rPr>
        <w:t xml:space="preserve"> - koja su percipirana kao glavni pokretači promjena u željenom smjeru razvoja</w:t>
      </w:r>
      <w:r w:rsidR="00417BC3">
        <w:t>.</w:t>
      </w:r>
    </w:p>
    <w:p w14:paraId="6DD75CE7" w14:textId="2681C837" w:rsidR="00E21A15" w:rsidRDefault="00687B69" w:rsidP="00E21A15">
      <w:r w:rsidRPr="009304F2">
        <w:rPr>
          <w:b/>
          <w:color w:val="660066"/>
        </w:rPr>
        <w:t>Specifični Cilj 1. Revitaliz</w:t>
      </w:r>
      <w:r w:rsidR="00CF607C">
        <w:rPr>
          <w:b/>
          <w:color w:val="660066"/>
        </w:rPr>
        <w:t>ir</w:t>
      </w:r>
      <w:r w:rsidRPr="009304F2">
        <w:rPr>
          <w:b/>
          <w:color w:val="660066"/>
        </w:rPr>
        <w:t>ane urbane cjeline VUPKA</w:t>
      </w:r>
      <w:r w:rsidR="00E21A15">
        <w:rPr>
          <w:b/>
          <w:color w:val="660066"/>
        </w:rPr>
        <w:t xml:space="preserve"> </w:t>
      </w:r>
      <w:r w:rsidR="00E21A15" w:rsidRPr="00E21A15">
        <w:t>teži</w:t>
      </w:r>
      <w:r w:rsidR="00E21A15" w:rsidRPr="00E21A15">
        <w:rPr>
          <w:color w:val="660066"/>
        </w:rPr>
        <w:t xml:space="preserve"> </w:t>
      </w:r>
      <w:r w:rsidR="00E21A15" w:rsidRPr="00E21A15">
        <w:rPr>
          <w:i/>
        </w:rPr>
        <w:t>u</w:t>
      </w:r>
      <w:r w:rsidRPr="00E21A15">
        <w:rPr>
          <w:i/>
        </w:rPr>
        <w:t>naprijediti fizičke, gospodarske i socijalne strukture centralnih naselja VUPKA kao pož</w:t>
      </w:r>
      <w:r w:rsidR="00E21A15" w:rsidRPr="00E21A15">
        <w:rPr>
          <w:i/>
        </w:rPr>
        <w:t xml:space="preserve">eljnih mjesta stanovanja i rada, </w:t>
      </w:r>
      <w:r w:rsidR="00E21A15" w:rsidRPr="00E21A15">
        <w:t>tj. odnosi se na</w:t>
      </w:r>
      <w:r w:rsidR="00E21A15">
        <w:rPr>
          <w:b/>
          <w:color w:val="660066"/>
        </w:rPr>
        <w:t xml:space="preserve"> </w:t>
      </w:r>
      <w:r w:rsidRPr="00E21A15">
        <w:rPr>
          <w:b/>
          <w:color w:val="660066"/>
        </w:rPr>
        <w:t>revitalizaciju urbanih centara i njihovih gradskih urbanih jezgri</w:t>
      </w:r>
      <w:r w:rsidR="00B55150">
        <w:t xml:space="preserve"> kao žarišta socio</w:t>
      </w:r>
      <w:r>
        <w:t>ekonomske transformacije i mjesta intenzivne cirkulacije</w:t>
      </w:r>
      <w:r w:rsidR="00B55150">
        <w:t xml:space="preserve"> ljudi, roba i informacija. Pritom</w:t>
      </w:r>
      <w:r>
        <w:t xml:space="preserve"> se uvažava činjenica da su centralna naselja – Karlovac, Duga Resa i Ozalj - pokretači i nositelji funkcionalnih odnosa s</w:t>
      </w:r>
      <w:r w:rsidR="00B55150">
        <w:t>a</w:t>
      </w:r>
      <w:r>
        <w:t xml:space="preserve"> užim i širim gravitacijskim područjem, odnosno zonama različitog intenziteta funkcionalne međuovisnosti, kao i potreba da se uvaži prostorni aspekt opće i ekonomske razvojne politike. Intervencijama u urbana tkiva i jačanjem njihovih funkcija nastoji se ojačati 'nodalnu regiju' VUPKA, odnosno ojačati prostorno-funkcionalnu cjelinu koju čine tri grada i u kojoj postoji stalna interakcija ljudi, roba i informacija. </w:t>
      </w:r>
      <w:r w:rsidR="00E21A15">
        <w:t xml:space="preserve">Dva su glavna modaliteta ostvarenja ovog specifičnog cilja  (prioriteti): </w:t>
      </w:r>
    </w:p>
    <w:p w14:paraId="7A13FD3B" w14:textId="77777777" w:rsidR="00E21A15" w:rsidRDefault="00E21A15" w:rsidP="00E21A15">
      <w:pPr>
        <w:ind w:left="720"/>
        <w:rPr>
          <w:b/>
        </w:rPr>
      </w:pPr>
      <w:r>
        <w:rPr>
          <w:b/>
        </w:rPr>
        <w:t>SC1.P</w:t>
      </w:r>
      <w:r w:rsidRPr="00686B9D">
        <w:rPr>
          <w:b/>
        </w:rPr>
        <w:t xml:space="preserve">1 </w:t>
      </w:r>
      <w:r>
        <w:rPr>
          <w:b/>
        </w:rPr>
        <w:t>Obnova urbanih gradskih jezgri</w:t>
      </w:r>
    </w:p>
    <w:p w14:paraId="69C4AC15" w14:textId="45C34C54" w:rsidR="00DE7574" w:rsidRPr="006B245D" w:rsidRDefault="00E21A15" w:rsidP="006B245D">
      <w:pPr>
        <w:ind w:left="720"/>
        <w:rPr>
          <w:b/>
        </w:rPr>
      </w:pPr>
      <w:r>
        <w:rPr>
          <w:b/>
        </w:rPr>
        <w:t>SC1.P2 Razvoj sadržaja za revitalizaciju gospodarskog i društvenog života</w:t>
      </w:r>
    </w:p>
    <w:p w14:paraId="1DF4D321" w14:textId="0FC17D38" w:rsidR="006B245D" w:rsidRDefault="00687B69" w:rsidP="00E21A15">
      <w:r w:rsidRPr="00781F91">
        <w:rPr>
          <w:b/>
          <w:color w:val="943634" w:themeColor="accent2" w:themeShade="BF"/>
        </w:rPr>
        <w:t xml:space="preserve">Specifični Cilj 2. Velika infrastruktura za </w:t>
      </w:r>
      <w:r>
        <w:rPr>
          <w:b/>
          <w:color w:val="943634" w:themeColor="accent2" w:themeShade="BF"/>
        </w:rPr>
        <w:t xml:space="preserve">održivi </w:t>
      </w:r>
      <w:r w:rsidRPr="00781F91">
        <w:rPr>
          <w:b/>
          <w:color w:val="943634" w:themeColor="accent2" w:themeShade="BF"/>
        </w:rPr>
        <w:t>razvoj</w:t>
      </w:r>
      <w:r w:rsidR="00E21A15">
        <w:rPr>
          <w:b/>
          <w:color w:val="943634" w:themeColor="accent2" w:themeShade="BF"/>
        </w:rPr>
        <w:t xml:space="preserve"> </w:t>
      </w:r>
      <w:r w:rsidR="00E21A15">
        <w:t xml:space="preserve">teži </w:t>
      </w:r>
      <w:r w:rsidR="00E21A15" w:rsidRPr="00E21A15">
        <w:rPr>
          <w:i/>
        </w:rPr>
        <w:t>u</w:t>
      </w:r>
      <w:r w:rsidRPr="00E21A15">
        <w:rPr>
          <w:i/>
        </w:rPr>
        <w:t>laganjima u području energetike, prometa, vodnog i komunalnog gospodarstva stvoriti preduvjete za rast i razvoj VUPKA, kao i zaštitu prirodnih resursa i okoliša</w:t>
      </w:r>
      <w:r w:rsidR="00E21A15">
        <w:rPr>
          <w:i/>
        </w:rPr>
        <w:t>,</w:t>
      </w:r>
      <w:r w:rsidR="00E21A15" w:rsidRPr="00E21A15">
        <w:t xml:space="preserve"> </w:t>
      </w:r>
      <w:r w:rsidR="00E21A15">
        <w:t>tj.</w:t>
      </w:r>
      <w:r w:rsidR="00192EA4">
        <w:t xml:space="preserve"> </w:t>
      </w:r>
      <w:r w:rsidR="00E21A15">
        <w:t xml:space="preserve">odnosi se na </w:t>
      </w:r>
      <w:r w:rsidR="00192EA4">
        <w:rPr>
          <w:b/>
          <w:color w:val="943634" w:themeColor="accent2" w:themeShade="BF"/>
        </w:rPr>
        <w:t>veće infrastrukturne zah</w:t>
      </w:r>
      <w:r w:rsidR="00E21A15">
        <w:rPr>
          <w:b/>
          <w:color w:val="943634" w:themeColor="accent2" w:themeShade="BF"/>
        </w:rPr>
        <w:t>vate</w:t>
      </w:r>
      <w:r w:rsidR="00E21A15" w:rsidRPr="00781F91">
        <w:rPr>
          <w:b/>
          <w:color w:val="943634" w:themeColor="accent2" w:themeShade="BF"/>
        </w:rPr>
        <w:t xml:space="preserve"> </w:t>
      </w:r>
      <w:r w:rsidR="00E21A15">
        <w:t>kojima se stvar</w:t>
      </w:r>
      <w:r w:rsidR="00192EA4">
        <w:t>a</w:t>
      </w:r>
      <w:r w:rsidR="00E21A15">
        <w:t>ju preduvjeti za gospodarsku aktivnost i kvalitet</w:t>
      </w:r>
      <w:r w:rsidR="00192EA4">
        <w:t>u</w:t>
      </w:r>
      <w:r w:rsidR="00E21A15">
        <w:t xml:space="preserve"> života i stanovanja. Prvenstveno se ovdje radi o ulaganjima u sektore kao što su </w:t>
      </w:r>
      <w:r w:rsidR="00E21A15" w:rsidRPr="00533475">
        <w:rPr>
          <w:b/>
        </w:rPr>
        <w:t>energetika</w:t>
      </w:r>
      <w:r w:rsidR="00E21A15">
        <w:t xml:space="preserve"> </w:t>
      </w:r>
      <w:r w:rsidR="004E223C">
        <w:rPr>
          <w:b/>
        </w:rPr>
        <w:t>(SC2.</w:t>
      </w:r>
      <w:r w:rsidR="004E223C" w:rsidRPr="004E223C">
        <w:rPr>
          <w:b/>
        </w:rPr>
        <w:t>P1)</w:t>
      </w:r>
      <w:r w:rsidR="004E223C">
        <w:t xml:space="preserve"> </w:t>
      </w:r>
      <w:r w:rsidR="00E21A15">
        <w:t xml:space="preserve">– u cilju smanjenja energetske intenzivnosti i stvaranja održive kombinacije energetskih izvora/energetske samoodrživosti, zatim poboljšanje </w:t>
      </w:r>
      <w:r w:rsidR="00E21A15" w:rsidRPr="00533475">
        <w:rPr>
          <w:b/>
        </w:rPr>
        <w:t>prometne</w:t>
      </w:r>
      <w:r w:rsidR="00E21A15">
        <w:t xml:space="preserve"> </w:t>
      </w:r>
      <w:r w:rsidR="00E21A15" w:rsidRPr="00533475">
        <w:rPr>
          <w:b/>
        </w:rPr>
        <w:t>infrastrukture</w:t>
      </w:r>
      <w:r w:rsidR="00E21A15">
        <w:t xml:space="preserve"> </w:t>
      </w:r>
      <w:r w:rsidR="004E223C">
        <w:rPr>
          <w:b/>
        </w:rPr>
        <w:t>(SC2.</w:t>
      </w:r>
      <w:r w:rsidR="004E223C" w:rsidRPr="004E223C">
        <w:rPr>
          <w:b/>
        </w:rPr>
        <w:t xml:space="preserve">P2) </w:t>
      </w:r>
      <w:r w:rsidR="00E21A15">
        <w:t xml:space="preserve">u cilju bolje dostupnosti i veće učinkovitosti transportnog sektora te </w:t>
      </w:r>
      <w:r w:rsidR="00E21A15" w:rsidRPr="00533475">
        <w:rPr>
          <w:b/>
        </w:rPr>
        <w:t>vodna i komunalna infrastruktura</w:t>
      </w:r>
      <w:r w:rsidR="00E21A15">
        <w:t xml:space="preserve"> </w:t>
      </w:r>
      <w:r w:rsidR="004E223C" w:rsidRPr="004E223C">
        <w:rPr>
          <w:b/>
        </w:rPr>
        <w:t>(SC2.P3)</w:t>
      </w:r>
      <w:r w:rsidR="004E223C">
        <w:t xml:space="preserve"> </w:t>
      </w:r>
      <w:r w:rsidR="00E21A15">
        <w:t xml:space="preserve">koja ima za cilj bolje upravljanje vodama, otpadnim vodama i krutim otpadom. </w:t>
      </w:r>
    </w:p>
    <w:p w14:paraId="261459B1" w14:textId="5BFDED09" w:rsidR="00687B69" w:rsidRDefault="00687B69" w:rsidP="00687B69">
      <w:r w:rsidRPr="00464F70">
        <w:rPr>
          <w:b/>
          <w:color w:val="31849B" w:themeColor="accent5" w:themeShade="BF"/>
        </w:rPr>
        <w:t xml:space="preserve">Specifični Cilj 3. Konkurentno i moderno gospodarstvo VUPKA </w:t>
      </w:r>
      <w:r w:rsidR="00E21A15">
        <w:t xml:space="preserve">je usmjeren na </w:t>
      </w:r>
      <w:r w:rsidR="00E21A15">
        <w:rPr>
          <w:i/>
        </w:rPr>
        <w:t>s</w:t>
      </w:r>
      <w:r w:rsidRPr="00E21A15">
        <w:rPr>
          <w:i/>
        </w:rPr>
        <w:t>tvaranj</w:t>
      </w:r>
      <w:r w:rsidR="00192EA4">
        <w:rPr>
          <w:i/>
        </w:rPr>
        <w:t>e novih prilika za ljude, unapr</w:t>
      </w:r>
      <w:r w:rsidRPr="00E21A15">
        <w:rPr>
          <w:i/>
        </w:rPr>
        <w:t>jeđenje obrazovanja i vještina te učinkovitije korištenje resursne osnove gospodarstva i održivi razvoj modernih tehnologija.</w:t>
      </w:r>
      <w:r w:rsidR="00E21A15">
        <w:rPr>
          <w:i/>
        </w:rPr>
        <w:t xml:space="preserve"> </w:t>
      </w:r>
      <w:r w:rsidR="00E21A15" w:rsidRPr="00E21A15">
        <w:t xml:space="preserve">Ovim ciljem uvažava se činjenica </w:t>
      </w:r>
      <w:r w:rsidR="00E21A15">
        <w:t xml:space="preserve">da, iako je osiguravanje </w:t>
      </w:r>
      <w:r w:rsidR="00E21A15" w:rsidRPr="007E41D9">
        <w:lastRenderedPageBreak/>
        <w:t>minima</w:t>
      </w:r>
      <w:r w:rsidR="00E21A15">
        <w:t>lne društvene, prometne i komu</w:t>
      </w:r>
      <w:r w:rsidR="00E21A15" w:rsidRPr="007E41D9">
        <w:t>nalne infrastrukture osnovni preduvjet dostupnosti rada i osobnog napretka</w:t>
      </w:r>
      <w:r w:rsidR="00A145F8">
        <w:t xml:space="preserve"> koji su ključni</w:t>
      </w:r>
      <w:r w:rsidR="004E223C">
        <w:t xml:space="preserve"> </w:t>
      </w:r>
      <w:r w:rsidR="00A145F8">
        <w:t>čimbenici</w:t>
      </w:r>
      <w:r w:rsidR="00E21A15">
        <w:t xml:space="preserve"> odluke o mjestu sta</w:t>
      </w:r>
      <w:r w:rsidR="00E21A15" w:rsidRPr="007E41D9">
        <w:t>novanja</w:t>
      </w:r>
      <w:r w:rsidR="00E21A15">
        <w:t xml:space="preserve">, </w:t>
      </w:r>
      <w:r w:rsidR="00A145F8">
        <w:t>razvojna uloga</w:t>
      </w:r>
      <w:r w:rsidR="00E21A15">
        <w:t xml:space="preserve"> koju gradovi </w:t>
      </w:r>
      <w:r w:rsidR="00A145F8">
        <w:t xml:space="preserve">imaju </w:t>
      </w:r>
      <w:r w:rsidR="00E21A15">
        <w:t>svoje okruženje</w:t>
      </w:r>
      <w:r w:rsidR="00A145F8">
        <w:t xml:space="preserve"> može se i mora jačati kroz usmjerene i planske napore</w:t>
      </w:r>
      <w:r w:rsidR="00E21A15">
        <w:t xml:space="preserve"> </w:t>
      </w:r>
      <w:r w:rsidR="00A145F8">
        <w:t>na</w:t>
      </w:r>
      <w:r w:rsidR="00E21A15" w:rsidRPr="004E223C">
        <w:t xml:space="preserve"> razvoju konkurentnog i modernog gospodarstva</w:t>
      </w:r>
      <w:r w:rsidR="00A145F8">
        <w:t>, odnosno</w:t>
      </w:r>
      <w:r w:rsidR="00E21A15">
        <w:t xml:space="preserve"> kroz </w:t>
      </w:r>
      <w:r w:rsidR="00E21A15" w:rsidRPr="004E223C">
        <w:rPr>
          <w:b/>
          <w:color w:val="31849B" w:themeColor="accent5" w:themeShade="BF"/>
        </w:rPr>
        <w:t>ulaganja u posl</w:t>
      </w:r>
      <w:r w:rsidR="00A145F8">
        <w:rPr>
          <w:b/>
          <w:color w:val="31849B" w:themeColor="accent5" w:themeShade="BF"/>
        </w:rPr>
        <w:t>ovni sektor, ljudske resurse te</w:t>
      </w:r>
      <w:r w:rsidR="00E21A15" w:rsidRPr="004E223C">
        <w:rPr>
          <w:b/>
          <w:color w:val="31849B" w:themeColor="accent5" w:themeShade="BF"/>
        </w:rPr>
        <w:t xml:space="preserve"> </w:t>
      </w:r>
      <w:r w:rsidR="004E223C">
        <w:rPr>
          <w:b/>
          <w:color w:val="31849B" w:themeColor="accent5" w:themeShade="BF"/>
        </w:rPr>
        <w:t>gospodarske aktivnosti koje čuvaju</w:t>
      </w:r>
      <w:r w:rsidR="00E21A15" w:rsidRPr="004E223C">
        <w:rPr>
          <w:b/>
          <w:color w:val="31849B" w:themeColor="accent5" w:themeShade="BF"/>
        </w:rPr>
        <w:t xml:space="preserve"> vrijednosti prirodnih okružja gradova i identitet manjih naselja</w:t>
      </w:r>
      <w:r w:rsidR="00E21A15">
        <w:t>.</w:t>
      </w:r>
      <w:r w:rsidR="004E223C">
        <w:t xml:space="preserve"> Ostvarenje ovog specifičnog cilja usmjereno je kroz tri prioriteta</w:t>
      </w:r>
      <w:r>
        <w:t>:</w:t>
      </w:r>
    </w:p>
    <w:p w14:paraId="75C19584" w14:textId="77777777" w:rsidR="00687B69" w:rsidRDefault="00687B69" w:rsidP="00687B69">
      <w:pPr>
        <w:ind w:left="720"/>
        <w:rPr>
          <w:b/>
        </w:rPr>
      </w:pPr>
      <w:r>
        <w:rPr>
          <w:b/>
        </w:rPr>
        <w:t>SC3.</w:t>
      </w:r>
      <w:r w:rsidRPr="009D5C80">
        <w:rPr>
          <w:b/>
        </w:rPr>
        <w:t xml:space="preserve">P1 </w:t>
      </w:r>
      <w:r>
        <w:rPr>
          <w:b/>
        </w:rPr>
        <w:t>Podrška malom i srednjem poduzetništvu</w:t>
      </w:r>
    </w:p>
    <w:p w14:paraId="1E91EE54" w14:textId="77777777" w:rsidR="00687B69" w:rsidRDefault="00687B69" w:rsidP="00687B69">
      <w:pPr>
        <w:ind w:left="720"/>
        <w:rPr>
          <w:b/>
        </w:rPr>
      </w:pPr>
      <w:r>
        <w:rPr>
          <w:b/>
        </w:rPr>
        <w:t xml:space="preserve">SC3.P2 </w:t>
      </w:r>
      <w:r w:rsidRPr="009D5C80">
        <w:rPr>
          <w:b/>
        </w:rPr>
        <w:t>Ra</w:t>
      </w:r>
      <w:r>
        <w:rPr>
          <w:b/>
        </w:rPr>
        <w:t xml:space="preserve">zvoj vještina, znanja i kapaciteta </w:t>
      </w:r>
      <w:r w:rsidRPr="009D5C80">
        <w:rPr>
          <w:b/>
        </w:rPr>
        <w:t xml:space="preserve">za </w:t>
      </w:r>
      <w:r>
        <w:rPr>
          <w:b/>
        </w:rPr>
        <w:t>moderno gospodarstvo</w:t>
      </w:r>
    </w:p>
    <w:p w14:paraId="5F70CC47" w14:textId="77777777" w:rsidR="00687B69" w:rsidRPr="00306DA1" w:rsidRDefault="00687B69" w:rsidP="00687B69">
      <w:pPr>
        <w:ind w:left="720"/>
        <w:rPr>
          <w:b/>
        </w:rPr>
      </w:pPr>
      <w:r>
        <w:rPr>
          <w:b/>
        </w:rPr>
        <w:t>SC3. P3 Razvoj održive bio-ekonomije</w:t>
      </w:r>
    </w:p>
    <w:p w14:paraId="3099D992" w14:textId="6CDB812E" w:rsidR="001A5F94" w:rsidRDefault="006B245D" w:rsidP="001A5F94">
      <w:r>
        <w:t xml:space="preserve">Cjelokupni strateški okvir i logika intervencije </w:t>
      </w:r>
      <w:r w:rsidR="00B55150">
        <w:t>SRVUPKA</w:t>
      </w:r>
      <w:r>
        <w:t xml:space="preserve"> ilustriran je donjim dijagramom.</w:t>
      </w:r>
    </w:p>
    <w:p w14:paraId="1F23D6B8" w14:textId="09128435" w:rsidR="006B245D" w:rsidRDefault="00ED62CE" w:rsidP="001A5F94">
      <w:r>
        <w:rPr>
          <w:noProof/>
          <w:lang w:val="en-US"/>
        </w:rPr>
        <w:drawing>
          <wp:anchor distT="0" distB="0" distL="114300" distR="114300" simplePos="0" relativeHeight="251702272" behindDoc="0" locked="0" layoutInCell="1" allowOverlap="1" wp14:anchorId="51B815C2" wp14:editId="51B10E53">
            <wp:simplePos x="0" y="0"/>
            <wp:positionH relativeFrom="column">
              <wp:posOffset>-807086</wp:posOffset>
            </wp:positionH>
            <wp:positionV relativeFrom="paragraph">
              <wp:posOffset>0</wp:posOffset>
            </wp:positionV>
            <wp:extent cx="7460077" cy="382460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UPKA-shema.png"/>
                    <pic:cNvPicPr/>
                  </pic:nvPicPr>
                  <pic:blipFill>
                    <a:blip r:embed="rId14">
                      <a:extLst>
                        <a:ext uri="{28A0092B-C50C-407E-A947-70E740481C1C}">
                          <a14:useLocalDpi xmlns:a14="http://schemas.microsoft.com/office/drawing/2010/main" val="0"/>
                        </a:ext>
                      </a:extLst>
                    </a:blip>
                    <a:stretch>
                      <a:fillRect/>
                    </a:stretch>
                  </pic:blipFill>
                  <pic:spPr>
                    <a:xfrm>
                      <a:off x="0" y="0"/>
                      <a:ext cx="7460077" cy="3824605"/>
                    </a:xfrm>
                    <a:prstGeom prst="rect">
                      <a:avLst/>
                    </a:prstGeom>
                  </pic:spPr>
                </pic:pic>
              </a:graphicData>
            </a:graphic>
            <wp14:sizeRelH relativeFrom="page">
              <wp14:pctWidth>0</wp14:pctWidth>
            </wp14:sizeRelH>
            <wp14:sizeRelV relativeFrom="page">
              <wp14:pctHeight>0</wp14:pctHeight>
            </wp14:sizeRelV>
          </wp:anchor>
        </w:drawing>
      </w:r>
    </w:p>
    <w:p w14:paraId="193C85C4" w14:textId="683C2A0C" w:rsidR="001A5F94" w:rsidRPr="001A5F94" w:rsidRDefault="001A5F94" w:rsidP="001A5F94"/>
    <w:p w14:paraId="40A1ADFB" w14:textId="77777777" w:rsidR="005B41B4" w:rsidRDefault="005B41B4" w:rsidP="002679D0">
      <w:pPr>
        <w:spacing w:before="0" w:after="0"/>
        <w:jc w:val="left"/>
        <w:rPr>
          <w:noProof/>
        </w:rPr>
      </w:pPr>
      <w:r>
        <w:rPr>
          <w:noProof/>
        </w:rPr>
        <w:t>U</w:t>
      </w:r>
    </w:p>
    <w:p w14:paraId="26AB9F64" w14:textId="77777777" w:rsidR="005B41B4" w:rsidRDefault="005B41B4" w:rsidP="002679D0">
      <w:pPr>
        <w:spacing w:before="0" w:after="0"/>
        <w:jc w:val="left"/>
        <w:rPr>
          <w:noProof/>
        </w:rPr>
      </w:pPr>
    </w:p>
    <w:p w14:paraId="210E877C" w14:textId="77777777" w:rsidR="005B41B4" w:rsidRDefault="005B41B4" w:rsidP="002679D0">
      <w:pPr>
        <w:spacing w:before="0" w:after="0"/>
        <w:jc w:val="left"/>
        <w:rPr>
          <w:noProof/>
        </w:rPr>
      </w:pPr>
    </w:p>
    <w:p w14:paraId="457076D0" w14:textId="77777777" w:rsidR="005B41B4" w:rsidRDefault="005B41B4" w:rsidP="002679D0">
      <w:pPr>
        <w:spacing w:before="0" w:after="0"/>
        <w:jc w:val="left"/>
        <w:rPr>
          <w:noProof/>
        </w:rPr>
      </w:pPr>
    </w:p>
    <w:p w14:paraId="068AF071" w14:textId="77777777" w:rsidR="005B41B4" w:rsidRDefault="005B41B4" w:rsidP="002679D0">
      <w:pPr>
        <w:spacing w:before="0" w:after="0"/>
        <w:jc w:val="left"/>
        <w:rPr>
          <w:noProof/>
        </w:rPr>
      </w:pPr>
    </w:p>
    <w:p w14:paraId="1B36E197" w14:textId="77777777" w:rsidR="005B41B4" w:rsidRDefault="005B41B4" w:rsidP="002679D0">
      <w:pPr>
        <w:spacing w:before="0" w:after="0"/>
        <w:jc w:val="left"/>
        <w:rPr>
          <w:noProof/>
        </w:rPr>
      </w:pPr>
    </w:p>
    <w:p w14:paraId="23791CB9" w14:textId="77777777" w:rsidR="005B41B4" w:rsidRDefault="005B41B4" w:rsidP="002679D0">
      <w:pPr>
        <w:spacing w:before="0" w:after="0"/>
        <w:jc w:val="left"/>
        <w:rPr>
          <w:noProof/>
        </w:rPr>
      </w:pPr>
    </w:p>
    <w:p w14:paraId="784FA7E4" w14:textId="77777777" w:rsidR="005B41B4" w:rsidRDefault="005B41B4" w:rsidP="002679D0">
      <w:pPr>
        <w:spacing w:before="0" w:after="0"/>
        <w:jc w:val="left"/>
        <w:rPr>
          <w:noProof/>
        </w:rPr>
      </w:pPr>
    </w:p>
    <w:p w14:paraId="22E8C8FF" w14:textId="77777777" w:rsidR="005B41B4" w:rsidRDefault="005B41B4" w:rsidP="002679D0">
      <w:pPr>
        <w:spacing w:before="0" w:after="0"/>
        <w:jc w:val="left"/>
        <w:rPr>
          <w:noProof/>
        </w:rPr>
      </w:pPr>
    </w:p>
    <w:p w14:paraId="57739928" w14:textId="77777777" w:rsidR="005B41B4" w:rsidRDefault="005B41B4" w:rsidP="002679D0">
      <w:pPr>
        <w:spacing w:before="0" w:after="0"/>
        <w:jc w:val="left"/>
        <w:rPr>
          <w:noProof/>
        </w:rPr>
      </w:pPr>
    </w:p>
    <w:p w14:paraId="08C7680E" w14:textId="77777777" w:rsidR="005B41B4" w:rsidRDefault="005B41B4" w:rsidP="002679D0">
      <w:pPr>
        <w:spacing w:before="0" w:after="0"/>
        <w:jc w:val="left"/>
        <w:rPr>
          <w:noProof/>
        </w:rPr>
      </w:pPr>
    </w:p>
    <w:p w14:paraId="64EF905D" w14:textId="77777777" w:rsidR="005B41B4" w:rsidRDefault="005B41B4" w:rsidP="002679D0">
      <w:pPr>
        <w:spacing w:before="0" w:after="0"/>
        <w:jc w:val="left"/>
        <w:rPr>
          <w:noProof/>
        </w:rPr>
      </w:pPr>
    </w:p>
    <w:p w14:paraId="5582313A" w14:textId="77777777" w:rsidR="005B41B4" w:rsidRDefault="005B41B4" w:rsidP="002679D0">
      <w:pPr>
        <w:spacing w:before="0" w:after="0"/>
        <w:jc w:val="left"/>
        <w:rPr>
          <w:noProof/>
        </w:rPr>
      </w:pPr>
    </w:p>
    <w:p w14:paraId="7EA7580E" w14:textId="77777777" w:rsidR="005B41B4" w:rsidRDefault="005B41B4" w:rsidP="002679D0">
      <w:pPr>
        <w:spacing w:before="0" w:after="0"/>
        <w:jc w:val="left"/>
        <w:rPr>
          <w:noProof/>
        </w:rPr>
      </w:pPr>
    </w:p>
    <w:p w14:paraId="74EA170E" w14:textId="77777777" w:rsidR="005B41B4" w:rsidRDefault="005B41B4" w:rsidP="002679D0">
      <w:pPr>
        <w:spacing w:before="0" w:after="0"/>
        <w:jc w:val="left"/>
        <w:rPr>
          <w:noProof/>
        </w:rPr>
      </w:pPr>
    </w:p>
    <w:p w14:paraId="53836B98" w14:textId="77777777" w:rsidR="005B41B4" w:rsidRDefault="005B41B4" w:rsidP="002679D0">
      <w:pPr>
        <w:spacing w:before="0" w:after="0"/>
        <w:jc w:val="left"/>
        <w:rPr>
          <w:noProof/>
        </w:rPr>
      </w:pPr>
    </w:p>
    <w:p w14:paraId="73C39BA1" w14:textId="77777777" w:rsidR="005B41B4" w:rsidRDefault="005B41B4" w:rsidP="002679D0">
      <w:pPr>
        <w:spacing w:before="0" w:after="0"/>
        <w:jc w:val="left"/>
        <w:rPr>
          <w:noProof/>
        </w:rPr>
      </w:pPr>
    </w:p>
    <w:p w14:paraId="32366188" w14:textId="77777777" w:rsidR="005B41B4" w:rsidRDefault="005B41B4" w:rsidP="002679D0">
      <w:pPr>
        <w:spacing w:before="0" w:after="0"/>
        <w:jc w:val="left"/>
        <w:rPr>
          <w:noProof/>
        </w:rPr>
      </w:pPr>
    </w:p>
    <w:p w14:paraId="6B486390" w14:textId="77777777" w:rsidR="005B41B4" w:rsidRDefault="005B41B4" w:rsidP="002679D0">
      <w:pPr>
        <w:spacing w:before="0" w:after="0"/>
        <w:jc w:val="left"/>
        <w:rPr>
          <w:noProof/>
        </w:rPr>
      </w:pPr>
    </w:p>
    <w:p w14:paraId="19EC098F" w14:textId="2816BF84" w:rsidR="005B41B4" w:rsidRDefault="005B41B4" w:rsidP="002679D0">
      <w:pPr>
        <w:spacing w:before="0" w:after="0"/>
        <w:jc w:val="left"/>
        <w:rPr>
          <w:noProof/>
        </w:rPr>
      </w:pPr>
      <w:r>
        <w:rPr>
          <w:noProof/>
        </w:rPr>
        <w:t xml:space="preserve">U svrhu provedbe </w:t>
      </w:r>
      <w:r w:rsidR="00B55150">
        <w:rPr>
          <w:noProof/>
        </w:rPr>
        <w:t>SRVUPKA</w:t>
      </w:r>
      <w:r>
        <w:rPr>
          <w:noProof/>
        </w:rPr>
        <w:t>, planirano je 9 strateških projekata i to:</w:t>
      </w:r>
    </w:p>
    <w:p w14:paraId="2CFC4C28" w14:textId="77777777" w:rsidR="005B41B4" w:rsidRPr="00D6307B" w:rsidRDefault="005B41B4" w:rsidP="005B41B4">
      <w:pPr>
        <w:spacing w:after="0"/>
        <w:rPr>
          <w:b/>
          <w:color w:val="660066"/>
        </w:rPr>
      </w:pPr>
      <w:r>
        <w:t xml:space="preserve">Strateški projekti za ostvarenje </w:t>
      </w:r>
      <w:r w:rsidRPr="00D6307B">
        <w:rPr>
          <w:b/>
          <w:color w:val="660066"/>
        </w:rPr>
        <w:t>Specifičnog cilja 1. Revitalizirane urbane cjeline VUPKA:</w:t>
      </w:r>
    </w:p>
    <w:p w14:paraId="66025A12" w14:textId="77777777" w:rsidR="005B41B4" w:rsidRDefault="005B41B4" w:rsidP="005B41B4">
      <w:pPr>
        <w:pStyle w:val="ListParagraph"/>
        <w:numPr>
          <w:ilvl w:val="0"/>
          <w:numId w:val="18"/>
        </w:numPr>
        <w:spacing w:before="0"/>
        <w:ind w:left="714" w:hanging="357"/>
      </w:pPr>
      <w:r>
        <w:t>Karlovačka Zvijezda</w:t>
      </w:r>
    </w:p>
    <w:p w14:paraId="03463F95" w14:textId="13B5B6B9" w:rsidR="005B41B4" w:rsidRPr="00A00713" w:rsidRDefault="00A145F8" w:rsidP="005B41B4">
      <w:pPr>
        <w:pStyle w:val="ListParagraph"/>
        <w:numPr>
          <w:ilvl w:val="0"/>
          <w:numId w:val="18"/>
        </w:numPr>
      </w:pPr>
      <w:r>
        <w:t>Vojarna Lušč</w:t>
      </w:r>
      <w:r w:rsidR="005B41B4">
        <w:t>ić</w:t>
      </w:r>
    </w:p>
    <w:p w14:paraId="3901DED7" w14:textId="77777777" w:rsidR="005B41B4" w:rsidRDefault="005B41B4" w:rsidP="005B41B4">
      <w:pPr>
        <w:pStyle w:val="ListParagraph"/>
        <w:numPr>
          <w:ilvl w:val="0"/>
          <w:numId w:val="18"/>
        </w:numPr>
      </w:pPr>
      <w:r>
        <w:t>Ozalj, grad akvarela</w:t>
      </w:r>
    </w:p>
    <w:p w14:paraId="17CEC24A" w14:textId="77777777" w:rsidR="005B41B4" w:rsidRPr="00B33836" w:rsidRDefault="005B41B4" w:rsidP="005B41B4">
      <w:pPr>
        <w:pStyle w:val="ListParagraph"/>
        <w:numPr>
          <w:ilvl w:val="0"/>
          <w:numId w:val="18"/>
        </w:numPr>
      </w:pPr>
      <w:r w:rsidRPr="00B33836">
        <w:t>Revitalizacija vrtnog grada Duga Resa</w:t>
      </w:r>
    </w:p>
    <w:p w14:paraId="720055BD" w14:textId="77777777" w:rsidR="005B41B4" w:rsidRPr="00B33836" w:rsidRDefault="005B41B4" w:rsidP="005B41B4">
      <w:pPr>
        <w:spacing w:after="0"/>
        <w:rPr>
          <w:b/>
          <w:color w:val="943634" w:themeColor="accent2" w:themeShade="BF"/>
        </w:rPr>
      </w:pPr>
      <w:r>
        <w:t xml:space="preserve">Strateški projekti za ostvarenje </w:t>
      </w:r>
      <w:r w:rsidRPr="00B33836">
        <w:rPr>
          <w:b/>
          <w:color w:val="943634" w:themeColor="accent2" w:themeShade="BF"/>
        </w:rPr>
        <w:t>Specifičnog cilja 2.</w:t>
      </w:r>
      <w:r>
        <w:t xml:space="preserve"> </w:t>
      </w:r>
      <w:r w:rsidRPr="00B33836">
        <w:rPr>
          <w:b/>
          <w:color w:val="943634" w:themeColor="accent2" w:themeShade="BF"/>
        </w:rPr>
        <w:t>Velika infrastruktura za održivi razvoj:</w:t>
      </w:r>
    </w:p>
    <w:p w14:paraId="11E63118" w14:textId="77777777" w:rsidR="005B41B4" w:rsidRPr="00B54887" w:rsidRDefault="005B41B4" w:rsidP="005B41B4">
      <w:pPr>
        <w:pStyle w:val="ListParagraph"/>
        <w:numPr>
          <w:ilvl w:val="0"/>
          <w:numId w:val="18"/>
        </w:numPr>
        <w:spacing w:before="0"/>
        <w:ind w:left="714" w:hanging="357"/>
      </w:pPr>
      <w:r w:rsidRPr="00B54887">
        <w:t>Toplinarstvo i korištenje obnovljivih izvora energije</w:t>
      </w:r>
    </w:p>
    <w:p w14:paraId="46F61BE4" w14:textId="77777777" w:rsidR="005B41B4" w:rsidRDefault="005B41B4" w:rsidP="005B41B4">
      <w:pPr>
        <w:pStyle w:val="ListParagraph"/>
        <w:numPr>
          <w:ilvl w:val="0"/>
          <w:numId w:val="18"/>
        </w:numPr>
      </w:pPr>
      <w:r w:rsidRPr="00B54887">
        <w:t>Integrirani projekt mobilnosti VUPKA</w:t>
      </w:r>
    </w:p>
    <w:p w14:paraId="6A98E02E" w14:textId="77777777" w:rsidR="005B41B4" w:rsidRPr="00B54887" w:rsidRDefault="005B41B4" w:rsidP="005B41B4">
      <w:pPr>
        <w:pStyle w:val="ListParagraph"/>
        <w:numPr>
          <w:ilvl w:val="0"/>
          <w:numId w:val="18"/>
        </w:numPr>
      </w:pPr>
      <w:r>
        <w:t>Aglomeracija Karlovac – Duga Resa</w:t>
      </w:r>
    </w:p>
    <w:p w14:paraId="05DD2333" w14:textId="77777777" w:rsidR="005B41B4" w:rsidRDefault="005B41B4" w:rsidP="005B41B4">
      <w:pPr>
        <w:spacing w:after="0"/>
        <w:rPr>
          <w:b/>
          <w:color w:val="943634" w:themeColor="accent2" w:themeShade="BF"/>
        </w:rPr>
      </w:pPr>
      <w:r>
        <w:t xml:space="preserve">Strateški projekti za ostvarenje </w:t>
      </w:r>
      <w:r w:rsidRPr="00D6307B">
        <w:rPr>
          <w:b/>
          <w:color w:val="31849B" w:themeColor="accent5" w:themeShade="BF"/>
        </w:rPr>
        <w:t xml:space="preserve">Specifičnog cilja 3. </w:t>
      </w:r>
      <w:r w:rsidRPr="00464F70">
        <w:rPr>
          <w:b/>
          <w:color w:val="31849B" w:themeColor="accent5" w:themeShade="BF"/>
        </w:rPr>
        <w:t>Konkurentno i moderno gospodarstvo VUPKA</w:t>
      </w:r>
      <w:r>
        <w:rPr>
          <w:b/>
          <w:color w:val="31849B" w:themeColor="accent5" w:themeShade="BF"/>
        </w:rPr>
        <w:t>:</w:t>
      </w:r>
    </w:p>
    <w:p w14:paraId="0F9C10E1" w14:textId="77777777" w:rsidR="005B41B4" w:rsidRDefault="005B41B4" w:rsidP="005B41B4">
      <w:pPr>
        <w:pStyle w:val="ListParagraph"/>
        <w:numPr>
          <w:ilvl w:val="0"/>
          <w:numId w:val="18"/>
        </w:numPr>
        <w:spacing w:before="0"/>
        <w:ind w:left="714" w:hanging="357"/>
      </w:pPr>
      <w:r>
        <w:t>Razvoj ljudskih kapaciteta i obrazovanja</w:t>
      </w:r>
    </w:p>
    <w:p w14:paraId="7357CA4B" w14:textId="2859EA76" w:rsidR="003C7C29" w:rsidRPr="00DA239E" w:rsidRDefault="005B41B4" w:rsidP="005B41B4">
      <w:pPr>
        <w:pStyle w:val="ListParagraph"/>
        <w:numPr>
          <w:ilvl w:val="0"/>
          <w:numId w:val="18"/>
        </w:numPr>
      </w:pPr>
      <w:r>
        <w:t>Eko turizam na rijekama VUPKA</w:t>
      </w:r>
      <w:r w:rsidR="001A5F94">
        <w:rPr>
          <w:noProof/>
        </w:rPr>
        <w:br w:type="page"/>
      </w:r>
    </w:p>
    <w:p w14:paraId="09F887A0" w14:textId="30616BFC" w:rsidR="003C7C29" w:rsidRPr="00DA239E" w:rsidRDefault="00000E30" w:rsidP="001A5F94">
      <w:pPr>
        <w:pStyle w:val="Heading1"/>
        <w:rPr>
          <w:noProof/>
        </w:rPr>
      </w:pPr>
      <w:bookmarkStart w:id="1" w:name="_Toc437390572"/>
      <w:r w:rsidRPr="00DA239E">
        <w:rPr>
          <w:noProof/>
        </w:rPr>
        <w:lastRenderedPageBreak/>
        <w:t>TERITORIJALN</w:t>
      </w:r>
      <w:r w:rsidR="009D0EAC">
        <w:rPr>
          <w:noProof/>
        </w:rPr>
        <w:t>A POKRIVENOST</w:t>
      </w:r>
      <w:bookmarkEnd w:id="1"/>
    </w:p>
    <w:p w14:paraId="1E77B9A7" w14:textId="247862FD" w:rsidR="003C7C29" w:rsidRPr="00DA239E" w:rsidRDefault="00A11084" w:rsidP="001A5F94">
      <w:pPr>
        <w:pStyle w:val="Heading2"/>
        <w:rPr>
          <w:noProof/>
        </w:rPr>
      </w:pPr>
      <w:bookmarkStart w:id="2" w:name="_Toc437390573"/>
      <w:r>
        <w:rPr>
          <w:noProof/>
        </w:rPr>
        <w:t>TeritorijalnI</w:t>
      </w:r>
      <w:r w:rsidR="00C30478" w:rsidRPr="00DA239E">
        <w:rPr>
          <w:noProof/>
        </w:rPr>
        <w:t xml:space="preserve"> </w:t>
      </w:r>
      <w:r>
        <w:rPr>
          <w:noProof/>
        </w:rPr>
        <w:t>obuhvat</w:t>
      </w:r>
      <w:bookmarkEnd w:id="2"/>
      <w:r w:rsidR="00820511">
        <w:rPr>
          <w:noProof/>
        </w:rPr>
        <w:t xml:space="preserve"> </w:t>
      </w:r>
    </w:p>
    <w:p w14:paraId="0C3F821C" w14:textId="62EB38A0" w:rsidR="00001078" w:rsidRPr="00417537" w:rsidRDefault="00001078" w:rsidP="00001078">
      <w:r w:rsidRPr="00417537">
        <w:t>Zakon</w:t>
      </w:r>
      <w:r>
        <w:t>om</w:t>
      </w:r>
      <w:r w:rsidRPr="00417537">
        <w:t xml:space="preserve"> o regionalnom razvoju Republike</w:t>
      </w:r>
      <w:r>
        <w:t xml:space="preserve"> Hrvatske (</w:t>
      </w:r>
      <w:r w:rsidR="00A145F8">
        <w:t>NN</w:t>
      </w:r>
      <w:r>
        <w:t xml:space="preserve"> 147/14, 123/17, 118/18</w:t>
      </w:r>
      <w:r w:rsidRPr="00417537">
        <w:t xml:space="preserve">) </w:t>
      </w:r>
      <w:r>
        <w:t>utvrđeni su ciljevi, načela i mehanizmi upravljanja regionalnim razvojem, kao i ustroj urbanih područja, a kako bi se obuhvatila urbana dimenzija gospodarske, socijalne i teritorijalne kohezije.</w:t>
      </w:r>
    </w:p>
    <w:p w14:paraId="092FA5F4" w14:textId="77777777" w:rsidR="00CF607C" w:rsidRDefault="00001078" w:rsidP="00CF607C">
      <w:r>
        <w:t>Urbana područ</w:t>
      </w:r>
      <w:r w:rsidRPr="00417537">
        <w:t xml:space="preserve">ja </w:t>
      </w:r>
      <w:r w:rsidR="002F44C0">
        <w:t>zakonom su</w:t>
      </w:r>
      <w:r w:rsidRPr="00417537">
        <w:t xml:space="preserve"> podijeljena u tri kategorije - urbane aglomeracije</w:t>
      </w:r>
      <w:r>
        <w:t>, već</w:t>
      </w:r>
      <w:r w:rsidRPr="00417537">
        <w:t>a</w:t>
      </w:r>
      <w:r>
        <w:t xml:space="preserve"> urbana područja</w:t>
      </w:r>
      <w:r w:rsidR="00511721">
        <w:t xml:space="preserve"> (VUP)</w:t>
      </w:r>
      <w:r>
        <w:t xml:space="preserve"> i man</w:t>
      </w:r>
      <w:r w:rsidR="00511721">
        <w:t>ja urbana područ</w:t>
      </w:r>
      <w:r w:rsidRPr="00417537">
        <w:t>ja</w:t>
      </w:r>
      <w:r>
        <w:t xml:space="preserve"> (čl. 14. Zakona)</w:t>
      </w:r>
      <w:r>
        <w:rPr>
          <w:rStyle w:val="FootnoteReference"/>
        </w:rPr>
        <w:footnoteReference w:id="2"/>
      </w:r>
      <w:r w:rsidRPr="00417537">
        <w:t>.</w:t>
      </w:r>
      <w:r>
        <w:t xml:space="preserve"> Prema navedenom članku Zakona, Grad Karlovac spada u skupinu većih urbanih područja, s više od 35.000 stanovnika prema zadnjem popisu stanovništva (2011.</w:t>
      </w:r>
      <w:r w:rsidR="00A145F8">
        <w:t xml:space="preserve"> godine</w:t>
      </w:r>
      <w:r>
        <w:t>). Granice</w:t>
      </w:r>
      <w:r w:rsidRPr="00F771D0">
        <w:t xml:space="preserve"> </w:t>
      </w:r>
      <w:r w:rsidR="00A145F8">
        <w:t>većih</w:t>
      </w:r>
      <w:r>
        <w:t xml:space="preserve"> urbanih područ</w:t>
      </w:r>
      <w:r w:rsidRPr="00417537">
        <w:t>ja</w:t>
      </w:r>
      <w:r>
        <w:t xml:space="preserve"> se</w:t>
      </w:r>
      <w:r w:rsidRPr="00417537">
        <w:t xml:space="preserve"> formiraju sukladno administrativnim granicama grada, ali se mogu proširiti uključivanjem susjednih jedinica lokalne samouprave ili njihovih dijelova, uz prethodnu suglasnost njihovih predstavničkih tijela (članak 14. stavak 7. Zakona). </w:t>
      </w:r>
    </w:p>
    <w:p w14:paraId="16AC46D0" w14:textId="03FE436F" w:rsidR="00E70D3D" w:rsidRDefault="00854F4E" w:rsidP="00CF607C">
      <w:r>
        <w:rPr>
          <w:noProof/>
          <w:lang w:val="en-US"/>
        </w:rPr>
        <w:drawing>
          <wp:anchor distT="0" distB="0" distL="114300" distR="114300" simplePos="0" relativeHeight="251658240" behindDoc="0" locked="0" layoutInCell="1" allowOverlap="1" wp14:anchorId="3FAA3606" wp14:editId="4CA96E23">
            <wp:simplePos x="0" y="0"/>
            <wp:positionH relativeFrom="column">
              <wp:posOffset>-457200</wp:posOffset>
            </wp:positionH>
            <wp:positionV relativeFrom="paragraph">
              <wp:posOffset>60325</wp:posOffset>
            </wp:positionV>
            <wp:extent cx="3014980" cy="3886200"/>
            <wp:effectExtent l="0" t="0" r="762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uhvat-UPKA.png"/>
                    <pic:cNvPicPr/>
                  </pic:nvPicPr>
                  <pic:blipFill>
                    <a:blip r:embed="rId15">
                      <a:extLst>
                        <a:ext uri="{28A0092B-C50C-407E-A947-70E740481C1C}">
                          <a14:useLocalDpi xmlns:a14="http://schemas.microsoft.com/office/drawing/2010/main" val="0"/>
                        </a:ext>
                      </a:extLst>
                    </a:blip>
                    <a:stretch>
                      <a:fillRect/>
                    </a:stretch>
                  </pic:blipFill>
                  <pic:spPr>
                    <a:xfrm>
                      <a:off x="0" y="0"/>
                      <a:ext cx="3014980" cy="3886200"/>
                    </a:xfrm>
                    <a:prstGeom prst="rect">
                      <a:avLst/>
                    </a:prstGeom>
                  </pic:spPr>
                </pic:pic>
              </a:graphicData>
            </a:graphic>
            <wp14:sizeRelH relativeFrom="page">
              <wp14:pctWidth>0</wp14:pctWidth>
            </wp14:sizeRelH>
            <wp14:sizeRelV relativeFrom="page">
              <wp14:pctHeight>0</wp14:pctHeight>
            </wp14:sizeRelV>
          </wp:anchor>
        </w:drawing>
      </w:r>
      <w:r w:rsidR="00001078">
        <w:t xml:space="preserve">Teritorijalni obuhvat urbanog područja Karlovac izrađen je sukladno </w:t>
      </w:r>
      <w:r w:rsidR="00001078" w:rsidRPr="0026468F">
        <w:rPr>
          <w:i/>
        </w:rPr>
        <w:t>Metodologiji za definiranje obuhvata urbanih područja u Republici Hrvatskoj</w:t>
      </w:r>
      <w:r w:rsidR="00001078">
        <w:rPr>
          <w:rStyle w:val="FootnoteReference"/>
          <w:i/>
        </w:rPr>
        <w:footnoteReference w:id="3"/>
      </w:r>
      <w:r w:rsidR="00001078">
        <w:t xml:space="preserve"> Ministarstva regionaln</w:t>
      </w:r>
      <w:r w:rsidR="00A145F8">
        <w:t>oga razvoja i fondova Europske u</w:t>
      </w:r>
      <w:r w:rsidR="00001078">
        <w:t xml:space="preserve">nije (MRRFEU). Prema </w:t>
      </w:r>
      <w:r w:rsidR="00E70D3D">
        <w:t>navedenoj metodologiji i p</w:t>
      </w:r>
      <w:r w:rsidR="00001078">
        <w:t xml:space="preserve">rijedlogu </w:t>
      </w:r>
      <w:r w:rsidR="00A145F8">
        <w:t>Grada Karlovca kao nositelja v</w:t>
      </w:r>
      <w:r w:rsidR="00E70D3D">
        <w:t>ećeg urbanog područja te na osnovu odluka predstavničkih tijela</w:t>
      </w:r>
      <w:r w:rsidR="00E70D3D">
        <w:rPr>
          <w:rStyle w:val="FootnoteReference"/>
        </w:rPr>
        <w:footnoteReference w:id="4"/>
      </w:r>
      <w:r w:rsidR="00E70D3D">
        <w:t xml:space="preserve">, </w:t>
      </w:r>
      <w:r w:rsidR="00A145F8">
        <w:rPr>
          <w:b/>
        </w:rPr>
        <w:t>teritorijalni obuhvat V</w:t>
      </w:r>
      <w:r w:rsidR="00E70D3D" w:rsidRPr="00203C45">
        <w:rPr>
          <w:b/>
        </w:rPr>
        <w:t xml:space="preserve">ećeg urbanog područja </w:t>
      </w:r>
      <w:r w:rsidR="00A145F8" w:rsidRPr="00203C45">
        <w:rPr>
          <w:b/>
        </w:rPr>
        <w:t xml:space="preserve">Karlovac </w:t>
      </w:r>
      <w:r w:rsidR="00D2782E">
        <w:rPr>
          <w:b/>
        </w:rPr>
        <w:t>(VUP</w:t>
      </w:r>
      <w:r w:rsidR="00A145F8">
        <w:rPr>
          <w:b/>
        </w:rPr>
        <w:t>KA</w:t>
      </w:r>
      <w:r w:rsidR="00D2782E">
        <w:rPr>
          <w:b/>
        </w:rPr>
        <w:t xml:space="preserve">) </w:t>
      </w:r>
      <w:r w:rsidR="00E70D3D" w:rsidRPr="00203C45">
        <w:rPr>
          <w:b/>
        </w:rPr>
        <w:t xml:space="preserve">sastoji se od </w:t>
      </w:r>
      <w:r w:rsidR="001936A6" w:rsidRPr="00203C45">
        <w:rPr>
          <w:b/>
        </w:rPr>
        <w:t>tri jedinice</w:t>
      </w:r>
      <w:r w:rsidR="00E70D3D" w:rsidRPr="00203C45">
        <w:rPr>
          <w:b/>
        </w:rPr>
        <w:t xml:space="preserve"> lokalne samouprave</w:t>
      </w:r>
      <w:r w:rsidR="00E70D3D">
        <w:t>:</w:t>
      </w:r>
    </w:p>
    <w:p w14:paraId="36A70C2C" w14:textId="696B3ED6" w:rsidR="00E70D3D" w:rsidRPr="00E70D3D" w:rsidRDefault="00E70D3D" w:rsidP="00854F4E">
      <w:pPr>
        <w:pStyle w:val="ListParagraph"/>
        <w:numPr>
          <w:ilvl w:val="0"/>
          <w:numId w:val="8"/>
        </w:numPr>
        <w:spacing w:before="0" w:after="0"/>
        <w:ind w:left="1077" w:hanging="357"/>
        <w:rPr>
          <w:b/>
        </w:rPr>
      </w:pPr>
      <w:r w:rsidRPr="00E70D3D">
        <w:rPr>
          <w:b/>
        </w:rPr>
        <w:t>Grad Karlovac</w:t>
      </w:r>
    </w:p>
    <w:p w14:paraId="04CA8C0B" w14:textId="5C249236" w:rsidR="00E70D3D" w:rsidRPr="00E70D3D" w:rsidRDefault="00E70D3D" w:rsidP="00F950C3">
      <w:pPr>
        <w:pStyle w:val="ListParagraph"/>
        <w:numPr>
          <w:ilvl w:val="0"/>
          <w:numId w:val="8"/>
        </w:numPr>
        <w:rPr>
          <w:b/>
        </w:rPr>
      </w:pPr>
      <w:r w:rsidRPr="00E70D3D">
        <w:rPr>
          <w:b/>
        </w:rPr>
        <w:t>Grad Ozalj</w:t>
      </w:r>
    </w:p>
    <w:p w14:paraId="52568476" w14:textId="0209F850" w:rsidR="00E70D3D" w:rsidRPr="00E70D3D" w:rsidRDefault="00E70D3D" w:rsidP="00F950C3">
      <w:pPr>
        <w:pStyle w:val="ListParagraph"/>
        <w:numPr>
          <w:ilvl w:val="0"/>
          <w:numId w:val="8"/>
        </w:numPr>
        <w:rPr>
          <w:b/>
        </w:rPr>
      </w:pPr>
      <w:r w:rsidRPr="00E70D3D">
        <w:rPr>
          <w:b/>
        </w:rPr>
        <w:t>Grad Duga Resa</w:t>
      </w:r>
    </w:p>
    <w:p w14:paraId="6FAB25A8" w14:textId="4E6F3F07" w:rsidR="00001078" w:rsidRDefault="00001078" w:rsidP="00001078">
      <w:r>
        <w:t xml:space="preserve">Prijedlog </w:t>
      </w:r>
      <w:r w:rsidR="00E70D3D">
        <w:t>je sukladno Zakonu i navedenoj Metodologiji podnesen</w:t>
      </w:r>
      <w:r>
        <w:t xml:space="preserve"> na mišljenje Ministarstvu regionaln</w:t>
      </w:r>
      <w:r w:rsidR="002F44C0">
        <w:t>oga razvoja i fondova Europske u</w:t>
      </w:r>
      <w:r>
        <w:t xml:space="preserve">nije, </w:t>
      </w:r>
      <w:r w:rsidR="00E70D3D">
        <w:t xml:space="preserve">koje je na isti dalo pozitivno mišljenje </w:t>
      </w:r>
      <w:r w:rsidR="001936A6">
        <w:t>u ožujku 2019.</w:t>
      </w:r>
      <w:r w:rsidR="002F44C0">
        <w:t xml:space="preserve"> godine.</w:t>
      </w:r>
      <w:r w:rsidR="001936A6">
        <w:rPr>
          <w:rStyle w:val="FootnoteReference"/>
        </w:rPr>
        <w:footnoteReference w:id="5"/>
      </w:r>
    </w:p>
    <w:p w14:paraId="1C847DF9" w14:textId="514AFFCD" w:rsidR="005B41B4" w:rsidRDefault="00B02BA4" w:rsidP="00001078">
      <w:r>
        <w:t>Obuhvat</w:t>
      </w:r>
      <w:r w:rsidR="00854F4E">
        <w:t xml:space="preserve"> VUP</w:t>
      </w:r>
      <w:r w:rsidR="002F44C0">
        <w:t>KA</w:t>
      </w:r>
      <w:r w:rsidR="00854F4E">
        <w:t xml:space="preserve"> baziran</w:t>
      </w:r>
      <w:r w:rsidR="002F44C0">
        <w:t xml:space="preserve"> je na glavnim društveno-</w:t>
      </w:r>
      <w:r w:rsidR="005B41B4">
        <w:t>gospodarskim obilježjima urbanog područja, odnosno  kriteriju prostornog kontinuitet</w:t>
      </w:r>
      <w:r>
        <w:t xml:space="preserve">a i kriteriju dnevnih migracija; temeljem Popisa 2011., </w:t>
      </w:r>
      <w:r w:rsidR="005B41B4">
        <w:t>udio zaposlen</w:t>
      </w:r>
      <w:r w:rsidR="00854F4E">
        <w:t>ih dnevnih migranata u grad Karlovac, središte VUP</w:t>
      </w:r>
      <w:r w:rsidR="002F44C0">
        <w:t>-a</w:t>
      </w:r>
      <w:r w:rsidR="00854F4E">
        <w:t xml:space="preserve">, iznosi 38% iz </w:t>
      </w:r>
      <w:r>
        <w:t>Duge Rese, odnosno 30% iz Ozlja</w:t>
      </w:r>
      <w:r w:rsidR="00854F4E">
        <w:t>.</w:t>
      </w:r>
    </w:p>
    <w:p w14:paraId="03D68987" w14:textId="3D5BE12F" w:rsidR="003C7C29" w:rsidRPr="00DA239E" w:rsidRDefault="006201F7" w:rsidP="001A5F94">
      <w:pPr>
        <w:pStyle w:val="Heading2"/>
        <w:rPr>
          <w:noProof/>
        </w:rPr>
      </w:pPr>
      <w:bookmarkStart w:id="3" w:name="_Toc437390574"/>
      <w:r>
        <w:rPr>
          <w:noProof/>
          <w:lang w:val="en-US"/>
        </w:rPr>
        <w:lastRenderedPageBreak/>
        <w:drawing>
          <wp:anchor distT="0" distB="0" distL="114300" distR="114300" simplePos="0" relativeHeight="251694080" behindDoc="0" locked="0" layoutInCell="1" allowOverlap="1" wp14:anchorId="1803844C" wp14:editId="42D42E35">
            <wp:simplePos x="0" y="0"/>
            <wp:positionH relativeFrom="column">
              <wp:posOffset>0</wp:posOffset>
            </wp:positionH>
            <wp:positionV relativeFrom="paragraph">
              <wp:posOffset>328295</wp:posOffset>
            </wp:positionV>
            <wp:extent cx="3427095" cy="3653790"/>
            <wp:effectExtent l="0" t="0" r="1905" b="381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ljef2.png"/>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3427095" cy="3653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1B13" w:rsidRPr="00DA239E">
        <w:rPr>
          <w:noProof/>
        </w:rPr>
        <w:t>Teritorijalni kontekst</w:t>
      </w:r>
      <w:bookmarkEnd w:id="3"/>
    </w:p>
    <w:p w14:paraId="27A83104" w14:textId="5DFD21AF" w:rsidR="003A6F02" w:rsidRDefault="00203C45" w:rsidP="003A6F02">
      <w:r>
        <w:t xml:space="preserve">Prema geografskom položaju i geografsko-prirodnim obilježjima, </w:t>
      </w:r>
      <w:r w:rsidR="002F44C0">
        <w:rPr>
          <w:b/>
        </w:rPr>
        <w:t>V</w:t>
      </w:r>
      <w:r w:rsidR="00511721" w:rsidRPr="00511721">
        <w:rPr>
          <w:b/>
        </w:rPr>
        <w:t>eće urbano područje</w:t>
      </w:r>
      <w:r w:rsidRPr="00511721">
        <w:rPr>
          <w:b/>
        </w:rPr>
        <w:t xml:space="preserve"> Karlovac </w:t>
      </w:r>
      <w:r w:rsidR="00511721" w:rsidRPr="00511721">
        <w:rPr>
          <w:b/>
        </w:rPr>
        <w:t xml:space="preserve">(VUPKA) </w:t>
      </w:r>
      <w:r w:rsidR="00AE379E">
        <w:t>nalazi se</w:t>
      </w:r>
      <w:r w:rsidR="00E97FB7">
        <w:t xml:space="preserve"> </w:t>
      </w:r>
      <w:r w:rsidR="00AE379E">
        <w:t>na peripanonskom području odn</w:t>
      </w:r>
      <w:r w:rsidR="00FD325D">
        <w:t xml:space="preserve">osno sjevernom djelu središnje </w:t>
      </w:r>
      <w:r>
        <w:t>Hrvatske</w:t>
      </w:r>
      <w:r w:rsidR="00AE379E">
        <w:t xml:space="preserve"> </w:t>
      </w:r>
      <w:r w:rsidR="00E97FB7">
        <w:t>na razmeđi panonskog</w:t>
      </w:r>
      <w:r w:rsidR="00FD325D">
        <w:t xml:space="preserve"> </w:t>
      </w:r>
      <w:r w:rsidR="00E97FB7">
        <w:t>/</w:t>
      </w:r>
      <w:r w:rsidR="00FD325D">
        <w:t xml:space="preserve"> </w:t>
      </w:r>
      <w:r w:rsidR="00E97FB7">
        <w:t xml:space="preserve">peripanonskog i mediteranskog prostora Hrvatske. Područje gradova Karlovca, Ozlja i Duge Rese je </w:t>
      </w:r>
      <w:r w:rsidR="00E67597">
        <w:t xml:space="preserve">blago </w:t>
      </w:r>
      <w:r w:rsidR="00E97FB7">
        <w:t xml:space="preserve">brežuljkasti kraj </w:t>
      </w:r>
      <w:r w:rsidR="005E3D3D">
        <w:t>na sjevernom dijelu Karlovačke županije</w:t>
      </w:r>
      <w:r w:rsidR="00E67597">
        <w:t>, 5</w:t>
      </w:r>
      <w:r w:rsidR="00014357">
        <w:t xml:space="preserve">0ak km udaljenosti od Zagreba. </w:t>
      </w:r>
      <w:r w:rsidR="00E67597">
        <w:t xml:space="preserve">Krajnji sjeverozapadni dio VUPKA (područje grada Ozlja) čini </w:t>
      </w:r>
      <w:r w:rsidR="00014357">
        <w:t>nešto višlje</w:t>
      </w:r>
      <w:r w:rsidR="003A4BF8">
        <w:t xml:space="preserve"> područje </w:t>
      </w:r>
      <w:r w:rsidR="00014357">
        <w:t>Žumberka-Samoborskog gorja</w:t>
      </w:r>
      <w:r w:rsidR="003A4BF8">
        <w:t xml:space="preserve">, koje je </w:t>
      </w:r>
      <w:r w:rsidR="002F44C0">
        <w:t>pretežito</w:t>
      </w:r>
      <w:r w:rsidR="00D75648">
        <w:t xml:space="preserve"> ruralnog karaktera, a </w:t>
      </w:r>
      <w:r w:rsidR="00192EA4">
        <w:t>ujed</w:t>
      </w:r>
      <w:r w:rsidR="003A4BF8">
        <w:t>no</w:t>
      </w:r>
      <w:r w:rsidR="00014357">
        <w:t xml:space="preserve"> </w:t>
      </w:r>
      <w:r w:rsidR="003A4BF8">
        <w:t>i granica prema Republici Sloveniji.</w:t>
      </w:r>
      <w:r w:rsidR="00EB5B89">
        <w:t xml:space="preserve"> </w:t>
      </w:r>
    </w:p>
    <w:p w14:paraId="11C5FEAA" w14:textId="47E0EB24" w:rsidR="00511721" w:rsidRDefault="00357B56" w:rsidP="00D75648">
      <w:r>
        <w:t xml:space="preserve">Geoprometni položaj VUPKA izuzetno je povoljan, </w:t>
      </w:r>
      <w:r w:rsidR="00511721">
        <w:t>na kontaktnoj zoni južne i sjeverne Hrvatske</w:t>
      </w:r>
      <w:r w:rsidR="00EA3AB9">
        <w:t xml:space="preserve">. Sjeverno od naselja Karlovac prolazi i </w:t>
      </w:r>
      <w:r w:rsidR="00670F68">
        <w:t>glavni prometni pravac</w:t>
      </w:r>
      <w:r w:rsidR="00511721">
        <w:t xml:space="preserve"> </w:t>
      </w:r>
      <w:r w:rsidR="00670F68">
        <w:t xml:space="preserve">koji spaja </w:t>
      </w:r>
      <w:r w:rsidR="00EA3AB9">
        <w:t xml:space="preserve">sjever i jug Hrvatske - </w:t>
      </w:r>
      <w:r w:rsidR="00670F68">
        <w:t>autoceste Zagreb-</w:t>
      </w:r>
      <w:r w:rsidR="00CA0C4A">
        <w:t>Rijeka i Zagreb-Split-Dubrovnik, odnosno međunarodni prometni koridor Vb (Rijeka-Zagreb-</w:t>
      </w:r>
      <w:r w:rsidR="002F44C0">
        <w:t>Budimpešta</w:t>
      </w:r>
      <w:r w:rsidR="00CA0C4A">
        <w:t xml:space="preserve">). </w:t>
      </w:r>
      <w:r w:rsidR="00CA0C4A" w:rsidRPr="00CA0C4A">
        <w:t xml:space="preserve">Također, izgrađene željezničke pruge međuregionalnog i šireg povezivanja doprinose </w:t>
      </w:r>
      <w:r w:rsidR="00CA0C4A">
        <w:t>prepoznatljivom obilježju Karlovca</w:t>
      </w:r>
      <w:r w:rsidR="00CA0C4A" w:rsidRPr="00CA0C4A">
        <w:t xml:space="preserve"> </w:t>
      </w:r>
      <w:r w:rsidR="00CA0C4A">
        <w:t>kao tranzitnog prometnog čvorišta</w:t>
      </w:r>
      <w:r w:rsidR="00CA0C4A" w:rsidRPr="00CA0C4A">
        <w:t xml:space="preserve">. </w:t>
      </w:r>
      <w:r w:rsidR="00CA0C4A">
        <w:t xml:space="preserve">Središnji geoprometni položaj podrazumijeva i moguću ulogu Karlovca kao </w:t>
      </w:r>
      <w:r w:rsidR="00CA0C4A" w:rsidRPr="00CA0C4A">
        <w:t>distribucijskog čvorišta i u drugim ključnim infrastrukturnim projektima (glavni državni elektroprijenosni sustavi, jadranski naftovod, magistralni plinovodi, magistralne državne telekomunikacijske veze-svjetlovodni kabeli</w:t>
      </w:r>
      <w:r w:rsidR="00CA0C4A">
        <w:t>).</w:t>
      </w:r>
    </w:p>
    <w:p w14:paraId="1CF4BB2C" w14:textId="443BA2F4" w:rsidR="00D75648" w:rsidRDefault="00D75648" w:rsidP="00D75648">
      <w:r>
        <w:t>Administrativno</w:t>
      </w:r>
      <w:r w:rsidR="002F44C0">
        <w:t>,</w:t>
      </w:r>
      <w:r>
        <w:t xml:space="preserve"> Karlovačka županija</w:t>
      </w:r>
      <w:r w:rsidR="00FD325D">
        <w:t xml:space="preserve"> (KŽ)</w:t>
      </w:r>
      <w:r>
        <w:t xml:space="preserve"> je pod</w:t>
      </w:r>
      <w:r w:rsidR="00192EA4">
        <w:t>i</w:t>
      </w:r>
      <w:r>
        <w:t>jeljena u 22 jedinice lokalne sam</w:t>
      </w:r>
      <w:r w:rsidR="00192EA4">
        <w:t>o</w:t>
      </w:r>
      <w:r>
        <w:t xml:space="preserve">uprave, pri čemu 72% stanovništva živi na područjima gradova (Karlovac, Duga Resa, Ozalj, Ogulin i Slunj), a ostalih 28% u 17 općina. Iako područje </w:t>
      </w:r>
      <w:r w:rsidRPr="00D75648">
        <w:rPr>
          <w:b/>
        </w:rPr>
        <w:t xml:space="preserve">VUPKA zauzima tek oko 20% površine Karlovačke županije, na ovom području živi ukupno 57% županijskog </w:t>
      </w:r>
      <w:r>
        <w:rPr>
          <w:b/>
        </w:rPr>
        <w:t>stanovništva, odnosno radi se o visoko urbaniziranom području koje potpada pod širi gravitacijski utjecaj glavnog grada Zagreba.</w:t>
      </w:r>
      <w:r w:rsidR="00FD325D">
        <w:rPr>
          <w:b/>
        </w:rPr>
        <w:t xml:space="preserve"> </w:t>
      </w:r>
      <w:r w:rsidR="00FD325D" w:rsidRPr="00FD325D">
        <w:t>Urbani ut</w:t>
      </w:r>
      <w:r w:rsidR="002F44C0">
        <w:t>jecaj triju gradova očituje se u</w:t>
      </w:r>
      <w:r w:rsidR="00FD325D" w:rsidRPr="00FD325D">
        <w:t xml:space="preserve"> udjelu stanovnika VUPKA u broju stanovnika KŽ, koji se u razdoblju od 1971. do 2011. popeo sa 45% na sadašnjih 57%.</w:t>
      </w:r>
    </w:p>
    <w:p w14:paraId="6C8B26AF" w14:textId="68624094" w:rsidR="003A6F02" w:rsidRDefault="00A40D14" w:rsidP="00203C45">
      <w:r>
        <w:t xml:space="preserve">Na području Karlovačke županije </w:t>
      </w:r>
      <w:r w:rsidR="00EB5B89">
        <w:t xml:space="preserve">živi </w:t>
      </w:r>
      <w:r w:rsidR="005F6EEF">
        <w:t>oko 3</w:t>
      </w:r>
      <w:r w:rsidR="002F44C0">
        <w:t>% stanovnika RH (128.899 prema P</w:t>
      </w:r>
      <w:r w:rsidR="005F6EEF">
        <w:t>opisu iz 2011.</w:t>
      </w:r>
      <w:r w:rsidR="002F44C0">
        <w:t xml:space="preserve"> g.</w:t>
      </w:r>
      <w:r w:rsidR="005F6EEF">
        <w:t>), a zbog izrazito nepovoljnih demografskih trendova i neujednačenog prostornog razvoja na razini cijele države, demografske prognoze predviđaju da će već 2030.</w:t>
      </w:r>
      <w:r w:rsidR="002F44C0">
        <w:t xml:space="preserve"> godine</w:t>
      </w:r>
      <w:r w:rsidR="005F6EEF">
        <w:t xml:space="preserve"> broj stanovnika na području pasti ispod sto tisuća, za preko 20%</w:t>
      </w:r>
      <w:r w:rsidR="005F6EEF">
        <w:rPr>
          <w:rStyle w:val="FootnoteReference"/>
        </w:rPr>
        <w:footnoteReference w:id="6"/>
      </w:r>
      <w:r w:rsidR="005F6EEF">
        <w:t xml:space="preserve">. </w:t>
      </w:r>
      <w:r w:rsidR="003A6F02">
        <w:t xml:space="preserve"> Osim toga, iste prognoze predviđaju da će Karlovačka</w:t>
      </w:r>
      <w:r w:rsidR="002F44C0">
        <w:t xml:space="preserve"> županija</w:t>
      </w:r>
      <w:r w:rsidR="003A6F02">
        <w:t>, uz Primorsko-goransku i Sisačko-moslavačku</w:t>
      </w:r>
      <w:r w:rsidR="003A6F02" w:rsidRPr="003A6F02">
        <w:t xml:space="preserve">, </w:t>
      </w:r>
      <w:r w:rsidR="003A6F02">
        <w:t>biti</w:t>
      </w:r>
      <w:r w:rsidR="003A6F02" w:rsidRPr="003A6F02">
        <w:t xml:space="preserve"> u najnepovoljnijoj situaciji što se tiče dobne strukture. U tim trima županijama, uz nastavak dosadašnjih trendova, doći će do pada udjela djece (0-14) </w:t>
      </w:r>
      <w:r w:rsidR="002F44C0">
        <w:t>u ukupnom stanovništva na razinu</w:t>
      </w:r>
      <w:r w:rsidR="003A6F02" w:rsidRPr="003A6F02">
        <w:t xml:space="preserve"> o</w:t>
      </w:r>
      <w:r w:rsidR="002F44C0">
        <w:t>ko 10%, a istovremeno će porasti</w:t>
      </w:r>
      <w:r w:rsidR="003A6F02" w:rsidRPr="003A6F02">
        <w:t xml:space="preserve"> udio starijih (65+) na </w:t>
      </w:r>
      <w:r w:rsidR="002F44C0">
        <w:t>gotovo</w:t>
      </w:r>
      <w:r w:rsidR="003A6F02" w:rsidRPr="003A6F02">
        <w:t xml:space="preserve"> 30%. </w:t>
      </w:r>
      <w:r w:rsidR="002F44C0">
        <w:t>Također, u</w:t>
      </w:r>
      <w:r w:rsidR="003A6F02" w:rsidRPr="003A6F02">
        <w:t xml:space="preserve"> njima će u 2030. godini indeks starenja premašiti vrijednost od 250 što bi značilo da će za </w:t>
      </w:r>
      <w:r w:rsidR="003A6F02" w:rsidRPr="003A6F02">
        <w:lastRenderedPageBreak/>
        <w:t>dva i pol puta biti brojnije starije stanovništvo od mlađeg</w:t>
      </w:r>
      <w:r w:rsidR="003A6F02" w:rsidRPr="003A6F02">
        <w:rPr>
          <w:rStyle w:val="FootnoteReference"/>
        </w:rPr>
        <w:footnoteReference w:id="7"/>
      </w:r>
      <w:r w:rsidR="003A6F02" w:rsidRPr="003A6F02">
        <w:t xml:space="preserve">. </w:t>
      </w:r>
      <w:r w:rsidR="00D75648">
        <w:t xml:space="preserve">Ovakvo stanje podcrtava važnost planskog urbanog razvoja gradova Karlovca, Duge Rese i Ozlja koji </w:t>
      </w:r>
      <w:r w:rsidR="00767B37">
        <w:t xml:space="preserve">su prirodni gravitacijski centri regije. </w:t>
      </w:r>
    </w:p>
    <w:p w14:paraId="1EBE97D4" w14:textId="5D64B01C" w:rsidR="001A70FE" w:rsidRPr="001A70FE" w:rsidRDefault="00767B37" w:rsidP="001A70FE">
      <w:r>
        <w:t>Lokalne</w:t>
      </w:r>
      <w:r w:rsidR="00655102" w:rsidRPr="001A70FE">
        <w:t xml:space="preserve"> razlike u s</w:t>
      </w:r>
      <w:r w:rsidR="00655102">
        <w:t>trukturi naseljenosti i funkcio</w:t>
      </w:r>
      <w:r w:rsidR="00655102" w:rsidRPr="001A70FE">
        <w:t>nalnoj razvijenosti</w:t>
      </w:r>
      <w:r w:rsidR="00655102">
        <w:t xml:space="preserve"> </w:t>
      </w:r>
      <w:r w:rsidR="00B54E97">
        <w:t xml:space="preserve">regije </w:t>
      </w:r>
      <w:r w:rsidR="00655102">
        <w:t>odražavaju se u različitim</w:t>
      </w:r>
      <w:r w:rsidR="00655102" w:rsidRPr="001A70FE">
        <w:t xml:space="preserve"> stupnj</w:t>
      </w:r>
      <w:r w:rsidR="00655102">
        <w:t>evima r</w:t>
      </w:r>
      <w:r w:rsidR="00655102" w:rsidRPr="001A70FE">
        <w:t>egionalnog razvoja</w:t>
      </w:r>
      <w:r w:rsidR="00655102">
        <w:t xml:space="preserve"> mjerenih</w:t>
      </w:r>
      <w:r w:rsidR="001A70FE" w:rsidRPr="001A70FE">
        <w:t xml:space="preserve"> pre</w:t>
      </w:r>
      <w:r w:rsidR="001A70FE">
        <w:t xml:space="preserve">ma </w:t>
      </w:r>
      <w:r w:rsidR="00655102">
        <w:t>uobičajenim pokazatelj</w:t>
      </w:r>
      <w:r w:rsidR="00192EA4">
        <w:t>i</w:t>
      </w:r>
      <w:r w:rsidR="00655102">
        <w:t xml:space="preserve">ma, kao što su </w:t>
      </w:r>
      <w:r w:rsidR="001A70FE">
        <w:t>indeks razvijenosti, indek</w:t>
      </w:r>
      <w:r w:rsidR="00655102">
        <w:t>s</w:t>
      </w:r>
      <w:r w:rsidR="001A70FE" w:rsidRPr="001A70FE">
        <w:t xml:space="preserve"> konkurentnosti, </w:t>
      </w:r>
      <w:r w:rsidR="00655102">
        <w:t>bruto domaći proizvod (BDP)</w:t>
      </w:r>
      <w:r w:rsidR="001A70FE" w:rsidRPr="001A70FE">
        <w:t xml:space="preserve"> </w:t>
      </w:r>
      <w:r w:rsidR="001A70FE">
        <w:t>i sl</w:t>
      </w:r>
      <w:r w:rsidR="001A70FE" w:rsidRPr="001A70FE">
        <w:t xml:space="preserve">. </w:t>
      </w:r>
    </w:p>
    <w:p w14:paraId="6BFA72F5" w14:textId="692BC00C" w:rsidR="00664C19" w:rsidRDefault="00EE1DAB" w:rsidP="00B54E97">
      <w:pPr>
        <w:spacing w:after="0"/>
      </w:pPr>
      <w:r w:rsidRPr="007466A4">
        <w:t xml:space="preserve">Prema </w:t>
      </w:r>
      <w:r>
        <w:t>kompozitnom</w:t>
      </w:r>
      <w:r w:rsidRPr="007466A4">
        <w:t xml:space="preserve"> pokazatelju razvijenosti područja koji se koristi na nacionalnom nivou - indeksu razvijenosti</w:t>
      </w:r>
      <w:r w:rsidRPr="007466A4">
        <w:rPr>
          <w:rStyle w:val="FootnoteReference"/>
        </w:rPr>
        <w:footnoteReference w:id="8"/>
      </w:r>
      <w:r w:rsidRPr="007466A4">
        <w:t xml:space="preserve"> - </w:t>
      </w:r>
      <w:r w:rsidR="008D250B">
        <w:rPr>
          <w:b/>
        </w:rPr>
        <w:t>Karlovačka</w:t>
      </w:r>
      <w:r w:rsidRPr="007466A4">
        <w:rPr>
          <w:b/>
        </w:rPr>
        <w:t xml:space="preserve"> županija pripada </w:t>
      </w:r>
      <w:r w:rsidR="002F44C0">
        <w:rPr>
          <w:b/>
        </w:rPr>
        <w:t>u</w:t>
      </w:r>
      <w:r w:rsidR="00A85274">
        <w:rPr>
          <w:b/>
        </w:rPr>
        <w:t xml:space="preserve"> II</w:t>
      </w:r>
      <w:r w:rsidRPr="007466A4">
        <w:rPr>
          <w:b/>
        </w:rPr>
        <w:t xml:space="preserve">. </w:t>
      </w:r>
      <w:r w:rsidR="002F44C0">
        <w:rPr>
          <w:b/>
        </w:rPr>
        <w:t xml:space="preserve">skupinu jedinica područne (regionalne) samouprave </w:t>
      </w:r>
      <w:r w:rsidR="002F44C0" w:rsidRPr="002F44C0">
        <w:t>koje se prema vrijednosti indeksa nalaze</w:t>
      </w:r>
      <w:r w:rsidR="002F44C0">
        <w:rPr>
          <w:b/>
        </w:rPr>
        <w:t xml:space="preserve"> </w:t>
      </w:r>
      <w:r w:rsidR="002F44C0" w:rsidRPr="002F44C0">
        <w:t xml:space="preserve">u </w:t>
      </w:r>
      <w:r w:rsidR="00A85274">
        <w:t>prvoj polovini ispod</w:t>
      </w:r>
      <w:r w:rsidRPr="007466A4">
        <w:t xml:space="preserve">prosječno </w:t>
      </w:r>
      <w:r w:rsidR="00A40D14">
        <w:t>rangiranih JP(R)S</w:t>
      </w:r>
      <w:r w:rsidRPr="007466A4">
        <w:t xml:space="preserve">, </w:t>
      </w:r>
      <w:r w:rsidR="00A40D14">
        <w:t>14.</w:t>
      </w:r>
      <w:r w:rsidR="00A85274">
        <w:t xml:space="preserve"> po redosl</w:t>
      </w:r>
      <w:r w:rsidR="00192EA4">
        <w:t>i</w:t>
      </w:r>
      <w:r w:rsidR="00A85274">
        <w:t xml:space="preserve">jedu razvijenosti </w:t>
      </w:r>
      <w:r w:rsidR="004E470F">
        <w:t xml:space="preserve">od </w:t>
      </w:r>
      <w:r w:rsidR="00A40D14">
        <w:t>20+1, s v</w:t>
      </w:r>
      <w:r w:rsidR="00A85274">
        <w:t>rijednost</w:t>
      </w:r>
      <w:r w:rsidR="00A40D14">
        <w:t>i</w:t>
      </w:r>
      <w:r w:rsidRPr="007466A4">
        <w:t xml:space="preserve"> indeksa </w:t>
      </w:r>
      <w:r w:rsidR="00A40D14">
        <w:t xml:space="preserve">od </w:t>
      </w:r>
      <w:r w:rsidR="00A85274">
        <w:t>95,191</w:t>
      </w:r>
      <w:r w:rsidRPr="007466A4">
        <w:t xml:space="preserve">.  </w:t>
      </w:r>
      <w:r>
        <w:t>Jedinice lokalne samouprave razvrstavaju se</w:t>
      </w:r>
      <w:r w:rsidR="00A40D14">
        <w:t xml:space="preserve"> prema indeksu razvijenosti</w:t>
      </w:r>
      <w:r>
        <w:t xml:space="preserve"> u 8 skupina, pri čemu skupine </w:t>
      </w:r>
      <w:r w:rsidR="00A40D14">
        <w:t xml:space="preserve">V. do </w:t>
      </w:r>
      <w:r>
        <w:t>VIII</w:t>
      </w:r>
      <w:r w:rsidR="00A40D14">
        <w:t>.</w:t>
      </w:r>
      <w:r>
        <w:t xml:space="preserve"> </w:t>
      </w:r>
      <w:r w:rsidR="00A40D14">
        <w:t>čine iznad</w:t>
      </w:r>
      <w:r>
        <w:t xml:space="preserve">prosječno razvijene, a one od </w:t>
      </w:r>
      <w:r w:rsidR="00A40D14">
        <w:t xml:space="preserve">I. do </w:t>
      </w:r>
      <w:r>
        <w:t>IV</w:t>
      </w:r>
      <w:r w:rsidR="00A40D14">
        <w:t>.</w:t>
      </w:r>
      <w:r>
        <w:t xml:space="preserve"> ispodprosječno razvijene. Prema ovom indeksu koji  uzima u obzir stopu nezaposlenosti, dohodak po stanovniku, proračunski prihod JLS po stanovniku, opće kretanje stanovništva i stupanj obrazovanosti, </w:t>
      </w:r>
      <w:r w:rsidR="004E470F">
        <w:rPr>
          <w:b/>
        </w:rPr>
        <w:t>gradovi koji čine VUPKA pripadaju</w:t>
      </w:r>
      <w:r w:rsidRPr="007F5533">
        <w:rPr>
          <w:b/>
        </w:rPr>
        <w:t xml:space="preserve"> u </w:t>
      </w:r>
      <w:r w:rsidR="00A40D14">
        <w:rPr>
          <w:b/>
        </w:rPr>
        <w:t>iznad</w:t>
      </w:r>
      <w:r w:rsidR="004E470F">
        <w:rPr>
          <w:b/>
        </w:rPr>
        <w:t>prosječno razvijene (V</w:t>
      </w:r>
      <w:r w:rsidR="00A40D14">
        <w:rPr>
          <w:b/>
        </w:rPr>
        <w:t>.</w:t>
      </w:r>
      <w:r w:rsidR="004E470F">
        <w:rPr>
          <w:b/>
        </w:rPr>
        <w:t>, VI</w:t>
      </w:r>
      <w:r w:rsidR="00A40D14">
        <w:rPr>
          <w:b/>
        </w:rPr>
        <w:t>.</w:t>
      </w:r>
      <w:r w:rsidR="004E470F">
        <w:rPr>
          <w:b/>
        </w:rPr>
        <w:t xml:space="preserve"> i VII</w:t>
      </w:r>
      <w:r w:rsidR="00A40D14">
        <w:rPr>
          <w:b/>
        </w:rPr>
        <w:t>.</w:t>
      </w:r>
      <w:r w:rsidR="004E470F">
        <w:rPr>
          <w:b/>
        </w:rPr>
        <w:t xml:space="preserve"> skupina) jedinice</w:t>
      </w:r>
      <w:r w:rsidRPr="007F5533">
        <w:rPr>
          <w:b/>
        </w:rPr>
        <w:t xml:space="preserve"> lokalne</w:t>
      </w:r>
      <w:r w:rsidR="0053403D">
        <w:rPr>
          <w:b/>
        </w:rPr>
        <w:t xml:space="preserve"> samouprave</w:t>
      </w:r>
      <w:r w:rsidRPr="007F5533">
        <w:rPr>
          <w:b/>
        </w:rPr>
        <w:t xml:space="preserve"> s indeksom razvijenosti </w:t>
      </w:r>
      <w:r w:rsidR="004E470F">
        <w:rPr>
          <w:b/>
        </w:rPr>
        <w:t xml:space="preserve">od </w:t>
      </w:r>
      <w:r w:rsidR="004E470F" w:rsidRPr="004E470F">
        <w:rPr>
          <w:b/>
        </w:rPr>
        <w:t>105.579</w:t>
      </w:r>
      <w:r w:rsidR="004E470F">
        <w:rPr>
          <w:sz w:val="18"/>
          <w:szCs w:val="18"/>
        </w:rPr>
        <w:t xml:space="preserve"> </w:t>
      </w:r>
      <w:r w:rsidR="004E470F" w:rsidRPr="004E470F">
        <w:rPr>
          <w:b/>
        </w:rPr>
        <w:t>(Karlovac)</w:t>
      </w:r>
      <w:r w:rsidR="004E470F">
        <w:rPr>
          <w:b/>
        </w:rPr>
        <w:t>,</w:t>
      </w:r>
      <w:r w:rsidR="004E470F" w:rsidRPr="004E470F">
        <w:rPr>
          <w:b/>
        </w:rPr>
        <w:t xml:space="preserve"> 102.249 (Duga Resa) </w:t>
      </w:r>
      <w:r w:rsidR="004E470F">
        <w:rPr>
          <w:b/>
        </w:rPr>
        <w:t xml:space="preserve">i </w:t>
      </w:r>
      <w:r w:rsidR="004E470F" w:rsidRPr="004E470F">
        <w:rPr>
          <w:b/>
        </w:rPr>
        <w:t>100.149 (Ozalj)</w:t>
      </w:r>
      <w:r w:rsidR="0053403D">
        <w:rPr>
          <w:b/>
        </w:rPr>
        <w:t xml:space="preserve"> </w:t>
      </w:r>
      <w:r w:rsidR="00A40D14">
        <w:rPr>
          <w:b/>
        </w:rPr>
        <w:t>u odnosu na republički prosjek</w:t>
      </w:r>
      <w:r w:rsidRPr="007F5533">
        <w:rPr>
          <w:b/>
        </w:rPr>
        <w:t>.</w:t>
      </w:r>
      <w:r w:rsidR="00F25ACA">
        <w:rPr>
          <w:b/>
        </w:rPr>
        <w:t xml:space="preserve"> </w:t>
      </w:r>
      <w:r w:rsidR="00F25ACA" w:rsidRPr="00F25ACA">
        <w:t>U odnosu na neposredno okruženje</w:t>
      </w:r>
      <w:r w:rsidR="00786429">
        <w:t xml:space="preserve"> </w:t>
      </w:r>
      <w:r w:rsidR="00F25ACA">
        <w:t>vidljive su velike razlike u razvijenosti, naročito u odnosu na susjedne JLS na istoku, kao što ilustriraju tablice i prikazi niže (</w:t>
      </w:r>
      <w:r w:rsidR="004E470F">
        <w:t>vrijednosti indeksa razvijenosti</w:t>
      </w:r>
      <w:r w:rsidR="002679D0">
        <w:t xml:space="preserve"> </w:t>
      </w:r>
      <w:r w:rsidR="004E470F">
        <w:t>n</w:t>
      </w:r>
      <w:r w:rsidR="0053403D">
        <w:t>a županijskoj i lokalnoj razini za područje VUPKA i susjedne JLS</w:t>
      </w:r>
      <w:r w:rsidR="00F25ACA">
        <w:t>).</w:t>
      </w:r>
      <w:r>
        <w:t xml:space="preserve"> </w:t>
      </w:r>
    </w:p>
    <w:p w14:paraId="1EEB944A" w14:textId="3A42C57E" w:rsidR="00D57046" w:rsidRPr="00EA3AB9" w:rsidRDefault="00EA3AB9" w:rsidP="00EA3AB9">
      <w:pPr>
        <w:pStyle w:val="Caption"/>
      </w:pPr>
      <w:bookmarkStart w:id="4" w:name="_Toc437387474"/>
      <w:r w:rsidRPr="00EA3AB9">
        <w:t xml:space="preserve">Tablica </w:t>
      </w:r>
      <w:r w:rsidRPr="00EA3AB9">
        <w:fldChar w:fldCharType="begin"/>
      </w:r>
      <w:r w:rsidRPr="00EA3AB9">
        <w:instrText xml:space="preserve"> SEQ Tablica \* ARABIC </w:instrText>
      </w:r>
      <w:r w:rsidRPr="00EA3AB9">
        <w:fldChar w:fldCharType="separate"/>
      </w:r>
      <w:r w:rsidR="001358A9">
        <w:rPr>
          <w:noProof/>
        </w:rPr>
        <w:t>1</w:t>
      </w:r>
      <w:r w:rsidRPr="00EA3AB9">
        <w:fldChar w:fldCharType="end"/>
      </w:r>
      <w:r w:rsidRPr="00EA3AB9">
        <w:t>. Indeksi razvijenosti Karlovačke i njoj susjednih županija</w:t>
      </w:r>
      <w:bookmarkEnd w:id="4"/>
    </w:p>
    <w:tbl>
      <w:tblPr>
        <w:tblStyle w:val="TableGrid"/>
        <w:tblW w:w="9889" w:type="dxa"/>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ayout w:type="fixed"/>
        <w:tblLook w:val="04A0" w:firstRow="1" w:lastRow="0" w:firstColumn="1" w:lastColumn="0" w:noHBand="0" w:noVBand="1"/>
      </w:tblPr>
      <w:tblGrid>
        <w:gridCol w:w="5637"/>
        <w:gridCol w:w="1275"/>
        <w:gridCol w:w="1134"/>
        <w:gridCol w:w="851"/>
        <w:gridCol w:w="992"/>
      </w:tblGrid>
      <w:tr w:rsidR="004E470F" w:rsidRPr="00D57046" w14:paraId="74335467" w14:textId="77777777" w:rsidTr="00BC2D60">
        <w:tc>
          <w:tcPr>
            <w:tcW w:w="5637" w:type="dxa"/>
            <w:vMerge w:val="restart"/>
          </w:tcPr>
          <w:p w14:paraId="6E64B65A" w14:textId="39938D8E" w:rsidR="00D57046" w:rsidRPr="00D57046" w:rsidRDefault="00D57046" w:rsidP="00D57046">
            <w:pPr>
              <w:pStyle w:val="tabletxt"/>
              <w:rPr>
                <w:szCs w:val="18"/>
              </w:rPr>
            </w:pPr>
            <w:r>
              <w:rPr>
                <w:noProof/>
                <w:szCs w:val="18"/>
                <w:lang w:val="en-US" w:eastAsia="en-US"/>
              </w:rPr>
              <w:drawing>
                <wp:inline distT="0" distB="0" distL="0" distR="0" wp14:anchorId="6CAA49F0" wp14:editId="33B59A36">
                  <wp:extent cx="3427095" cy="3886029"/>
                  <wp:effectExtent l="0" t="0" r="190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ZUP.png"/>
                          <pic:cNvPicPr/>
                        </pic:nvPicPr>
                        <pic:blipFill>
                          <a:blip r:embed="rId17">
                            <a:extLst>
                              <a:ext uri="{28A0092B-C50C-407E-A947-70E740481C1C}">
                                <a14:useLocalDpi xmlns:a14="http://schemas.microsoft.com/office/drawing/2010/main" val="0"/>
                              </a:ext>
                            </a:extLst>
                          </a:blip>
                          <a:stretch>
                            <a:fillRect/>
                          </a:stretch>
                        </pic:blipFill>
                        <pic:spPr>
                          <a:xfrm>
                            <a:off x="0" y="0"/>
                            <a:ext cx="3427095" cy="3886029"/>
                          </a:xfrm>
                          <a:prstGeom prst="rect">
                            <a:avLst/>
                          </a:prstGeom>
                        </pic:spPr>
                      </pic:pic>
                    </a:graphicData>
                  </a:graphic>
                </wp:inline>
              </w:drawing>
            </w:r>
          </w:p>
        </w:tc>
        <w:tc>
          <w:tcPr>
            <w:tcW w:w="1275" w:type="dxa"/>
            <w:shd w:val="clear" w:color="auto" w:fill="F2F2F2" w:themeFill="background1" w:themeFillShade="F2"/>
            <w:vAlign w:val="center"/>
          </w:tcPr>
          <w:p w14:paraId="28B48552" w14:textId="60348765" w:rsidR="00D57046" w:rsidRPr="00D57046" w:rsidRDefault="00D57046" w:rsidP="00D57046">
            <w:pPr>
              <w:pStyle w:val="tabletxt"/>
              <w:rPr>
                <w:szCs w:val="18"/>
              </w:rPr>
            </w:pPr>
            <w:r w:rsidRPr="00D57046">
              <w:rPr>
                <w:b/>
                <w:bCs/>
                <w:szCs w:val="18"/>
              </w:rPr>
              <w:t>Županija</w:t>
            </w:r>
          </w:p>
        </w:tc>
        <w:tc>
          <w:tcPr>
            <w:tcW w:w="1134" w:type="dxa"/>
            <w:shd w:val="clear" w:color="auto" w:fill="F2F2F2" w:themeFill="background1" w:themeFillShade="F2"/>
            <w:vAlign w:val="center"/>
          </w:tcPr>
          <w:p w14:paraId="306B608C" w14:textId="17707050" w:rsidR="00D57046" w:rsidRPr="00D57046" w:rsidRDefault="00D57046" w:rsidP="00BC2D60">
            <w:pPr>
              <w:pStyle w:val="tabletxt"/>
              <w:rPr>
                <w:szCs w:val="18"/>
              </w:rPr>
            </w:pPr>
            <w:r w:rsidRPr="00D57046">
              <w:rPr>
                <w:b/>
                <w:bCs/>
                <w:szCs w:val="18"/>
              </w:rPr>
              <w:t>Indeks razvijenosti 2017.</w:t>
            </w:r>
          </w:p>
        </w:tc>
        <w:tc>
          <w:tcPr>
            <w:tcW w:w="851" w:type="dxa"/>
            <w:shd w:val="clear" w:color="auto" w:fill="F2F2F2" w:themeFill="background1" w:themeFillShade="F2"/>
            <w:vAlign w:val="center"/>
          </w:tcPr>
          <w:p w14:paraId="2263B8D2" w14:textId="50348E1A" w:rsidR="00D57046" w:rsidRPr="00D57046" w:rsidRDefault="00D57046" w:rsidP="004E470F">
            <w:pPr>
              <w:pStyle w:val="tabletxt"/>
              <w:rPr>
                <w:szCs w:val="18"/>
              </w:rPr>
            </w:pPr>
            <w:r w:rsidRPr="00D57046">
              <w:rPr>
                <w:b/>
                <w:bCs/>
                <w:szCs w:val="18"/>
              </w:rPr>
              <w:t xml:space="preserve">Rang prema indeksu </w:t>
            </w:r>
          </w:p>
        </w:tc>
        <w:tc>
          <w:tcPr>
            <w:tcW w:w="992" w:type="dxa"/>
            <w:shd w:val="clear" w:color="auto" w:fill="F2F2F2" w:themeFill="background1" w:themeFillShade="F2"/>
            <w:vAlign w:val="center"/>
          </w:tcPr>
          <w:p w14:paraId="66B62196" w14:textId="71E91FA8" w:rsidR="00D57046" w:rsidRPr="00D57046" w:rsidRDefault="00D57046" w:rsidP="00BC2D60">
            <w:pPr>
              <w:pStyle w:val="tabletxt"/>
              <w:rPr>
                <w:szCs w:val="18"/>
              </w:rPr>
            </w:pPr>
            <w:r w:rsidRPr="00D57046">
              <w:rPr>
                <w:b/>
                <w:bCs/>
                <w:szCs w:val="18"/>
              </w:rPr>
              <w:t xml:space="preserve">Razvojna skupina </w:t>
            </w:r>
          </w:p>
        </w:tc>
      </w:tr>
      <w:tr w:rsidR="004E470F" w:rsidRPr="00D57046" w14:paraId="629A617D" w14:textId="77777777" w:rsidTr="00BC2D60">
        <w:tc>
          <w:tcPr>
            <w:tcW w:w="5637" w:type="dxa"/>
            <w:vMerge/>
          </w:tcPr>
          <w:p w14:paraId="7039D63F" w14:textId="77777777" w:rsidR="00D57046" w:rsidRPr="00D57046" w:rsidRDefault="00D57046" w:rsidP="00D57046">
            <w:pPr>
              <w:pStyle w:val="tabletxt"/>
              <w:rPr>
                <w:szCs w:val="18"/>
              </w:rPr>
            </w:pPr>
          </w:p>
        </w:tc>
        <w:tc>
          <w:tcPr>
            <w:tcW w:w="1275" w:type="dxa"/>
          </w:tcPr>
          <w:p w14:paraId="389F99C2" w14:textId="40C9FBA4" w:rsidR="004E470F" w:rsidRPr="002A7C4E" w:rsidRDefault="00D57046" w:rsidP="00D57046">
            <w:pPr>
              <w:pStyle w:val="tabletxt"/>
              <w:rPr>
                <w:b/>
                <w:szCs w:val="18"/>
              </w:rPr>
            </w:pPr>
            <w:r w:rsidRPr="002A7C4E">
              <w:rPr>
                <w:b/>
                <w:szCs w:val="18"/>
              </w:rPr>
              <w:t>Zagrebačk</w:t>
            </w:r>
            <w:r w:rsidR="002679D0">
              <w:rPr>
                <w:b/>
                <w:szCs w:val="18"/>
              </w:rPr>
              <w:t>a</w:t>
            </w:r>
          </w:p>
          <w:p w14:paraId="2E6A747D" w14:textId="77777777" w:rsidR="002679D0" w:rsidRPr="002A7C4E" w:rsidRDefault="002679D0" w:rsidP="00D57046">
            <w:pPr>
              <w:pStyle w:val="tabletxt"/>
              <w:rPr>
                <w:b/>
                <w:szCs w:val="18"/>
              </w:rPr>
            </w:pPr>
          </w:p>
          <w:p w14:paraId="75DD1F34" w14:textId="6C6A3BC9" w:rsidR="004E470F" w:rsidRPr="002A7C4E" w:rsidRDefault="004E470F" w:rsidP="00D57046">
            <w:pPr>
              <w:pStyle w:val="tabletxt"/>
              <w:rPr>
                <w:b/>
                <w:szCs w:val="18"/>
              </w:rPr>
            </w:pPr>
          </w:p>
        </w:tc>
        <w:tc>
          <w:tcPr>
            <w:tcW w:w="1134" w:type="dxa"/>
          </w:tcPr>
          <w:p w14:paraId="3F02F285" w14:textId="42847EDD" w:rsidR="00D57046" w:rsidRPr="00D57046" w:rsidRDefault="00D57046" w:rsidP="002679D0">
            <w:pPr>
              <w:pStyle w:val="tabletxt"/>
              <w:jc w:val="center"/>
              <w:rPr>
                <w:szCs w:val="18"/>
              </w:rPr>
            </w:pPr>
            <w:r w:rsidRPr="00D57046">
              <w:rPr>
                <w:color w:val="000000"/>
                <w:szCs w:val="18"/>
              </w:rPr>
              <w:t>105.890</w:t>
            </w:r>
          </w:p>
        </w:tc>
        <w:tc>
          <w:tcPr>
            <w:tcW w:w="851" w:type="dxa"/>
          </w:tcPr>
          <w:p w14:paraId="6F1EB00E" w14:textId="7003AD0A" w:rsidR="00D57046" w:rsidRPr="00D57046" w:rsidRDefault="00D57046" w:rsidP="002679D0">
            <w:pPr>
              <w:pStyle w:val="tabletxt"/>
              <w:jc w:val="center"/>
              <w:rPr>
                <w:szCs w:val="18"/>
              </w:rPr>
            </w:pPr>
            <w:r w:rsidRPr="00D57046">
              <w:rPr>
                <w:color w:val="000000"/>
                <w:szCs w:val="18"/>
              </w:rPr>
              <w:t>4</w:t>
            </w:r>
          </w:p>
        </w:tc>
        <w:tc>
          <w:tcPr>
            <w:tcW w:w="992" w:type="dxa"/>
          </w:tcPr>
          <w:p w14:paraId="0754FDD4" w14:textId="3ED58926" w:rsidR="00D57046" w:rsidRPr="00A05D60" w:rsidRDefault="00A05D60" w:rsidP="002679D0">
            <w:pPr>
              <w:pStyle w:val="tabletxt"/>
              <w:jc w:val="center"/>
              <w:rPr>
                <w:b/>
                <w:sz w:val="24"/>
                <w:szCs w:val="24"/>
              </w:rPr>
            </w:pPr>
            <w:r w:rsidRPr="00A05D60">
              <w:rPr>
                <w:b/>
                <w:color w:val="000000"/>
                <w:sz w:val="24"/>
                <w:szCs w:val="24"/>
              </w:rPr>
              <w:t>IV</w:t>
            </w:r>
          </w:p>
        </w:tc>
      </w:tr>
      <w:tr w:rsidR="002679D0" w:rsidRPr="00D57046" w14:paraId="783FAF02" w14:textId="77777777" w:rsidTr="00BC2D60">
        <w:tc>
          <w:tcPr>
            <w:tcW w:w="5637" w:type="dxa"/>
            <w:vMerge/>
          </w:tcPr>
          <w:p w14:paraId="0D6A06EB" w14:textId="77777777" w:rsidR="002679D0" w:rsidRPr="00D57046" w:rsidRDefault="002679D0" w:rsidP="00D57046">
            <w:pPr>
              <w:pStyle w:val="tabletxt"/>
              <w:rPr>
                <w:szCs w:val="18"/>
              </w:rPr>
            </w:pPr>
          </w:p>
        </w:tc>
        <w:tc>
          <w:tcPr>
            <w:tcW w:w="1275" w:type="dxa"/>
          </w:tcPr>
          <w:p w14:paraId="6AD2A2D9" w14:textId="77777777" w:rsidR="002679D0" w:rsidRDefault="002679D0" w:rsidP="00D57046">
            <w:pPr>
              <w:pStyle w:val="tabletxt"/>
              <w:rPr>
                <w:b/>
                <w:szCs w:val="18"/>
              </w:rPr>
            </w:pPr>
            <w:r>
              <w:rPr>
                <w:b/>
                <w:szCs w:val="18"/>
              </w:rPr>
              <w:t>Primorsko goranska</w:t>
            </w:r>
          </w:p>
          <w:p w14:paraId="16C8E844" w14:textId="77777777" w:rsidR="002679D0" w:rsidRDefault="002679D0" w:rsidP="00D57046">
            <w:pPr>
              <w:pStyle w:val="tabletxt"/>
              <w:rPr>
                <w:b/>
                <w:szCs w:val="18"/>
              </w:rPr>
            </w:pPr>
          </w:p>
          <w:p w14:paraId="37982CC7" w14:textId="3E29D703" w:rsidR="00A05D60" w:rsidRPr="002A7C4E" w:rsidRDefault="00A05D60" w:rsidP="00D57046">
            <w:pPr>
              <w:pStyle w:val="tabletxt"/>
              <w:rPr>
                <w:b/>
                <w:szCs w:val="18"/>
              </w:rPr>
            </w:pPr>
          </w:p>
        </w:tc>
        <w:tc>
          <w:tcPr>
            <w:tcW w:w="1134" w:type="dxa"/>
          </w:tcPr>
          <w:p w14:paraId="63FAAC1A" w14:textId="20BC4700" w:rsidR="002679D0" w:rsidRPr="00D57046" w:rsidRDefault="002679D0" w:rsidP="002679D0">
            <w:pPr>
              <w:pStyle w:val="tabletxt"/>
              <w:jc w:val="center"/>
              <w:rPr>
                <w:color w:val="000000"/>
                <w:szCs w:val="18"/>
              </w:rPr>
            </w:pPr>
            <w:r w:rsidRPr="002679D0">
              <w:rPr>
                <w:color w:val="000000"/>
                <w:szCs w:val="18"/>
              </w:rPr>
              <w:t>105.278</w:t>
            </w:r>
          </w:p>
        </w:tc>
        <w:tc>
          <w:tcPr>
            <w:tcW w:w="851" w:type="dxa"/>
          </w:tcPr>
          <w:p w14:paraId="22A94B2C" w14:textId="71FC884A" w:rsidR="002679D0" w:rsidRPr="00D57046" w:rsidRDefault="002679D0" w:rsidP="002679D0">
            <w:pPr>
              <w:pStyle w:val="tabletxt"/>
              <w:jc w:val="center"/>
              <w:rPr>
                <w:color w:val="000000"/>
                <w:szCs w:val="18"/>
              </w:rPr>
            </w:pPr>
            <w:r w:rsidRPr="002679D0">
              <w:rPr>
                <w:color w:val="000000"/>
                <w:szCs w:val="18"/>
              </w:rPr>
              <w:t>5</w:t>
            </w:r>
          </w:p>
        </w:tc>
        <w:tc>
          <w:tcPr>
            <w:tcW w:w="992" w:type="dxa"/>
          </w:tcPr>
          <w:p w14:paraId="53B595C6" w14:textId="4FB223FE" w:rsidR="002679D0" w:rsidRPr="00A05D60" w:rsidRDefault="00A05D60" w:rsidP="002679D0">
            <w:pPr>
              <w:pStyle w:val="tabletxt"/>
              <w:jc w:val="center"/>
              <w:rPr>
                <w:b/>
                <w:color w:val="000000"/>
                <w:sz w:val="24"/>
                <w:szCs w:val="24"/>
              </w:rPr>
            </w:pPr>
            <w:r w:rsidRPr="00A05D60">
              <w:rPr>
                <w:b/>
                <w:color w:val="000000"/>
                <w:sz w:val="24"/>
                <w:szCs w:val="24"/>
              </w:rPr>
              <w:t>IV</w:t>
            </w:r>
          </w:p>
        </w:tc>
      </w:tr>
      <w:tr w:rsidR="004E470F" w:rsidRPr="00D57046" w14:paraId="4A92EDB3" w14:textId="77777777" w:rsidTr="00BC2D60">
        <w:tc>
          <w:tcPr>
            <w:tcW w:w="5637" w:type="dxa"/>
            <w:vMerge/>
          </w:tcPr>
          <w:p w14:paraId="579AF072" w14:textId="77777777" w:rsidR="00D57046" w:rsidRPr="00D57046" w:rsidRDefault="00D57046" w:rsidP="00D57046">
            <w:pPr>
              <w:pStyle w:val="tabletxt"/>
              <w:rPr>
                <w:szCs w:val="18"/>
              </w:rPr>
            </w:pPr>
          </w:p>
        </w:tc>
        <w:tc>
          <w:tcPr>
            <w:tcW w:w="1275" w:type="dxa"/>
          </w:tcPr>
          <w:p w14:paraId="3D52F23A" w14:textId="2810AFAF" w:rsidR="004E470F" w:rsidRDefault="00D57046" w:rsidP="00D57046">
            <w:pPr>
              <w:pStyle w:val="tabletxt"/>
              <w:rPr>
                <w:b/>
                <w:szCs w:val="18"/>
              </w:rPr>
            </w:pPr>
            <w:r w:rsidRPr="002A7C4E">
              <w:rPr>
                <w:b/>
                <w:szCs w:val="18"/>
              </w:rPr>
              <w:t>Karlovačk</w:t>
            </w:r>
            <w:r w:rsidR="002679D0">
              <w:rPr>
                <w:b/>
                <w:szCs w:val="18"/>
              </w:rPr>
              <w:t>a</w:t>
            </w:r>
          </w:p>
          <w:p w14:paraId="7843A247" w14:textId="77777777" w:rsidR="002679D0" w:rsidRPr="002A7C4E" w:rsidRDefault="002679D0" w:rsidP="00D57046">
            <w:pPr>
              <w:pStyle w:val="tabletxt"/>
              <w:rPr>
                <w:b/>
                <w:szCs w:val="18"/>
              </w:rPr>
            </w:pPr>
          </w:p>
          <w:p w14:paraId="6E071ECD" w14:textId="4F4C2514" w:rsidR="004E470F" w:rsidRPr="002A7C4E" w:rsidRDefault="004E470F" w:rsidP="00D57046">
            <w:pPr>
              <w:pStyle w:val="tabletxt"/>
              <w:rPr>
                <w:b/>
                <w:szCs w:val="18"/>
              </w:rPr>
            </w:pPr>
          </w:p>
        </w:tc>
        <w:tc>
          <w:tcPr>
            <w:tcW w:w="1134" w:type="dxa"/>
          </w:tcPr>
          <w:p w14:paraId="22359310" w14:textId="373743BD" w:rsidR="00D57046" w:rsidRPr="00D57046" w:rsidRDefault="00D57046" w:rsidP="002679D0">
            <w:pPr>
              <w:pStyle w:val="tabletxt"/>
              <w:jc w:val="center"/>
              <w:rPr>
                <w:szCs w:val="18"/>
              </w:rPr>
            </w:pPr>
            <w:r w:rsidRPr="00D57046">
              <w:rPr>
                <w:color w:val="000000"/>
                <w:szCs w:val="18"/>
              </w:rPr>
              <w:t>95.191</w:t>
            </w:r>
          </w:p>
        </w:tc>
        <w:tc>
          <w:tcPr>
            <w:tcW w:w="851" w:type="dxa"/>
          </w:tcPr>
          <w:p w14:paraId="7C579890" w14:textId="5E2E6A79" w:rsidR="00D57046" w:rsidRPr="00D57046" w:rsidRDefault="00D57046" w:rsidP="002679D0">
            <w:pPr>
              <w:pStyle w:val="tabletxt"/>
              <w:jc w:val="center"/>
              <w:rPr>
                <w:szCs w:val="18"/>
              </w:rPr>
            </w:pPr>
            <w:r w:rsidRPr="00D57046">
              <w:rPr>
                <w:color w:val="000000"/>
                <w:szCs w:val="18"/>
              </w:rPr>
              <w:t>14</w:t>
            </w:r>
          </w:p>
        </w:tc>
        <w:tc>
          <w:tcPr>
            <w:tcW w:w="992" w:type="dxa"/>
          </w:tcPr>
          <w:p w14:paraId="4784BEA7" w14:textId="628971D6" w:rsidR="00D57046" w:rsidRPr="00A05D60" w:rsidRDefault="00A05D60" w:rsidP="002679D0">
            <w:pPr>
              <w:pStyle w:val="tabletxt"/>
              <w:jc w:val="center"/>
              <w:rPr>
                <w:b/>
                <w:sz w:val="24"/>
                <w:szCs w:val="24"/>
              </w:rPr>
            </w:pPr>
            <w:r w:rsidRPr="00A05D60">
              <w:rPr>
                <w:b/>
                <w:color w:val="000000"/>
                <w:sz w:val="24"/>
                <w:szCs w:val="24"/>
              </w:rPr>
              <w:t>II</w:t>
            </w:r>
          </w:p>
        </w:tc>
      </w:tr>
      <w:tr w:rsidR="00C64D89" w:rsidRPr="00D57046" w14:paraId="2535FFBB" w14:textId="77777777" w:rsidTr="00BC2D60">
        <w:tc>
          <w:tcPr>
            <w:tcW w:w="5637" w:type="dxa"/>
            <w:vMerge/>
          </w:tcPr>
          <w:p w14:paraId="7EB80F90" w14:textId="77777777" w:rsidR="00C64D89" w:rsidRPr="00D57046" w:rsidRDefault="00C64D89" w:rsidP="00D57046">
            <w:pPr>
              <w:pStyle w:val="tabletxt"/>
              <w:rPr>
                <w:szCs w:val="18"/>
              </w:rPr>
            </w:pPr>
          </w:p>
        </w:tc>
        <w:tc>
          <w:tcPr>
            <w:tcW w:w="1275" w:type="dxa"/>
          </w:tcPr>
          <w:p w14:paraId="20FB4149" w14:textId="77777777" w:rsidR="00C64D89" w:rsidRDefault="00A05D60" w:rsidP="00D57046">
            <w:pPr>
              <w:pStyle w:val="tabletxt"/>
              <w:rPr>
                <w:b/>
                <w:szCs w:val="18"/>
              </w:rPr>
            </w:pPr>
            <w:r>
              <w:rPr>
                <w:b/>
                <w:szCs w:val="18"/>
              </w:rPr>
              <w:t>Ličko-senjska</w:t>
            </w:r>
          </w:p>
          <w:p w14:paraId="62046482" w14:textId="77777777" w:rsidR="00A05D60" w:rsidRDefault="00A05D60" w:rsidP="00D57046">
            <w:pPr>
              <w:pStyle w:val="tabletxt"/>
              <w:rPr>
                <w:b/>
                <w:szCs w:val="18"/>
              </w:rPr>
            </w:pPr>
          </w:p>
          <w:p w14:paraId="763A0963" w14:textId="7E8B4D9F" w:rsidR="00A05D60" w:rsidRPr="002A7C4E" w:rsidRDefault="00A05D60" w:rsidP="00D57046">
            <w:pPr>
              <w:pStyle w:val="tabletxt"/>
              <w:rPr>
                <w:b/>
                <w:szCs w:val="18"/>
              </w:rPr>
            </w:pPr>
          </w:p>
        </w:tc>
        <w:tc>
          <w:tcPr>
            <w:tcW w:w="1134" w:type="dxa"/>
          </w:tcPr>
          <w:p w14:paraId="2B870165" w14:textId="12E98AD4" w:rsidR="00C64D89" w:rsidRPr="00D57046" w:rsidRDefault="00A05D60" w:rsidP="002679D0">
            <w:pPr>
              <w:pStyle w:val="tabletxt"/>
              <w:jc w:val="center"/>
              <w:rPr>
                <w:color w:val="000000"/>
                <w:szCs w:val="18"/>
              </w:rPr>
            </w:pPr>
            <w:r>
              <w:rPr>
                <w:color w:val="000000"/>
                <w:szCs w:val="18"/>
              </w:rPr>
              <w:t>92.387</w:t>
            </w:r>
          </w:p>
        </w:tc>
        <w:tc>
          <w:tcPr>
            <w:tcW w:w="851" w:type="dxa"/>
          </w:tcPr>
          <w:p w14:paraId="754D3EDA" w14:textId="247FA31C" w:rsidR="00C64D89" w:rsidRPr="00D57046" w:rsidRDefault="00A05D60" w:rsidP="002679D0">
            <w:pPr>
              <w:pStyle w:val="tabletxt"/>
              <w:jc w:val="center"/>
              <w:rPr>
                <w:color w:val="000000"/>
                <w:szCs w:val="18"/>
              </w:rPr>
            </w:pPr>
            <w:r>
              <w:rPr>
                <w:color w:val="000000"/>
                <w:szCs w:val="18"/>
              </w:rPr>
              <w:t>18</w:t>
            </w:r>
          </w:p>
        </w:tc>
        <w:tc>
          <w:tcPr>
            <w:tcW w:w="992" w:type="dxa"/>
          </w:tcPr>
          <w:p w14:paraId="2F71361F" w14:textId="4FA13692" w:rsidR="00C64D89" w:rsidRPr="00A05D60" w:rsidRDefault="00A05D60" w:rsidP="002679D0">
            <w:pPr>
              <w:pStyle w:val="tabletxt"/>
              <w:jc w:val="center"/>
              <w:rPr>
                <w:b/>
                <w:color w:val="000000"/>
                <w:sz w:val="24"/>
                <w:szCs w:val="24"/>
              </w:rPr>
            </w:pPr>
            <w:r w:rsidRPr="00A05D60">
              <w:rPr>
                <w:b/>
                <w:color w:val="000000"/>
                <w:sz w:val="24"/>
                <w:szCs w:val="24"/>
              </w:rPr>
              <w:t>I</w:t>
            </w:r>
          </w:p>
        </w:tc>
      </w:tr>
      <w:tr w:rsidR="004E470F" w:rsidRPr="00D57046" w14:paraId="0F383635" w14:textId="77777777" w:rsidTr="00BC2D60">
        <w:tc>
          <w:tcPr>
            <w:tcW w:w="5637" w:type="dxa"/>
            <w:vMerge/>
          </w:tcPr>
          <w:p w14:paraId="01B5CE7D" w14:textId="77777777" w:rsidR="00D57046" w:rsidRPr="00D57046" w:rsidRDefault="00D57046" w:rsidP="00D57046">
            <w:pPr>
              <w:pStyle w:val="tabletxt"/>
              <w:rPr>
                <w:szCs w:val="18"/>
              </w:rPr>
            </w:pPr>
          </w:p>
        </w:tc>
        <w:tc>
          <w:tcPr>
            <w:tcW w:w="1275" w:type="dxa"/>
          </w:tcPr>
          <w:p w14:paraId="36BF3873" w14:textId="5C1124E4" w:rsidR="00D57046" w:rsidRPr="002A7C4E" w:rsidRDefault="00D57046" w:rsidP="00D57046">
            <w:pPr>
              <w:pStyle w:val="tabletxt"/>
              <w:rPr>
                <w:b/>
                <w:szCs w:val="18"/>
              </w:rPr>
            </w:pPr>
            <w:r w:rsidRPr="002A7C4E">
              <w:rPr>
                <w:b/>
                <w:szCs w:val="18"/>
              </w:rPr>
              <w:t>Sisačko-moslavačka</w:t>
            </w:r>
          </w:p>
        </w:tc>
        <w:tc>
          <w:tcPr>
            <w:tcW w:w="1134" w:type="dxa"/>
          </w:tcPr>
          <w:p w14:paraId="60E55F9B" w14:textId="18C12961" w:rsidR="00D57046" w:rsidRPr="00D57046" w:rsidRDefault="00D57046" w:rsidP="002679D0">
            <w:pPr>
              <w:pStyle w:val="tabletxt"/>
              <w:jc w:val="center"/>
              <w:rPr>
                <w:szCs w:val="18"/>
              </w:rPr>
            </w:pPr>
            <w:r w:rsidRPr="00D57046">
              <w:rPr>
                <w:color w:val="000000"/>
                <w:szCs w:val="18"/>
              </w:rPr>
              <w:t>91.701</w:t>
            </w:r>
          </w:p>
        </w:tc>
        <w:tc>
          <w:tcPr>
            <w:tcW w:w="851" w:type="dxa"/>
          </w:tcPr>
          <w:p w14:paraId="5A91A742" w14:textId="455D2CF4" w:rsidR="00D57046" w:rsidRPr="00D57046" w:rsidRDefault="00D57046" w:rsidP="002679D0">
            <w:pPr>
              <w:pStyle w:val="tabletxt"/>
              <w:jc w:val="center"/>
              <w:rPr>
                <w:szCs w:val="18"/>
              </w:rPr>
            </w:pPr>
            <w:r w:rsidRPr="00D57046">
              <w:rPr>
                <w:color w:val="000000"/>
                <w:szCs w:val="18"/>
              </w:rPr>
              <w:t>20</w:t>
            </w:r>
          </w:p>
        </w:tc>
        <w:tc>
          <w:tcPr>
            <w:tcW w:w="992" w:type="dxa"/>
          </w:tcPr>
          <w:p w14:paraId="20CA62AC" w14:textId="767FB760" w:rsidR="00D57046" w:rsidRPr="00A05D60" w:rsidRDefault="00A05D60" w:rsidP="002679D0">
            <w:pPr>
              <w:pStyle w:val="tabletxt"/>
              <w:jc w:val="center"/>
              <w:rPr>
                <w:b/>
                <w:sz w:val="24"/>
                <w:szCs w:val="24"/>
              </w:rPr>
            </w:pPr>
            <w:r w:rsidRPr="00A05D60">
              <w:rPr>
                <w:b/>
                <w:color w:val="000000"/>
                <w:sz w:val="24"/>
                <w:szCs w:val="24"/>
              </w:rPr>
              <w:t>I</w:t>
            </w:r>
          </w:p>
        </w:tc>
      </w:tr>
    </w:tbl>
    <w:p w14:paraId="495EA4F8" w14:textId="77777777" w:rsidR="004E470F" w:rsidRDefault="004E470F">
      <w:pPr>
        <w:spacing w:before="0" w:after="0"/>
        <w:jc w:val="left"/>
      </w:pPr>
    </w:p>
    <w:p w14:paraId="6EC23428" w14:textId="170361E0" w:rsidR="00767B37" w:rsidRDefault="00EA3AB9" w:rsidP="00EA3AB9">
      <w:pPr>
        <w:pStyle w:val="Caption"/>
      </w:pPr>
      <w:bookmarkStart w:id="5" w:name="_Toc437387475"/>
      <w:r>
        <w:t xml:space="preserve">Tablica </w:t>
      </w:r>
      <w:r>
        <w:fldChar w:fldCharType="begin"/>
      </w:r>
      <w:r>
        <w:instrText xml:space="preserve"> SEQ Tablica \* ARABIC </w:instrText>
      </w:r>
      <w:r>
        <w:fldChar w:fldCharType="separate"/>
      </w:r>
      <w:r w:rsidR="001358A9">
        <w:rPr>
          <w:noProof/>
        </w:rPr>
        <w:t>2</w:t>
      </w:r>
      <w:r>
        <w:fldChar w:fldCharType="end"/>
      </w:r>
      <w:r w:rsidR="00767B37">
        <w:t>. Indeksi razvijenosti</w:t>
      </w:r>
      <w:r w:rsidR="00604418">
        <w:t xml:space="preserve"> JLS koje čine VUPKA i susjednih</w:t>
      </w:r>
      <w:r w:rsidR="00BC2D60">
        <w:t xml:space="preserve"> JLS</w:t>
      </w:r>
      <w:bookmarkEnd w:id="5"/>
    </w:p>
    <w:tbl>
      <w:tblPr>
        <w:tblStyle w:val="TableGrid"/>
        <w:tblW w:w="9931" w:type="dxa"/>
        <w:tblBorders>
          <w:top w:val="dotted" w:sz="4" w:space="0" w:color="auto"/>
          <w:left w:val="dotted" w:sz="4" w:space="0" w:color="auto"/>
          <w:bottom w:val="dotted" w:sz="4" w:space="0" w:color="auto"/>
          <w:right w:val="dotted" w:sz="4" w:space="0" w:color="auto"/>
          <w:insideH w:val="dotted" w:sz="4" w:space="0" w:color="auto"/>
          <w:insideV w:val="none" w:sz="0" w:space="0" w:color="auto"/>
        </w:tblBorders>
        <w:tblLook w:val="04A0" w:firstRow="1" w:lastRow="0" w:firstColumn="1" w:lastColumn="0" w:noHBand="0" w:noVBand="1"/>
      </w:tblPr>
      <w:tblGrid>
        <w:gridCol w:w="5619"/>
        <w:gridCol w:w="1646"/>
        <w:gridCol w:w="1079"/>
        <w:gridCol w:w="695"/>
        <w:gridCol w:w="892"/>
      </w:tblGrid>
      <w:tr w:rsidR="003F2C90" w:rsidRPr="003F2C90" w14:paraId="3CDAD825" w14:textId="77777777" w:rsidTr="00BC2D60">
        <w:tc>
          <w:tcPr>
            <w:tcW w:w="5619" w:type="dxa"/>
            <w:vMerge w:val="restart"/>
            <w:vAlign w:val="center"/>
          </w:tcPr>
          <w:p w14:paraId="26873828" w14:textId="2376DB57" w:rsidR="003F2C90" w:rsidRPr="003F2C90" w:rsidRDefault="00A5163E" w:rsidP="006C60D9">
            <w:pPr>
              <w:pStyle w:val="tabletxt"/>
              <w:rPr>
                <w:b/>
                <w:szCs w:val="18"/>
              </w:rPr>
            </w:pPr>
            <w:r>
              <w:rPr>
                <w:b/>
                <w:noProof/>
                <w:szCs w:val="18"/>
                <w:lang w:val="en-US" w:eastAsia="en-US"/>
              </w:rPr>
              <w:drawing>
                <wp:inline distT="0" distB="0" distL="0" distR="0" wp14:anchorId="21C96123" wp14:editId="02121E9E">
                  <wp:extent cx="3431328" cy="41159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JLS.png"/>
                          <pic:cNvPicPr/>
                        </pic:nvPicPr>
                        <pic:blipFill>
                          <a:blip r:embed="rId18">
                            <a:extLst>
                              <a:ext uri="{28A0092B-C50C-407E-A947-70E740481C1C}">
                                <a14:useLocalDpi xmlns:a14="http://schemas.microsoft.com/office/drawing/2010/main" val="0"/>
                              </a:ext>
                            </a:extLst>
                          </a:blip>
                          <a:stretch>
                            <a:fillRect/>
                          </a:stretch>
                        </pic:blipFill>
                        <pic:spPr>
                          <a:xfrm>
                            <a:off x="0" y="0"/>
                            <a:ext cx="3431780" cy="4116473"/>
                          </a:xfrm>
                          <a:prstGeom prst="rect">
                            <a:avLst/>
                          </a:prstGeom>
                        </pic:spPr>
                      </pic:pic>
                    </a:graphicData>
                  </a:graphic>
                </wp:inline>
              </w:drawing>
            </w:r>
          </w:p>
        </w:tc>
        <w:tc>
          <w:tcPr>
            <w:tcW w:w="1646" w:type="dxa"/>
            <w:shd w:val="clear" w:color="auto" w:fill="F2F2F2" w:themeFill="background1" w:themeFillShade="F2"/>
            <w:vAlign w:val="center"/>
          </w:tcPr>
          <w:p w14:paraId="2C82286E" w14:textId="43B448AD" w:rsidR="003F2C90" w:rsidRPr="003F2C90" w:rsidRDefault="003F2C90" w:rsidP="006C60D9">
            <w:pPr>
              <w:pStyle w:val="tabletxt"/>
              <w:rPr>
                <w:b/>
                <w:szCs w:val="18"/>
              </w:rPr>
            </w:pPr>
            <w:r w:rsidRPr="003F2C90">
              <w:rPr>
                <w:b/>
                <w:szCs w:val="18"/>
              </w:rPr>
              <w:t>JLS</w:t>
            </w:r>
          </w:p>
        </w:tc>
        <w:tc>
          <w:tcPr>
            <w:tcW w:w="1079" w:type="dxa"/>
            <w:shd w:val="clear" w:color="auto" w:fill="F2F2F2" w:themeFill="background1" w:themeFillShade="F2"/>
            <w:vAlign w:val="center"/>
          </w:tcPr>
          <w:p w14:paraId="1855CBE5" w14:textId="4F915F57" w:rsidR="003F2C90" w:rsidRPr="003F2C90" w:rsidRDefault="003F2C90" w:rsidP="0053403D">
            <w:pPr>
              <w:pStyle w:val="tabletxt"/>
              <w:rPr>
                <w:b/>
                <w:szCs w:val="18"/>
              </w:rPr>
            </w:pPr>
            <w:r w:rsidRPr="003F2C90">
              <w:rPr>
                <w:b/>
                <w:bCs/>
                <w:szCs w:val="18"/>
              </w:rPr>
              <w:t xml:space="preserve">Indeks razvijenosti </w:t>
            </w:r>
            <w:r w:rsidR="00BC2D60">
              <w:rPr>
                <w:b/>
                <w:bCs/>
                <w:szCs w:val="18"/>
              </w:rPr>
              <w:t>2017.</w:t>
            </w:r>
          </w:p>
        </w:tc>
        <w:tc>
          <w:tcPr>
            <w:tcW w:w="695" w:type="dxa"/>
            <w:shd w:val="clear" w:color="auto" w:fill="F2F2F2" w:themeFill="background1" w:themeFillShade="F2"/>
            <w:vAlign w:val="center"/>
          </w:tcPr>
          <w:p w14:paraId="2E7BD20E" w14:textId="69EA7DDE" w:rsidR="003F2C90" w:rsidRPr="003F2C90" w:rsidRDefault="003F2C90" w:rsidP="0053403D">
            <w:pPr>
              <w:pStyle w:val="tabletxt"/>
              <w:rPr>
                <w:b/>
                <w:szCs w:val="18"/>
              </w:rPr>
            </w:pPr>
            <w:r w:rsidRPr="003F2C90">
              <w:rPr>
                <w:b/>
                <w:bCs/>
                <w:szCs w:val="18"/>
              </w:rPr>
              <w:t xml:space="preserve">Rang </w:t>
            </w:r>
          </w:p>
        </w:tc>
        <w:tc>
          <w:tcPr>
            <w:tcW w:w="892" w:type="dxa"/>
            <w:shd w:val="clear" w:color="auto" w:fill="F2F2F2" w:themeFill="background1" w:themeFillShade="F2"/>
            <w:vAlign w:val="center"/>
          </w:tcPr>
          <w:p w14:paraId="5F362FF6" w14:textId="058F6A37" w:rsidR="003F2C90" w:rsidRPr="003F2C90" w:rsidRDefault="003F2C90" w:rsidP="0053403D">
            <w:pPr>
              <w:pStyle w:val="tabletxt"/>
              <w:rPr>
                <w:b/>
                <w:szCs w:val="18"/>
              </w:rPr>
            </w:pPr>
            <w:r w:rsidRPr="003F2C90">
              <w:rPr>
                <w:b/>
                <w:bCs/>
                <w:szCs w:val="18"/>
              </w:rPr>
              <w:t xml:space="preserve">Razvojna skupina </w:t>
            </w:r>
          </w:p>
        </w:tc>
      </w:tr>
      <w:tr w:rsidR="003F2C90" w:rsidRPr="006C60D9" w14:paraId="3950EEEC" w14:textId="77777777" w:rsidTr="00BC2D60">
        <w:tc>
          <w:tcPr>
            <w:tcW w:w="5619" w:type="dxa"/>
            <w:vMerge/>
            <w:vAlign w:val="center"/>
          </w:tcPr>
          <w:p w14:paraId="52B78168" w14:textId="7D983FA7" w:rsidR="003F2C90" w:rsidRPr="006C60D9" w:rsidRDefault="003F2C90" w:rsidP="006C60D9">
            <w:pPr>
              <w:pStyle w:val="tabletxt"/>
              <w:rPr>
                <w:szCs w:val="18"/>
              </w:rPr>
            </w:pPr>
          </w:p>
        </w:tc>
        <w:tc>
          <w:tcPr>
            <w:tcW w:w="1646" w:type="dxa"/>
            <w:vAlign w:val="center"/>
          </w:tcPr>
          <w:p w14:paraId="64EC6066" w14:textId="54F6CDEB" w:rsidR="003F2C90" w:rsidRPr="006C60D9" w:rsidRDefault="003F2C90" w:rsidP="006C60D9">
            <w:pPr>
              <w:pStyle w:val="tabletxt"/>
              <w:rPr>
                <w:szCs w:val="18"/>
              </w:rPr>
            </w:pPr>
            <w:r w:rsidRPr="006C60D9">
              <w:rPr>
                <w:szCs w:val="18"/>
              </w:rPr>
              <w:t>Karlovac (KŽ)</w:t>
            </w:r>
          </w:p>
        </w:tc>
        <w:tc>
          <w:tcPr>
            <w:tcW w:w="1079" w:type="dxa"/>
          </w:tcPr>
          <w:p w14:paraId="5B3B1F4A" w14:textId="11298392" w:rsidR="003F2C90" w:rsidRPr="006C60D9" w:rsidRDefault="003F2C90" w:rsidP="006C60D9">
            <w:pPr>
              <w:pStyle w:val="tabletxt"/>
              <w:rPr>
                <w:szCs w:val="18"/>
              </w:rPr>
            </w:pPr>
            <w:r w:rsidRPr="006C60D9">
              <w:rPr>
                <w:szCs w:val="18"/>
              </w:rPr>
              <w:t>105.579</w:t>
            </w:r>
          </w:p>
        </w:tc>
        <w:tc>
          <w:tcPr>
            <w:tcW w:w="695" w:type="dxa"/>
          </w:tcPr>
          <w:p w14:paraId="062C4BDA" w14:textId="78FE67B1" w:rsidR="003F2C90" w:rsidRPr="006C60D9" w:rsidRDefault="003F2C90" w:rsidP="006C60D9">
            <w:pPr>
              <w:pStyle w:val="tabletxt"/>
              <w:rPr>
                <w:szCs w:val="18"/>
              </w:rPr>
            </w:pPr>
            <w:r w:rsidRPr="006C60D9">
              <w:rPr>
                <w:szCs w:val="18"/>
              </w:rPr>
              <w:t>99</w:t>
            </w:r>
          </w:p>
        </w:tc>
        <w:tc>
          <w:tcPr>
            <w:tcW w:w="892" w:type="dxa"/>
          </w:tcPr>
          <w:p w14:paraId="6C66A83C" w14:textId="52DCFA45" w:rsidR="003F2C90" w:rsidRPr="006C60D9" w:rsidRDefault="003F2C90" w:rsidP="006C60D9">
            <w:pPr>
              <w:pStyle w:val="tabletxt"/>
              <w:rPr>
                <w:szCs w:val="18"/>
              </w:rPr>
            </w:pPr>
            <w:r w:rsidRPr="006C60D9">
              <w:rPr>
                <w:szCs w:val="18"/>
              </w:rPr>
              <w:t>7</w:t>
            </w:r>
          </w:p>
        </w:tc>
      </w:tr>
      <w:tr w:rsidR="003F2C90" w:rsidRPr="006C60D9" w14:paraId="5FEABBE0" w14:textId="77777777" w:rsidTr="00BC2D60">
        <w:tc>
          <w:tcPr>
            <w:tcW w:w="5619" w:type="dxa"/>
            <w:vMerge/>
            <w:vAlign w:val="center"/>
          </w:tcPr>
          <w:p w14:paraId="70EAA794" w14:textId="54CEF0B0" w:rsidR="003F2C90" w:rsidRPr="006C60D9" w:rsidRDefault="003F2C90" w:rsidP="006C60D9">
            <w:pPr>
              <w:pStyle w:val="tabletxt"/>
              <w:rPr>
                <w:szCs w:val="18"/>
              </w:rPr>
            </w:pPr>
          </w:p>
        </w:tc>
        <w:tc>
          <w:tcPr>
            <w:tcW w:w="1646" w:type="dxa"/>
            <w:vAlign w:val="center"/>
          </w:tcPr>
          <w:p w14:paraId="752BBC6B" w14:textId="233DBB71" w:rsidR="003F2C90" w:rsidRPr="006C60D9" w:rsidRDefault="003F2C90" w:rsidP="006C60D9">
            <w:pPr>
              <w:pStyle w:val="tabletxt"/>
              <w:rPr>
                <w:szCs w:val="18"/>
              </w:rPr>
            </w:pPr>
            <w:r w:rsidRPr="006C60D9">
              <w:rPr>
                <w:szCs w:val="18"/>
              </w:rPr>
              <w:t>Jastrebarsko (ZŽ)</w:t>
            </w:r>
          </w:p>
        </w:tc>
        <w:tc>
          <w:tcPr>
            <w:tcW w:w="1079" w:type="dxa"/>
          </w:tcPr>
          <w:p w14:paraId="29E84531" w14:textId="414542C5" w:rsidR="003F2C90" w:rsidRPr="006C60D9" w:rsidRDefault="003F2C90" w:rsidP="006C60D9">
            <w:pPr>
              <w:pStyle w:val="tabletxt"/>
              <w:rPr>
                <w:szCs w:val="18"/>
              </w:rPr>
            </w:pPr>
            <w:r w:rsidRPr="006C60D9">
              <w:rPr>
                <w:szCs w:val="18"/>
              </w:rPr>
              <w:t>105.052</w:t>
            </w:r>
          </w:p>
        </w:tc>
        <w:tc>
          <w:tcPr>
            <w:tcW w:w="695" w:type="dxa"/>
          </w:tcPr>
          <w:p w14:paraId="4EB32711" w14:textId="027A0468" w:rsidR="003F2C90" w:rsidRPr="006C60D9" w:rsidRDefault="003F2C90" w:rsidP="006C60D9">
            <w:pPr>
              <w:pStyle w:val="tabletxt"/>
              <w:rPr>
                <w:szCs w:val="18"/>
              </w:rPr>
            </w:pPr>
            <w:r w:rsidRPr="006C60D9">
              <w:rPr>
                <w:szCs w:val="18"/>
              </w:rPr>
              <w:t>115</w:t>
            </w:r>
          </w:p>
        </w:tc>
        <w:tc>
          <w:tcPr>
            <w:tcW w:w="892" w:type="dxa"/>
          </w:tcPr>
          <w:p w14:paraId="49EE8ED7" w14:textId="1E07CD5E" w:rsidR="003F2C90" w:rsidRPr="006C60D9" w:rsidRDefault="003F2C90" w:rsidP="006C60D9">
            <w:pPr>
              <w:pStyle w:val="tabletxt"/>
              <w:rPr>
                <w:szCs w:val="18"/>
              </w:rPr>
            </w:pPr>
            <w:r w:rsidRPr="006C60D9">
              <w:rPr>
                <w:szCs w:val="18"/>
              </w:rPr>
              <w:t>7</w:t>
            </w:r>
          </w:p>
        </w:tc>
      </w:tr>
      <w:tr w:rsidR="003F2C90" w:rsidRPr="006C60D9" w14:paraId="0B088BC0" w14:textId="77777777" w:rsidTr="00BC2D60">
        <w:tc>
          <w:tcPr>
            <w:tcW w:w="5619" w:type="dxa"/>
            <w:vMerge/>
            <w:vAlign w:val="center"/>
          </w:tcPr>
          <w:p w14:paraId="4B365E2F" w14:textId="21F47611" w:rsidR="003F2C90" w:rsidRPr="006C60D9" w:rsidRDefault="003F2C90" w:rsidP="006C60D9">
            <w:pPr>
              <w:pStyle w:val="tabletxt"/>
              <w:rPr>
                <w:szCs w:val="18"/>
              </w:rPr>
            </w:pPr>
          </w:p>
        </w:tc>
        <w:tc>
          <w:tcPr>
            <w:tcW w:w="1646" w:type="dxa"/>
            <w:vAlign w:val="center"/>
          </w:tcPr>
          <w:p w14:paraId="7FC81ACB" w14:textId="7B119838" w:rsidR="003F2C90" w:rsidRPr="006C60D9" w:rsidRDefault="003F2C90" w:rsidP="006C60D9">
            <w:pPr>
              <w:pStyle w:val="tabletxt"/>
              <w:rPr>
                <w:szCs w:val="18"/>
              </w:rPr>
            </w:pPr>
            <w:r w:rsidRPr="006C60D9">
              <w:rPr>
                <w:szCs w:val="18"/>
              </w:rPr>
              <w:t>Duga Resa (KŽ)</w:t>
            </w:r>
          </w:p>
        </w:tc>
        <w:tc>
          <w:tcPr>
            <w:tcW w:w="1079" w:type="dxa"/>
          </w:tcPr>
          <w:p w14:paraId="3AB8E943" w14:textId="323D33C7" w:rsidR="003F2C90" w:rsidRPr="006C60D9" w:rsidRDefault="003F2C90" w:rsidP="006C60D9">
            <w:pPr>
              <w:pStyle w:val="tabletxt"/>
              <w:rPr>
                <w:szCs w:val="18"/>
              </w:rPr>
            </w:pPr>
            <w:r w:rsidRPr="006C60D9">
              <w:rPr>
                <w:szCs w:val="18"/>
              </w:rPr>
              <w:t>102.249</w:t>
            </w:r>
          </w:p>
        </w:tc>
        <w:tc>
          <w:tcPr>
            <w:tcW w:w="695" w:type="dxa"/>
          </w:tcPr>
          <w:p w14:paraId="62D99192" w14:textId="2C5E62D9" w:rsidR="003F2C90" w:rsidRPr="006C60D9" w:rsidRDefault="003F2C90" w:rsidP="006C60D9">
            <w:pPr>
              <w:pStyle w:val="tabletxt"/>
              <w:rPr>
                <w:szCs w:val="18"/>
              </w:rPr>
            </w:pPr>
            <w:r w:rsidRPr="006C60D9">
              <w:rPr>
                <w:szCs w:val="18"/>
              </w:rPr>
              <w:t>189</w:t>
            </w:r>
          </w:p>
        </w:tc>
        <w:tc>
          <w:tcPr>
            <w:tcW w:w="892" w:type="dxa"/>
          </w:tcPr>
          <w:p w14:paraId="4FB26CE6" w14:textId="3C02E531" w:rsidR="003F2C90" w:rsidRPr="006C60D9" w:rsidRDefault="003F2C90" w:rsidP="006C60D9">
            <w:pPr>
              <w:pStyle w:val="tabletxt"/>
              <w:rPr>
                <w:szCs w:val="18"/>
              </w:rPr>
            </w:pPr>
            <w:r w:rsidRPr="006C60D9">
              <w:rPr>
                <w:szCs w:val="18"/>
              </w:rPr>
              <w:t>6</w:t>
            </w:r>
          </w:p>
        </w:tc>
      </w:tr>
      <w:tr w:rsidR="003F2C90" w:rsidRPr="006C60D9" w14:paraId="103B63B7" w14:textId="77777777" w:rsidTr="00BC2D60">
        <w:tc>
          <w:tcPr>
            <w:tcW w:w="5619" w:type="dxa"/>
            <w:vMerge/>
            <w:vAlign w:val="center"/>
          </w:tcPr>
          <w:p w14:paraId="61E5F035" w14:textId="3A6233C2" w:rsidR="003F2C90" w:rsidRPr="006C60D9" w:rsidRDefault="003F2C90" w:rsidP="006C60D9">
            <w:pPr>
              <w:pStyle w:val="tabletxt"/>
              <w:rPr>
                <w:szCs w:val="18"/>
              </w:rPr>
            </w:pPr>
          </w:p>
        </w:tc>
        <w:tc>
          <w:tcPr>
            <w:tcW w:w="1646" w:type="dxa"/>
            <w:vAlign w:val="center"/>
          </w:tcPr>
          <w:p w14:paraId="4D3D0894" w14:textId="124CB56C" w:rsidR="003F2C90" w:rsidRPr="006C60D9" w:rsidRDefault="003F2C90" w:rsidP="006C60D9">
            <w:pPr>
              <w:pStyle w:val="tabletxt"/>
              <w:rPr>
                <w:szCs w:val="18"/>
              </w:rPr>
            </w:pPr>
            <w:r w:rsidRPr="006C60D9">
              <w:rPr>
                <w:szCs w:val="18"/>
              </w:rPr>
              <w:t>Pisarovina (ZŽ)</w:t>
            </w:r>
          </w:p>
        </w:tc>
        <w:tc>
          <w:tcPr>
            <w:tcW w:w="1079" w:type="dxa"/>
          </w:tcPr>
          <w:p w14:paraId="397F021D" w14:textId="24FCD4D7" w:rsidR="003F2C90" w:rsidRPr="006C60D9" w:rsidRDefault="003F2C90" w:rsidP="006C60D9">
            <w:pPr>
              <w:pStyle w:val="tabletxt"/>
              <w:rPr>
                <w:szCs w:val="18"/>
              </w:rPr>
            </w:pPr>
            <w:r w:rsidRPr="006C60D9">
              <w:rPr>
                <w:szCs w:val="18"/>
              </w:rPr>
              <w:t>101.431</w:t>
            </w:r>
          </w:p>
        </w:tc>
        <w:tc>
          <w:tcPr>
            <w:tcW w:w="695" w:type="dxa"/>
          </w:tcPr>
          <w:p w14:paraId="5880DF09" w14:textId="561F51C8" w:rsidR="003F2C90" w:rsidRPr="006C60D9" w:rsidRDefault="003F2C90" w:rsidP="006C60D9">
            <w:pPr>
              <w:pStyle w:val="tabletxt"/>
              <w:rPr>
                <w:szCs w:val="18"/>
              </w:rPr>
            </w:pPr>
            <w:r w:rsidRPr="006C60D9">
              <w:rPr>
                <w:szCs w:val="18"/>
              </w:rPr>
              <w:t>212</w:t>
            </w:r>
          </w:p>
        </w:tc>
        <w:tc>
          <w:tcPr>
            <w:tcW w:w="892" w:type="dxa"/>
          </w:tcPr>
          <w:p w14:paraId="62F94791" w14:textId="0A913C5A" w:rsidR="003F2C90" w:rsidRPr="006C60D9" w:rsidRDefault="003F2C90" w:rsidP="006C60D9">
            <w:pPr>
              <w:pStyle w:val="tabletxt"/>
              <w:rPr>
                <w:szCs w:val="18"/>
              </w:rPr>
            </w:pPr>
            <w:r w:rsidRPr="006C60D9">
              <w:rPr>
                <w:szCs w:val="18"/>
              </w:rPr>
              <w:t>5</w:t>
            </w:r>
          </w:p>
        </w:tc>
      </w:tr>
      <w:tr w:rsidR="003F2C90" w:rsidRPr="006C60D9" w14:paraId="6257563A" w14:textId="77777777" w:rsidTr="00BC2D60">
        <w:tc>
          <w:tcPr>
            <w:tcW w:w="5619" w:type="dxa"/>
            <w:vMerge/>
            <w:vAlign w:val="center"/>
          </w:tcPr>
          <w:p w14:paraId="559312C0" w14:textId="64685B30" w:rsidR="003F2C90" w:rsidRPr="006C60D9" w:rsidRDefault="003F2C90" w:rsidP="006C60D9">
            <w:pPr>
              <w:pStyle w:val="tabletxt"/>
              <w:rPr>
                <w:szCs w:val="18"/>
              </w:rPr>
            </w:pPr>
          </w:p>
        </w:tc>
        <w:tc>
          <w:tcPr>
            <w:tcW w:w="1646" w:type="dxa"/>
            <w:vAlign w:val="center"/>
          </w:tcPr>
          <w:p w14:paraId="06433C53" w14:textId="233ACA75" w:rsidR="003F2C90" w:rsidRPr="006C60D9" w:rsidRDefault="003F2C90" w:rsidP="006C60D9">
            <w:pPr>
              <w:pStyle w:val="tabletxt"/>
              <w:rPr>
                <w:szCs w:val="18"/>
              </w:rPr>
            </w:pPr>
            <w:r w:rsidRPr="006C60D9">
              <w:rPr>
                <w:szCs w:val="18"/>
              </w:rPr>
              <w:t>Ozalj (KŽ)</w:t>
            </w:r>
          </w:p>
        </w:tc>
        <w:tc>
          <w:tcPr>
            <w:tcW w:w="1079" w:type="dxa"/>
          </w:tcPr>
          <w:p w14:paraId="5C6DF732" w14:textId="2447EF92" w:rsidR="003F2C90" w:rsidRPr="006C60D9" w:rsidRDefault="003F2C90" w:rsidP="006C60D9">
            <w:pPr>
              <w:pStyle w:val="tabletxt"/>
              <w:rPr>
                <w:szCs w:val="18"/>
              </w:rPr>
            </w:pPr>
            <w:r w:rsidRPr="006C60D9">
              <w:rPr>
                <w:szCs w:val="18"/>
              </w:rPr>
              <w:t>100.149</w:t>
            </w:r>
          </w:p>
        </w:tc>
        <w:tc>
          <w:tcPr>
            <w:tcW w:w="695" w:type="dxa"/>
          </w:tcPr>
          <w:p w14:paraId="01B1181A" w14:textId="00C5023F" w:rsidR="003F2C90" w:rsidRPr="006C60D9" w:rsidRDefault="003F2C90" w:rsidP="006C60D9">
            <w:pPr>
              <w:pStyle w:val="tabletxt"/>
              <w:rPr>
                <w:szCs w:val="18"/>
              </w:rPr>
            </w:pPr>
            <w:r w:rsidRPr="006C60D9">
              <w:rPr>
                <w:szCs w:val="18"/>
              </w:rPr>
              <w:t>249</w:t>
            </w:r>
          </w:p>
        </w:tc>
        <w:tc>
          <w:tcPr>
            <w:tcW w:w="892" w:type="dxa"/>
          </w:tcPr>
          <w:p w14:paraId="01F6563F" w14:textId="20F3CB2F" w:rsidR="003F2C90" w:rsidRPr="006C60D9" w:rsidRDefault="003F2C90" w:rsidP="006C60D9">
            <w:pPr>
              <w:pStyle w:val="tabletxt"/>
              <w:rPr>
                <w:szCs w:val="18"/>
              </w:rPr>
            </w:pPr>
            <w:r w:rsidRPr="006C60D9">
              <w:rPr>
                <w:szCs w:val="18"/>
              </w:rPr>
              <w:t>5</w:t>
            </w:r>
          </w:p>
        </w:tc>
      </w:tr>
      <w:tr w:rsidR="003F2C90" w:rsidRPr="006C60D9" w14:paraId="25749432" w14:textId="77777777" w:rsidTr="00BC2D60">
        <w:tc>
          <w:tcPr>
            <w:tcW w:w="5619" w:type="dxa"/>
            <w:vMerge/>
            <w:vAlign w:val="center"/>
          </w:tcPr>
          <w:p w14:paraId="749AB3E8" w14:textId="127F25BE" w:rsidR="003F2C90" w:rsidRPr="006C60D9" w:rsidRDefault="003F2C90" w:rsidP="006C60D9">
            <w:pPr>
              <w:pStyle w:val="tabletxt"/>
              <w:rPr>
                <w:szCs w:val="18"/>
              </w:rPr>
            </w:pPr>
          </w:p>
        </w:tc>
        <w:tc>
          <w:tcPr>
            <w:tcW w:w="1646" w:type="dxa"/>
            <w:vAlign w:val="center"/>
          </w:tcPr>
          <w:p w14:paraId="6DF4CB8E" w14:textId="3834B81D" w:rsidR="003F2C90" w:rsidRPr="006C60D9" w:rsidRDefault="003F2C90" w:rsidP="006C60D9">
            <w:pPr>
              <w:pStyle w:val="tabletxt"/>
              <w:rPr>
                <w:szCs w:val="18"/>
              </w:rPr>
            </w:pPr>
            <w:r w:rsidRPr="006C60D9">
              <w:rPr>
                <w:szCs w:val="18"/>
              </w:rPr>
              <w:t>Draganić (KŽ)</w:t>
            </w:r>
          </w:p>
        </w:tc>
        <w:tc>
          <w:tcPr>
            <w:tcW w:w="1079" w:type="dxa"/>
          </w:tcPr>
          <w:p w14:paraId="63320596" w14:textId="3BEA66FC" w:rsidR="003F2C90" w:rsidRPr="006C60D9" w:rsidRDefault="003F2C90" w:rsidP="006C60D9">
            <w:pPr>
              <w:pStyle w:val="tabletxt"/>
              <w:rPr>
                <w:szCs w:val="18"/>
              </w:rPr>
            </w:pPr>
            <w:r w:rsidRPr="006C60D9">
              <w:rPr>
                <w:szCs w:val="18"/>
              </w:rPr>
              <w:t>99.978</w:t>
            </w:r>
          </w:p>
        </w:tc>
        <w:tc>
          <w:tcPr>
            <w:tcW w:w="695" w:type="dxa"/>
          </w:tcPr>
          <w:p w14:paraId="110D4734" w14:textId="43C68891" w:rsidR="003F2C90" w:rsidRPr="006C60D9" w:rsidRDefault="003F2C90" w:rsidP="006C60D9">
            <w:pPr>
              <w:pStyle w:val="tabletxt"/>
              <w:rPr>
                <w:szCs w:val="18"/>
              </w:rPr>
            </w:pPr>
            <w:r w:rsidRPr="006C60D9">
              <w:rPr>
                <w:szCs w:val="18"/>
              </w:rPr>
              <w:t>253</w:t>
            </w:r>
          </w:p>
        </w:tc>
        <w:tc>
          <w:tcPr>
            <w:tcW w:w="892" w:type="dxa"/>
          </w:tcPr>
          <w:p w14:paraId="45714518" w14:textId="3271F463" w:rsidR="003F2C90" w:rsidRPr="006C60D9" w:rsidRDefault="003F2C90" w:rsidP="006C60D9">
            <w:pPr>
              <w:pStyle w:val="tabletxt"/>
              <w:rPr>
                <w:szCs w:val="18"/>
              </w:rPr>
            </w:pPr>
            <w:r w:rsidRPr="006C60D9">
              <w:rPr>
                <w:szCs w:val="18"/>
              </w:rPr>
              <w:t>4</w:t>
            </w:r>
          </w:p>
        </w:tc>
      </w:tr>
      <w:tr w:rsidR="003F2C90" w:rsidRPr="006C60D9" w14:paraId="426E8874" w14:textId="77777777" w:rsidTr="00BC2D60">
        <w:tc>
          <w:tcPr>
            <w:tcW w:w="5619" w:type="dxa"/>
            <w:vMerge/>
            <w:vAlign w:val="center"/>
          </w:tcPr>
          <w:p w14:paraId="0861B381" w14:textId="32D7B3AE" w:rsidR="003F2C90" w:rsidRPr="006C60D9" w:rsidRDefault="003F2C90" w:rsidP="006C60D9">
            <w:pPr>
              <w:pStyle w:val="tabletxt"/>
              <w:rPr>
                <w:szCs w:val="18"/>
              </w:rPr>
            </w:pPr>
          </w:p>
        </w:tc>
        <w:tc>
          <w:tcPr>
            <w:tcW w:w="1646" w:type="dxa"/>
            <w:vAlign w:val="center"/>
          </w:tcPr>
          <w:p w14:paraId="27300E11" w14:textId="542DC919" w:rsidR="003F2C90" w:rsidRPr="006C60D9" w:rsidRDefault="003F2C90" w:rsidP="006C60D9">
            <w:pPr>
              <w:pStyle w:val="tabletxt"/>
              <w:rPr>
                <w:szCs w:val="18"/>
              </w:rPr>
            </w:pPr>
            <w:r w:rsidRPr="006C60D9">
              <w:rPr>
                <w:szCs w:val="18"/>
              </w:rPr>
              <w:t>Kamanje (KŽ)</w:t>
            </w:r>
          </w:p>
        </w:tc>
        <w:tc>
          <w:tcPr>
            <w:tcW w:w="1079" w:type="dxa"/>
          </w:tcPr>
          <w:p w14:paraId="79987079" w14:textId="74DCDCA1" w:rsidR="003F2C90" w:rsidRPr="006C60D9" w:rsidRDefault="003F2C90" w:rsidP="006C60D9">
            <w:pPr>
              <w:pStyle w:val="tabletxt"/>
              <w:rPr>
                <w:szCs w:val="18"/>
              </w:rPr>
            </w:pPr>
            <w:r w:rsidRPr="006C60D9">
              <w:rPr>
                <w:szCs w:val="18"/>
              </w:rPr>
              <w:t>98.521</w:t>
            </w:r>
          </w:p>
        </w:tc>
        <w:tc>
          <w:tcPr>
            <w:tcW w:w="695" w:type="dxa"/>
          </w:tcPr>
          <w:p w14:paraId="681FCB0A" w14:textId="58B943B1" w:rsidR="003F2C90" w:rsidRPr="006C60D9" w:rsidRDefault="003F2C90" w:rsidP="006C60D9">
            <w:pPr>
              <w:pStyle w:val="tabletxt"/>
              <w:rPr>
                <w:szCs w:val="18"/>
              </w:rPr>
            </w:pPr>
            <w:r w:rsidRPr="006C60D9">
              <w:rPr>
                <w:szCs w:val="18"/>
              </w:rPr>
              <w:t>303</w:t>
            </w:r>
          </w:p>
        </w:tc>
        <w:tc>
          <w:tcPr>
            <w:tcW w:w="892" w:type="dxa"/>
          </w:tcPr>
          <w:p w14:paraId="26BD2CDB" w14:textId="5666D350" w:rsidR="003F2C90" w:rsidRPr="006C60D9" w:rsidRDefault="003F2C90" w:rsidP="006C60D9">
            <w:pPr>
              <w:pStyle w:val="tabletxt"/>
              <w:rPr>
                <w:szCs w:val="18"/>
              </w:rPr>
            </w:pPr>
            <w:r w:rsidRPr="006C60D9">
              <w:rPr>
                <w:szCs w:val="18"/>
              </w:rPr>
              <w:t>4</w:t>
            </w:r>
          </w:p>
        </w:tc>
      </w:tr>
      <w:tr w:rsidR="003F2C90" w:rsidRPr="006C60D9" w14:paraId="1583B62A" w14:textId="77777777" w:rsidTr="00BC2D60">
        <w:tc>
          <w:tcPr>
            <w:tcW w:w="5619" w:type="dxa"/>
            <w:vMerge/>
            <w:vAlign w:val="center"/>
          </w:tcPr>
          <w:p w14:paraId="4028416B" w14:textId="1814E2E5" w:rsidR="003F2C90" w:rsidRPr="006C60D9" w:rsidRDefault="003F2C90" w:rsidP="006C60D9">
            <w:pPr>
              <w:pStyle w:val="tabletxt"/>
              <w:rPr>
                <w:szCs w:val="18"/>
              </w:rPr>
            </w:pPr>
          </w:p>
        </w:tc>
        <w:tc>
          <w:tcPr>
            <w:tcW w:w="1646" w:type="dxa"/>
            <w:vAlign w:val="center"/>
          </w:tcPr>
          <w:p w14:paraId="63626988" w14:textId="42110490" w:rsidR="003F2C90" w:rsidRPr="006C60D9" w:rsidRDefault="003F2C90" w:rsidP="006C60D9">
            <w:pPr>
              <w:pStyle w:val="tabletxt"/>
              <w:rPr>
                <w:szCs w:val="18"/>
              </w:rPr>
            </w:pPr>
            <w:r w:rsidRPr="006C60D9">
              <w:rPr>
                <w:szCs w:val="18"/>
              </w:rPr>
              <w:t>Barilović (KŽ)</w:t>
            </w:r>
          </w:p>
        </w:tc>
        <w:tc>
          <w:tcPr>
            <w:tcW w:w="1079" w:type="dxa"/>
          </w:tcPr>
          <w:p w14:paraId="51776C88" w14:textId="65351701" w:rsidR="003F2C90" w:rsidRPr="006C60D9" w:rsidRDefault="003F2C90" w:rsidP="006C60D9">
            <w:pPr>
              <w:pStyle w:val="tabletxt"/>
              <w:rPr>
                <w:szCs w:val="18"/>
              </w:rPr>
            </w:pPr>
            <w:r w:rsidRPr="006C60D9">
              <w:rPr>
                <w:szCs w:val="18"/>
              </w:rPr>
              <w:t>98.077</w:t>
            </w:r>
          </w:p>
        </w:tc>
        <w:tc>
          <w:tcPr>
            <w:tcW w:w="695" w:type="dxa"/>
          </w:tcPr>
          <w:p w14:paraId="6D8B8D59" w14:textId="41C58120" w:rsidR="003F2C90" w:rsidRPr="006C60D9" w:rsidRDefault="003F2C90" w:rsidP="006C60D9">
            <w:pPr>
              <w:pStyle w:val="tabletxt"/>
              <w:rPr>
                <w:szCs w:val="18"/>
              </w:rPr>
            </w:pPr>
            <w:r w:rsidRPr="006C60D9">
              <w:rPr>
                <w:szCs w:val="18"/>
              </w:rPr>
              <w:t>316</w:t>
            </w:r>
          </w:p>
        </w:tc>
        <w:tc>
          <w:tcPr>
            <w:tcW w:w="892" w:type="dxa"/>
          </w:tcPr>
          <w:p w14:paraId="1DBA7769" w14:textId="50F77307" w:rsidR="003F2C90" w:rsidRPr="006C60D9" w:rsidRDefault="003F2C90" w:rsidP="006C60D9">
            <w:pPr>
              <w:pStyle w:val="tabletxt"/>
              <w:rPr>
                <w:szCs w:val="18"/>
              </w:rPr>
            </w:pPr>
            <w:r w:rsidRPr="006C60D9">
              <w:rPr>
                <w:szCs w:val="18"/>
              </w:rPr>
              <w:t>4</w:t>
            </w:r>
          </w:p>
        </w:tc>
      </w:tr>
      <w:tr w:rsidR="003F2C90" w:rsidRPr="006C60D9" w14:paraId="18B6A9FE" w14:textId="77777777" w:rsidTr="00BC2D60">
        <w:tc>
          <w:tcPr>
            <w:tcW w:w="5619" w:type="dxa"/>
            <w:vMerge/>
            <w:vAlign w:val="center"/>
          </w:tcPr>
          <w:p w14:paraId="26B2C9C4" w14:textId="74512602" w:rsidR="003F2C90" w:rsidRPr="006C60D9" w:rsidRDefault="003F2C90" w:rsidP="006C60D9">
            <w:pPr>
              <w:pStyle w:val="tabletxt"/>
              <w:rPr>
                <w:szCs w:val="18"/>
              </w:rPr>
            </w:pPr>
          </w:p>
        </w:tc>
        <w:tc>
          <w:tcPr>
            <w:tcW w:w="1646" w:type="dxa"/>
            <w:vAlign w:val="center"/>
          </w:tcPr>
          <w:p w14:paraId="33F31AFA" w14:textId="7EB73E25" w:rsidR="003F2C90" w:rsidRPr="006C60D9" w:rsidRDefault="003F2C90" w:rsidP="006C60D9">
            <w:pPr>
              <w:pStyle w:val="tabletxt"/>
              <w:rPr>
                <w:szCs w:val="18"/>
              </w:rPr>
            </w:pPr>
            <w:r w:rsidRPr="006C60D9">
              <w:rPr>
                <w:szCs w:val="18"/>
              </w:rPr>
              <w:t>Žakanje (KŽ)</w:t>
            </w:r>
          </w:p>
        </w:tc>
        <w:tc>
          <w:tcPr>
            <w:tcW w:w="1079" w:type="dxa"/>
          </w:tcPr>
          <w:p w14:paraId="105EBA32" w14:textId="37691398" w:rsidR="003F2C90" w:rsidRPr="006C60D9" w:rsidRDefault="003F2C90" w:rsidP="006C60D9">
            <w:pPr>
              <w:pStyle w:val="tabletxt"/>
              <w:rPr>
                <w:szCs w:val="18"/>
              </w:rPr>
            </w:pPr>
            <w:r w:rsidRPr="006C60D9">
              <w:rPr>
                <w:szCs w:val="18"/>
              </w:rPr>
              <w:t>97.697</w:t>
            </w:r>
          </w:p>
        </w:tc>
        <w:tc>
          <w:tcPr>
            <w:tcW w:w="695" w:type="dxa"/>
          </w:tcPr>
          <w:p w14:paraId="1D19CDAF" w14:textId="4004BB8B" w:rsidR="003F2C90" w:rsidRPr="006C60D9" w:rsidRDefault="003F2C90" w:rsidP="006C60D9">
            <w:pPr>
              <w:pStyle w:val="tabletxt"/>
              <w:rPr>
                <w:szCs w:val="18"/>
              </w:rPr>
            </w:pPr>
            <w:r w:rsidRPr="006C60D9">
              <w:rPr>
                <w:szCs w:val="18"/>
              </w:rPr>
              <w:t>338</w:t>
            </w:r>
          </w:p>
        </w:tc>
        <w:tc>
          <w:tcPr>
            <w:tcW w:w="892" w:type="dxa"/>
          </w:tcPr>
          <w:p w14:paraId="01F46AED" w14:textId="109BA1D6" w:rsidR="003F2C90" w:rsidRPr="006C60D9" w:rsidRDefault="003F2C90" w:rsidP="006C60D9">
            <w:pPr>
              <w:pStyle w:val="tabletxt"/>
              <w:rPr>
                <w:szCs w:val="18"/>
              </w:rPr>
            </w:pPr>
            <w:r w:rsidRPr="006C60D9">
              <w:rPr>
                <w:szCs w:val="18"/>
              </w:rPr>
              <w:t>3</w:t>
            </w:r>
          </w:p>
        </w:tc>
      </w:tr>
      <w:tr w:rsidR="003F2C90" w:rsidRPr="006C60D9" w14:paraId="13832F5B" w14:textId="77777777" w:rsidTr="00BC2D60">
        <w:tc>
          <w:tcPr>
            <w:tcW w:w="5619" w:type="dxa"/>
            <w:vMerge/>
            <w:vAlign w:val="center"/>
          </w:tcPr>
          <w:p w14:paraId="0BD7BDD6" w14:textId="682C0B1E" w:rsidR="003F2C90" w:rsidRPr="006C60D9" w:rsidRDefault="003F2C90" w:rsidP="006C60D9">
            <w:pPr>
              <w:pStyle w:val="tabletxt"/>
              <w:rPr>
                <w:szCs w:val="18"/>
              </w:rPr>
            </w:pPr>
          </w:p>
        </w:tc>
        <w:tc>
          <w:tcPr>
            <w:tcW w:w="1646" w:type="dxa"/>
            <w:vAlign w:val="center"/>
          </w:tcPr>
          <w:p w14:paraId="6E9A5F9B" w14:textId="3BAAE75C" w:rsidR="003F2C90" w:rsidRPr="006C60D9" w:rsidRDefault="003F2C90" w:rsidP="006C60D9">
            <w:pPr>
              <w:pStyle w:val="tabletxt"/>
              <w:rPr>
                <w:szCs w:val="18"/>
              </w:rPr>
            </w:pPr>
            <w:r w:rsidRPr="006C60D9">
              <w:rPr>
                <w:szCs w:val="18"/>
              </w:rPr>
              <w:t>Lasinja (KŽ)</w:t>
            </w:r>
          </w:p>
        </w:tc>
        <w:tc>
          <w:tcPr>
            <w:tcW w:w="1079" w:type="dxa"/>
          </w:tcPr>
          <w:p w14:paraId="3352A53C" w14:textId="19F4D8F8" w:rsidR="003F2C90" w:rsidRPr="006C60D9" w:rsidRDefault="003F2C90" w:rsidP="006C60D9">
            <w:pPr>
              <w:pStyle w:val="tabletxt"/>
              <w:rPr>
                <w:szCs w:val="18"/>
              </w:rPr>
            </w:pPr>
            <w:r w:rsidRPr="006C60D9">
              <w:rPr>
                <w:szCs w:val="18"/>
              </w:rPr>
              <w:t>97.598</w:t>
            </w:r>
          </w:p>
        </w:tc>
        <w:tc>
          <w:tcPr>
            <w:tcW w:w="695" w:type="dxa"/>
          </w:tcPr>
          <w:p w14:paraId="0499C63E" w14:textId="3D9C3628" w:rsidR="003F2C90" w:rsidRPr="006C60D9" w:rsidRDefault="003F2C90" w:rsidP="006C60D9">
            <w:pPr>
              <w:pStyle w:val="tabletxt"/>
              <w:rPr>
                <w:szCs w:val="18"/>
              </w:rPr>
            </w:pPr>
            <w:r w:rsidRPr="006C60D9">
              <w:rPr>
                <w:szCs w:val="18"/>
              </w:rPr>
              <w:t>339</w:t>
            </w:r>
          </w:p>
        </w:tc>
        <w:tc>
          <w:tcPr>
            <w:tcW w:w="892" w:type="dxa"/>
          </w:tcPr>
          <w:p w14:paraId="1A56EB07" w14:textId="2CD664D7" w:rsidR="003F2C90" w:rsidRPr="006C60D9" w:rsidRDefault="003F2C90" w:rsidP="006C60D9">
            <w:pPr>
              <w:pStyle w:val="tabletxt"/>
              <w:rPr>
                <w:szCs w:val="18"/>
              </w:rPr>
            </w:pPr>
            <w:r w:rsidRPr="006C60D9">
              <w:rPr>
                <w:szCs w:val="18"/>
              </w:rPr>
              <w:t>3</w:t>
            </w:r>
          </w:p>
        </w:tc>
      </w:tr>
      <w:tr w:rsidR="003F2C90" w:rsidRPr="006C60D9" w14:paraId="7EF31D3C" w14:textId="77777777" w:rsidTr="00BC2D60">
        <w:tc>
          <w:tcPr>
            <w:tcW w:w="5619" w:type="dxa"/>
            <w:vMerge/>
            <w:vAlign w:val="center"/>
          </w:tcPr>
          <w:p w14:paraId="0619C169" w14:textId="7CB3696B" w:rsidR="003F2C90" w:rsidRPr="006C60D9" w:rsidRDefault="003F2C90" w:rsidP="006C60D9">
            <w:pPr>
              <w:pStyle w:val="tabletxt"/>
              <w:rPr>
                <w:szCs w:val="18"/>
              </w:rPr>
            </w:pPr>
          </w:p>
        </w:tc>
        <w:tc>
          <w:tcPr>
            <w:tcW w:w="1646" w:type="dxa"/>
            <w:vAlign w:val="center"/>
          </w:tcPr>
          <w:p w14:paraId="251D850E" w14:textId="30576155" w:rsidR="003F2C90" w:rsidRPr="006C60D9" w:rsidRDefault="003F2C90" w:rsidP="006C60D9">
            <w:pPr>
              <w:pStyle w:val="tabletxt"/>
              <w:rPr>
                <w:szCs w:val="18"/>
              </w:rPr>
            </w:pPr>
            <w:r w:rsidRPr="006C60D9">
              <w:rPr>
                <w:szCs w:val="18"/>
              </w:rPr>
              <w:t>Krašić (ZŽ)</w:t>
            </w:r>
          </w:p>
        </w:tc>
        <w:tc>
          <w:tcPr>
            <w:tcW w:w="1079" w:type="dxa"/>
          </w:tcPr>
          <w:p w14:paraId="78862E7E" w14:textId="1A0A57E5" w:rsidR="003F2C90" w:rsidRPr="006C60D9" w:rsidRDefault="003F2C90" w:rsidP="006C60D9">
            <w:pPr>
              <w:pStyle w:val="tabletxt"/>
              <w:rPr>
                <w:szCs w:val="18"/>
              </w:rPr>
            </w:pPr>
            <w:r w:rsidRPr="006C60D9">
              <w:rPr>
                <w:szCs w:val="18"/>
              </w:rPr>
              <w:t>97.263</w:t>
            </w:r>
          </w:p>
        </w:tc>
        <w:tc>
          <w:tcPr>
            <w:tcW w:w="695" w:type="dxa"/>
          </w:tcPr>
          <w:p w14:paraId="4EB291C2" w14:textId="37E74A72" w:rsidR="003F2C90" w:rsidRPr="006C60D9" w:rsidRDefault="003F2C90" w:rsidP="006C60D9">
            <w:pPr>
              <w:pStyle w:val="tabletxt"/>
              <w:rPr>
                <w:szCs w:val="18"/>
              </w:rPr>
            </w:pPr>
            <w:r w:rsidRPr="006C60D9">
              <w:rPr>
                <w:szCs w:val="18"/>
              </w:rPr>
              <w:t>349</w:t>
            </w:r>
          </w:p>
        </w:tc>
        <w:tc>
          <w:tcPr>
            <w:tcW w:w="892" w:type="dxa"/>
          </w:tcPr>
          <w:p w14:paraId="338E8E3A" w14:textId="3F1FD60D" w:rsidR="003F2C90" w:rsidRPr="006C60D9" w:rsidRDefault="003F2C90" w:rsidP="006C60D9">
            <w:pPr>
              <w:pStyle w:val="tabletxt"/>
              <w:rPr>
                <w:szCs w:val="18"/>
              </w:rPr>
            </w:pPr>
            <w:r w:rsidRPr="006C60D9">
              <w:rPr>
                <w:szCs w:val="18"/>
              </w:rPr>
              <w:t>3</w:t>
            </w:r>
          </w:p>
        </w:tc>
      </w:tr>
      <w:tr w:rsidR="003F2C90" w:rsidRPr="006C60D9" w14:paraId="52C15B90" w14:textId="77777777" w:rsidTr="00BC2D60">
        <w:tc>
          <w:tcPr>
            <w:tcW w:w="5619" w:type="dxa"/>
            <w:vMerge/>
            <w:vAlign w:val="center"/>
          </w:tcPr>
          <w:p w14:paraId="5ABCDAF2" w14:textId="09E020D1" w:rsidR="003F2C90" w:rsidRPr="006C60D9" w:rsidRDefault="003F2C90" w:rsidP="006C60D9">
            <w:pPr>
              <w:pStyle w:val="tabletxt"/>
              <w:rPr>
                <w:szCs w:val="18"/>
              </w:rPr>
            </w:pPr>
          </w:p>
        </w:tc>
        <w:tc>
          <w:tcPr>
            <w:tcW w:w="1646" w:type="dxa"/>
            <w:vAlign w:val="center"/>
          </w:tcPr>
          <w:p w14:paraId="1A286F6A" w14:textId="4565E0E2" w:rsidR="003F2C90" w:rsidRPr="006C60D9" w:rsidRDefault="003F2C90" w:rsidP="006C60D9">
            <w:pPr>
              <w:pStyle w:val="tabletxt"/>
              <w:rPr>
                <w:szCs w:val="18"/>
              </w:rPr>
            </w:pPr>
            <w:r w:rsidRPr="006C60D9">
              <w:rPr>
                <w:szCs w:val="18"/>
              </w:rPr>
              <w:t>Netretić (KŽ)</w:t>
            </w:r>
          </w:p>
        </w:tc>
        <w:tc>
          <w:tcPr>
            <w:tcW w:w="1079" w:type="dxa"/>
          </w:tcPr>
          <w:p w14:paraId="1C46EA1C" w14:textId="34BB92F9" w:rsidR="003F2C90" w:rsidRPr="006C60D9" w:rsidRDefault="003F2C90" w:rsidP="006C60D9">
            <w:pPr>
              <w:pStyle w:val="tabletxt"/>
              <w:rPr>
                <w:szCs w:val="18"/>
              </w:rPr>
            </w:pPr>
            <w:r w:rsidRPr="006C60D9">
              <w:rPr>
                <w:szCs w:val="18"/>
              </w:rPr>
              <w:t>96.030</w:t>
            </w:r>
          </w:p>
        </w:tc>
        <w:tc>
          <w:tcPr>
            <w:tcW w:w="695" w:type="dxa"/>
          </w:tcPr>
          <w:p w14:paraId="678FFB47" w14:textId="43637402" w:rsidR="003F2C90" w:rsidRPr="006C60D9" w:rsidRDefault="003F2C90" w:rsidP="006C60D9">
            <w:pPr>
              <w:pStyle w:val="tabletxt"/>
              <w:rPr>
                <w:szCs w:val="18"/>
              </w:rPr>
            </w:pPr>
            <w:r w:rsidRPr="006C60D9">
              <w:rPr>
                <w:szCs w:val="18"/>
              </w:rPr>
              <w:t>382</w:t>
            </w:r>
          </w:p>
        </w:tc>
        <w:tc>
          <w:tcPr>
            <w:tcW w:w="892" w:type="dxa"/>
          </w:tcPr>
          <w:p w14:paraId="19A7BB19" w14:textId="59664EE9" w:rsidR="003F2C90" w:rsidRPr="006C60D9" w:rsidRDefault="003F2C90" w:rsidP="006C60D9">
            <w:pPr>
              <w:pStyle w:val="tabletxt"/>
              <w:rPr>
                <w:szCs w:val="18"/>
              </w:rPr>
            </w:pPr>
            <w:r w:rsidRPr="006C60D9">
              <w:rPr>
                <w:szCs w:val="18"/>
              </w:rPr>
              <w:t>3</w:t>
            </w:r>
          </w:p>
        </w:tc>
      </w:tr>
      <w:tr w:rsidR="003F2C90" w:rsidRPr="006C60D9" w14:paraId="0A640803" w14:textId="77777777" w:rsidTr="00BC2D60">
        <w:tc>
          <w:tcPr>
            <w:tcW w:w="5619" w:type="dxa"/>
            <w:vMerge/>
            <w:vAlign w:val="center"/>
          </w:tcPr>
          <w:p w14:paraId="0CC8B2DB" w14:textId="7657979D" w:rsidR="003F2C90" w:rsidRPr="006C60D9" w:rsidRDefault="003F2C90" w:rsidP="006C60D9">
            <w:pPr>
              <w:pStyle w:val="tabletxt"/>
              <w:rPr>
                <w:szCs w:val="18"/>
              </w:rPr>
            </w:pPr>
          </w:p>
        </w:tc>
        <w:tc>
          <w:tcPr>
            <w:tcW w:w="1646" w:type="dxa"/>
            <w:vAlign w:val="center"/>
          </w:tcPr>
          <w:p w14:paraId="0A82455E" w14:textId="3FA75397" w:rsidR="003F2C90" w:rsidRPr="006C60D9" w:rsidRDefault="003F2C90" w:rsidP="006C60D9">
            <w:pPr>
              <w:pStyle w:val="tabletxt"/>
              <w:rPr>
                <w:szCs w:val="18"/>
              </w:rPr>
            </w:pPr>
            <w:r w:rsidRPr="006C60D9">
              <w:rPr>
                <w:szCs w:val="18"/>
              </w:rPr>
              <w:t>Generalski Stol (KŽ)</w:t>
            </w:r>
          </w:p>
        </w:tc>
        <w:tc>
          <w:tcPr>
            <w:tcW w:w="1079" w:type="dxa"/>
          </w:tcPr>
          <w:p w14:paraId="42ABD767" w14:textId="2811F06B" w:rsidR="003F2C90" w:rsidRPr="006C60D9" w:rsidRDefault="003F2C90" w:rsidP="006C60D9">
            <w:pPr>
              <w:pStyle w:val="tabletxt"/>
              <w:rPr>
                <w:szCs w:val="18"/>
              </w:rPr>
            </w:pPr>
            <w:r w:rsidRPr="006C60D9">
              <w:rPr>
                <w:szCs w:val="18"/>
              </w:rPr>
              <w:t>95.228</w:t>
            </w:r>
          </w:p>
        </w:tc>
        <w:tc>
          <w:tcPr>
            <w:tcW w:w="695" w:type="dxa"/>
          </w:tcPr>
          <w:p w14:paraId="5573635B" w14:textId="44EE26D9" w:rsidR="003F2C90" w:rsidRPr="006C60D9" w:rsidRDefault="003F2C90" w:rsidP="006C60D9">
            <w:pPr>
              <w:pStyle w:val="tabletxt"/>
              <w:rPr>
                <w:szCs w:val="18"/>
              </w:rPr>
            </w:pPr>
            <w:r w:rsidRPr="006C60D9">
              <w:rPr>
                <w:szCs w:val="18"/>
              </w:rPr>
              <w:t>412</w:t>
            </w:r>
          </w:p>
        </w:tc>
        <w:tc>
          <w:tcPr>
            <w:tcW w:w="892" w:type="dxa"/>
          </w:tcPr>
          <w:p w14:paraId="46B78B33" w14:textId="7F552360" w:rsidR="003F2C90" w:rsidRPr="006C60D9" w:rsidRDefault="003F2C90" w:rsidP="006C60D9">
            <w:pPr>
              <w:pStyle w:val="tabletxt"/>
              <w:rPr>
                <w:szCs w:val="18"/>
              </w:rPr>
            </w:pPr>
            <w:r w:rsidRPr="006C60D9">
              <w:rPr>
                <w:szCs w:val="18"/>
              </w:rPr>
              <w:t>2</w:t>
            </w:r>
          </w:p>
        </w:tc>
      </w:tr>
      <w:tr w:rsidR="003F2C90" w:rsidRPr="006C60D9" w14:paraId="3C6F90E1" w14:textId="77777777" w:rsidTr="00BC2D60">
        <w:tc>
          <w:tcPr>
            <w:tcW w:w="5619" w:type="dxa"/>
            <w:vMerge/>
            <w:vAlign w:val="center"/>
          </w:tcPr>
          <w:p w14:paraId="3CCBBC5C" w14:textId="2DB747E8" w:rsidR="003F2C90" w:rsidRPr="006C60D9" w:rsidRDefault="003F2C90" w:rsidP="006C60D9">
            <w:pPr>
              <w:pStyle w:val="tabletxt"/>
              <w:rPr>
                <w:szCs w:val="18"/>
              </w:rPr>
            </w:pPr>
          </w:p>
        </w:tc>
        <w:tc>
          <w:tcPr>
            <w:tcW w:w="1646" w:type="dxa"/>
            <w:vAlign w:val="center"/>
          </w:tcPr>
          <w:p w14:paraId="6F05E332" w14:textId="2BE7AEAA" w:rsidR="003F2C90" w:rsidRPr="006C60D9" w:rsidRDefault="003F2C90" w:rsidP="006C60D9">
            <w:pPr>
              <w:pStyle w:val="tabletxt"/>
              <w:rPr>
                <w:szCs w:val="18"/>
              </w:rPr>
            </w:pPr>
            <w:r w:rsidRPr="006C60D9">
              <w:rPr>
                <w:szCs w:val="18"/>
              </w:rPr>
              <w:t>Ribnik (KŽ)</w:t>
            </w:r>
          </w:p>
        </w:tc>
        <w:tc>
          <w:tcPr>
            <w:tcW w:w="1079" w:type="dxa"/>
          </w:tcPr>
          <w:p w14:paraId="4FE9E3D5" w14:textId="77B35E19" w:rsidR="003F2C90" w:rsidRPr="006C60D9" w:rsidRDefault="003F2C90" w:rsidP="006C60D9">
            <w:pPr>
              <w:pStyle w:val="tabletxt"/>
              <w:rPr>
                <w:szCs w:val="18"/>
              </w:rPr>
            </w:pPr>
            <w:r w:rsidRPr="006C60D9">
              <w:rPr>
                <w:szCs w:val="18"/>
              </w:rPr>
              <w:t>94.462</w:t>
            </w:r>
          </w:p>
        </w:tc>
        <w:tc>
          <w:tcPr>
            <w:tcW w:w="695" w:type="dxa"/>
          </w:tcPr>
          <w:p w14:paraId="5AD64728" w14:textId="003B2432" w:rsidR="003F2C90" w:rsidRPr="006C60D9" w:rsidRDefault="003F2C90" w:rsidP="006C60D9">
            <w:pPr>
              <w:pStyle w:val="tabletxt"/>
              <w:rPr>
                <w:szCs w:val="18"/>
              </w:rPr>
            </w:pPr>
            <w:r w:rsidRPr="006C60D9">
              <w:rPr>
                <w:szCs w:val="18"/>
              </w:rPr>
              <w:t>433</w:t>
            </w:r>
          </w:p>
        </w:tc>
        <w:tc>
          <w:tcPr>
            <w:tcW w:w="892" w:type="dxa"/>
          </w:tcPr>
          <w:p w14:paraId="6974AF22" w14:textId="77E851A0" w:rsidR="003F2C90" w:rsidRPr="006C60D9" w:rsidRDefault="003F2C90" w:rsidP="006C60D9">
            <w:pPr>
              <w:pStyle w:val="tabletxt"/>
              <w:rPr>
                <w:szCs w:val="18"/>
              </w:rPr>
            </w:pPr>
            <w:r w:rsidRPr="006C60D9">
              <w:rPr>
                <w:szCs w:val="18"/>
              </w:rPr>
              <w:t>2</w:t>
            </w:r>
          </w:p>
        </w:tc>
      </w:tr>
      <w:tr w:rsidR="003F2C90" w:rsidRPr="006C60D9" w14:paraId="700F1587" w14:textId="77777777" w:rsidTr="00BC2D60">
        <w:tc>
          <w:tcPr>
            <w:tcW w:w="5619" w:type="dxa"/>
            <w:vMerge/>
            <w:vAlign w:val="center"/>
          </w:tcPr>
          <w:p w14:paraId="435F818E" w14:textId="6B4E4BE5" w:rsidR="003F2C90" w:rsidRPr="006C60D9" w:rsidRDefault="003F2C90" w:rsidP="006C60D9">
            <w:pPr>
              <w:pStyle w:val="tabletxt"/>
              <w:rPr>
                <w:szCs w:val="18"/>
              </w:rPr>
            </w:pPr>
          </w:p>
        </w:tc>
        <w:tc>
          <w:tcPr>
            <w:tcW w:w="1646" w:type="dxa"/>
            <w:vAlign w:val="center"/>
          </w:tcPr>
          <w:p w14:paraId="41F9FECD" w14:textId="7BA627F2" w:rsidR="003F2C90" w:rsidRPr="006C60D9" w:rsidRDefault="003F2C90" w:rsidP="006C60D9">
            <w:pPr>
              <w:pStyle w:val="tabletxt"/>
              <w:rPr>
                <w:szCs w:val="18"/>
              </w:rPr>
            </w:pPr>
            <w:r w:rsidRPr="006C60D9">
              <w:rPr>
                <w:szCs w:val="18"/>
              </w:rPr>
              <w:t>Vojnić (KŽ)</w:t>
            </w:r>
          </w:p>
        </w:tc>
        <w:tc>
          <w:tcPr>
            <w:tcW w:w="1079" w:type="dxa"/>
          </w:tcPr>
          <w:p w14:paraId="2EB0CCA0" w14:textId="7D64858E" w:rsidR="003F2C90" w:rsidRPr="006C60D9" w:rsidRDefault="003F2C90" w:rsidP="006C60D9">
            <w:pPr>
              <w:pStyle w:val="tabletxt"/>
              <w:rPr>
                <w:szCs w:val="18"/>
              </w:rPr>
            </w:pPr>
            <w:r w:rsidRPr="006C60D9">
              <w:rPr>
                <w:szCs w:val="18"/>
              </w:rPr>
              <w:t>89.870</w:t>
            </w:r>
          </w:p>
        </w:tc>
        <w:tc>
          <w:tcPr>
            <w:tcW w:w="695" w:type="dxa"/>
          </w:tcPr>
          <w:p w14:paraId="4FA6DAE9" w14:textId="1464939F" w:rsidR="003F2C90" w:rsidRPr="006C60D9" w:rsidRDefault="003F2C90" w:rsidP="006C60D9">
            <w:pPr>
              <w:pStyle w:val="tabletxt"/>
              <w:rPr>
                <w:szCs w:val="18"/>
              </w:rPr>
            </w:pPr>
            <w:r w:rsidRPr="006C60D9">
              <w:rPr>
                <w:szCs w:val="18"/>
              </w:rPr>
              <w:t>520</w:t>
            </w:r>
          </w:p>
        </w:tc>
        <w:tc>
          <w:tcPr>
            <w:tcW w:w="892" w:type="dxa"/>
          </w:tcPr>
          <w:p w14:paraId="4F28ECBE" w14:textId="717FF820" w:rsidR="003F2C90" w:rsidRPr="006C60D9" w:rsidRDefault="003F2C90" w:rsidP="006C60D9">
            <w:pPr>
              <w:pStyle w:val="tabletxt"/>
              <w:rPr>
                <w:szCs w:val="18"/>
              </w:rPr>
            </w:pPr>
            <w:r w:rsidRPr="006C60D9">
              <w:rPr>
                <w:szCs w:val="18"/>
              </w:rPr>
              <w:t>1</w:t>
            </w:r>
          </w:p>
        </w:tc>
      </w:tr>
      <w:tr w:rsidR="003F2C90" w:rsidRPr="006C60D9" w14:paraId="36004227" w14:textId="77777777" w:rsidTr="00BC2D60">
        <w:tc>
          <w:tcPr>
            <w:tcW w:w="5619" w:type="dxa"/>
            <w:vMerge/>
            <w:vAlign w:val="center"/>
          </w:tcPr>
          <w:p w14:paraId="7F07B0F1" w14:textId="35C28E5F" w:rsidR="003F2C90" w:rsidRPr="006C60D9" w:rsidRDefault="003F2C90" w:rsidP="006C60D9">
            <w:pPr>
              <w:pStyle w:val="tabletxt"/>
              <w:rPr>
                <w:szCs w:val="18"/>
              </w:rPr>
            </w:pPr>
          </w:p>
        </w:tc>
        <w:tc>
          <w:tcPr>
            <w:tcW w:w="1646" w:type="dxa"/>
            <w:vAlign w:val="center"/>
          </w:tcPr>
          <w:p w14:paraId="651BF998" w14:textId="39AE1EB3" w:rsidR="003F2C90" w:rsidRPr="006C60D9" w:rsidRDefault="003F2C90" w:rsidP="006C60D9">
            <w:pPr>
              <w:pStyle w:val="tabletxt"/>
              <w:rPr>
                <w:szCs w:val="18"/>
              </w:rPr>
            </w:pPr>
            <w:r w:rsidRPr="006C60D9">
              <w:rPr>
                <w:szCs w:val="18"/>
              </w:rPr>
              <w:t>Žumberak (ZŽ)</w:t>
            </w:r>
          </w:p>
        </w:tc>
        <w:tc>
          <w:tcPr>
            <w:tcW w:w="1079" w:type="dxa"/>
          </w:tcPr>
          <w:p w14:paraId="7D4339B8" w14:textId="6B72A54C" w:rsidR="003F2C90" w:rsidRPr="006C60D9" w:rsidRDefault="003F2C90" w:rsidP="006C60D9">
            <w:pPr>
              <w:pStyle w:val="tabletxt"/>
              <w:rPr>
                <w:szCs w:val="18"/>
              </w:rPr>
            </w:pPr>
            <w:r w:rsidRPr="006C60D9">
              <w:rPr>
                <w:szCs w:val="18"/>
              </w:rPr>
              <w:t>87.097</w:t>
            </w:r>
          </w:p>
        </w:tc>
        <w:tc>
          <w:tcPr>
            <w:tcW w:w="695" w:type="dxa"/>
          </w:tcPr>
          <w:p w14:paraId="170A5191" w14:textId="283C39FD" w:rsidR="003F2C90" w:rsidRPr="006C60D9" w:rsidRDefault="003F2C90" w:rsidP="006C60D9">
            <w:pPr>
              <w:pStyle w:val="tabletxt"/>
              <w:rPr>
                <w:szCs w:val="18"/>
              </w:rPr>
            </w:pPr>
            <w:r w:rsidRPr="006C60D9">
              <w:rPr>
                <w:szCs w:val="18"/>
              </w:rPr>
              <w:t>543</w:t>
            </w:r>
          </w:p>
        </w:tc>
        <w:tc>
          <w:tcPr>
            <w:tcW w:w="892" w:type="dxa"/>
          </w:tcPr>
          <w:p w14:paraId="01E7D5C3" w14:textId="29896F9C" w:rsidR="003F2C90" w:rsidRPr="006C60D9" w:rsidRDefault="003F2C90" w:rsidP="006C60D9">
            <w:pPr>
              <w:pStyle w:val="tabletxt"/>
              <w:rPr>
                <w:szCs w:val="18"/>
              </w:rPr>
            </w:pPr>
            <w:r w:rsidRPr="006C60D9">
              <w:rPr>
                <w:szCs w:val="18"/>
              </w:rPr>
              <w:t>1</w:t>
            </w:r>
          </w:p>
        </w:tc>
      </w:tr>
      <w:tr w:rsidR="003F2C90" w:rsidRPr="006C60D9" w14:paraId="4A6094BC" w14:textId="77777777" w:rsidTr="00BC2D60">
        <w:tc>
          <w:tcPr>
            <w:tcW w:w="5619" w:type="dxa"/>
            <w:vMerge/>
            <w:vAlign w:val="center"/>
          </w:tcPr>
          <w:p w14:paraId="378FD46D" w14:textId="03DCA7DC" w:rsidR="003F2C90" w:rsidRPr="006C60D9" w:rsidRDefault="003F2C90" w:rsidP="006C60D9">
            <w:pPr>
              <w:pStyle w:val="tabletxt"/>
              <w:rPr>
                <w:szCs w:val="18"/>
              </w:rPr>
            </w:pPr>
          </w:p>
        </w:tc>
        <w:tc>
          <w:tcPr>
            <w:tcW w:w="1646" w:type="dxa"/>
            <w:vAlign w:val="center"/>
          </w:tcPr>
          <w:p w14:paraId="23D51ACA" w14:textId="67DC7CAF" w:rsidR="003F2C90" w:rsidRPr="006C60D9" w:rsidRDefault="003F2C90" w:rsidP="006C60D9">
            <w:pPr>
              <w:pStyle w:val="tabletxt"/>
              <w:rPr>
                <w:szCs w:val="18"/>
              </w:rPr>
            </w:pPr>
            <w:r w:rsidRPr="006C60D9">
              <w:rPr>
                <w:szCs w:val="18"/>
              </w:rPr>
              <w:t>Krnjak (KŽ)</w:t>
            </w:r>
          </w:p>
        </w:tc>
        <w:tc>
          <w:tcPr>
            <w:tcW w:w="1079" w:type="dxa"/>
          </w:tcPr>
          <w:p w14:paraId="41716BE8" w14:textId="00145E9E" w:rsidR="003F2C90" w:rsidRPr="006C60D9" w:rsidRDefault="003F2C90" w:rsidP="006C60D9">
            <w:pPr>
              <w:pStyle w:val="tabletxt"/>
              <w:rPr>
                <w:szCs w:val="18"/>
              </w:rPr>
            </w:pPr>
            <w:r w:rsidRPr="006C60D9">
              <w:rPr>
                <w:szCs w:val="18"/>
              </w:rPr>
              <w:t>86.956</w:t>
            </w:r>
          </w:p>
        </w:tc>
        <w:tc>
          <w:tcPr>
            <w:tcW w:w="695" w:type="dxa"/>
          </w:tcPr>
          <w:p w14:paraId="374589C9" w14:textId="287E806F" w:rsidR="003F2C90" w:rsidRPr="006C60D9" w:rsidRDefault="003F2C90" w:rsidP="006C60D9">
            <w:pPr>
              <w:pStyle w:val="tabletxt"/>
              <w:rPr>
                <w:szCs w:val="18"/>
              </w:rPr>
            </w:pPr>
            <w:r w:rsidRPr="006C60D9">
              <w:rPr>
                <w:szCs w:val="18"/>
              </w:rPr>
              <w:t>546</w:t>
            </w:r>
          </w:p>
        </w:tc>
        <w:tc>
          <w:tcPr>
            <w:tcW w:w="892" w:type="dxa"/>
          </w:tcPr>
          <w:p w14:paraId="01C3AA15" w14:textId="1811DC2C" w:rsidR="003F2C90" w:rsidRPr="006C60D9" w:rsidRDefault="003F2C90" w:rsidP="006C60D9">
            <w:pPr>
              <w:pStyle w:val="tabletxt"/>
              <w:rPr>
                <w:szCs w:val="18"/>
              </w:rPr>
            </w:pPr>
            <w:r w:rsidRPr="006C60D9">
              <w:rPr>
                <w:szCs w:val="18"/>
              </w:rPr>
              <w:t>1</w:t>
            </w:r>
          </w:p>
        </w:tc>
      </w:tr>
      <w:tr w:rsidR="003F2C90" w:rsidRPr="006C60D9" w14:paraId="3F6A6B09" w14:textId="77777777" w:rsidTr="00BC2D60">
        <w:tc>
          <w:tcPr>
            <w:tcW w:w="5619" w:type="dxa"/>
            <w:vMerge/>
            <w:vAlign w:val="center"/>
          </w:tcPr>
          <w:p w14:paraId="1E99E73D" w14:textId="43205220" w:rsidR="003F2C90" w:rsidRPr="006C60D9" w:rsidRDefault="003F2C90" w:rsidP="006C60D9">
            <w:pPr>
              <w:pStyle w:val="tabletxt"/>
              <w:rPr>
                <w:szCs w:val="18"/>
              </w:rPr>
            </w:pPr>
          </w:p>
        </w:tc>
        <w:tc>
          <w:tcPr>
            <w:tcW w:w="1646" w:type="dxa"/>
            <w:vAlign w:val="center"/>
          </w:tcPr>
          <w:p w14:paraId="1148E4CE" w14:textId="60F81F81" w:rsidR="003F2C90" w:rsidRPr="006C60D9" w:rsidRDefault="003F2C90" w:rsidP="006C60D9">
            <w:pPr>
              <w:pStyle w:val="tabletxt"/>
              <w:rPr>
                <w:szCs w:val="18"/>
              </w:rPr>
            </w:pPr>
            <w:r w:rsidRPr="006C60D9">
              <w:rPr>
                <w:szCs w:val="18"/>
              </w:rPr>
              <w:t>Gvozd (SMŽ)</w:t>
            </w:r>
          </w:p>
        </w:tc>
        <w:tc>
          <w:tcPr>
            <w:tcW w:w="1079" w:type="dxa"/>
          </w:tcPr>
          <w:p w14:paraId="347E7DEA" w14:textId="0FEB79F2" w:rsidR="003F2C90" w:rsidRPr="006C60D9" w:rsidRDefault="003F2C90" w:rsidP="006C60D9">
            <w:pPr>
              <w:pStyle w:val="tabletxt"/>
              <w:rPr>
                <w:szCs w:val="18"/>
              </w:rPr>
            </w:pPr>
            <w:r w:rsidRPr="006C60D9">
              <w:rPr>
                <w:szCs w:val="18"/>
              </w:rPr>
              <w:t>80.584</w:t>
            </w:r>
          </w:p>
        </w:tc>
        <w:tc>
          <w:tcPr>
            <w:tcW w:w="695" w:type="dxa"/>
          </w:tcPr>
          <w:p w14:paraId="73B153FE" w14:textId="57B1EBB4" w:rsidR="003F2C90" w:rsidRPr="006C60D9" w:rsidRDefault="003F2C90" w:rsidP="006C60D9">
            <w:pPr>
              <w:pStyle w:val="tabletxt"/>
              <w:rPr>
                <w:szCs w:val="18"/>
              </w:rPr>
            </w:pPr>
            <w:r w:rsidRPr="006C60D9">
              <w:rPr>
                <w:szCs w:val="18"/>
              </w:rPr>
              <w:t>553</w:t>
            </w:r>
          </w:p>
        </w:tc>
        <w:tc>
          <w:tcPr>
            <w:tcW w:w="892" w:type="dxa"/>
          </w:tcPr>
          <w:p w14:paraId="74F03D3E" w14:textId="5FAC4F30" w:rsidR="003F2C90" w:rsidRPr="006C60D9" w:rsidRDefault="003F2C90" w:rsidP="006C60D9">
            <w:pPr>
              <w:pStyle w:val="tabletxt"/>
              <w:rPr>
                <w:szCs w:val="18"/>
              </w:rPr>
            </w:pPr>
            <w:r w:rsidRPr="006C60D9">
              <w:rPr>
                <w:szCs w:val="18"/>
              </w:rPr>
              <w:t>1</w:t>
            </w:r>
          </w:p>
        </w:tc>
      </w:tr>
    </w:tbl>
    <w:p w14:paraId="49F201A6" w14:textId="60F64DD7" w:rsidR="001A5F94" w:rsidRDefault="006C60D9">
      <w:pPr>
        <w:spacing w:before="0" w:after="0"/>
        <w:jc w:val="left"/>
      </w:pPr>
      <w:r>
        <w:tab/>
      </w:r>
      <w:r>
        <w:tab/>
      </w:r>
    </w:p>
    <w:p w14:paraId="64362454" w14:textId="58F8785B" w:rsidR="001A5F94" w:rsidRDefault="00655102" w:rsidP="001A5F94">
      <w:r>
        <w:t>Drugi pokazatelj</w:t>
      </w:r>
      <w:r w:rsidR="0021070A">
        <w:t xml:space="preserve"> razvijenosti, </w:t>
      </w:r>
      <w:r w:rsidR="0021070A" w:rsidRPr="0021070A">
        <w:rPr>
          <w:b/>
        </w:rPr>
        <w:t>bruto domaći proizvod</w:t>
      </w:r>
      <w:r>
        <w:rPr>
          <w:b/>
        </w:rPr>
        <w:t xml:space="preserve"> na županijskoj razini, </w:t>
      </w:r>
      <w:r>
        <w:t>oslikava šire razvojn</w:t>
      </w:r>
      <w:r w:rsidR="005469B5">
        <w:t xml:space="preserve">o okruženje VUPKA slično kao i </w:t>
      </w:r>
      <w:r>
        <w:t>indeks razvijenosti, pa je tako e</w:t>
      </w:r>
      <w:r w:rsidR="0021070A">
        <w:t>videntna dominacija većih makroregionalnih centara na sjeveru (Zagreb), odnosno jugozapadu (Rijeka), koji se ujedno i puno brže oporavljaju u odnosu na predkriznu 2008. godinu</w:t>
      </w:r>
      <w:r w:rsidR="00F0468B">
        <w:t>. Z</w:t>
      </w:r>
      <w:r w:rsidR="007A4D1F">
        <w:t xml:space="preserve">natno veći pad </w:t>
      </w:r>
      <w:r w:rsidR="005469B5">
        <w:t>udjela Karlovačke (i Sisačko-</w:t>
      </w:r>
      <w:r w:rsidR="00F0468B">
        <w:t xml:space="preserve">moslavačke) županije u ukupnom BDP-u RH </w:t>
      </w:r>
      <w:r w:rsidR="007A4D1F">
        <w:t xml:space="preserve">u odnosu na </w:t>
      </w:r>
      <w:r w:rsidR="00F0468B">
        <w:t xml:space="preserve">porast udjela </w:t>
      </w:r>
      <w:r w:rsidR="007A4D1F">
        <w:t xml:space="preserve">sjeverne i južne susjedne županije </w:t>
      </w:r>
      <w:r w:rsidR="00F0468B">
        <w:t>vjerojatno može</w:t>
      </w:r>
      <w:r w:rsidR="007A4D1F">
        <w:t xml:space="preserve"> </w:t>
      </w:r>
      <w:r w:rsidR="005469B5">
        <w:t xml:space="preserve">se </w:t>
      </w:r>
      <w:r w:rsidR="007A4D1F">
        <w:t>pripisati</w:t>
      </w:r>
      <w:r w:rsidR="0021070A">
        <w:t xml:space="preserve"> </w:t>
      </w:r>
      <w:r w:rsidR="007A4D1F">
        <w:t xml:space="preserve">depopulacijskom trendu, </w:t>
      </w:r>
      <w:r w:rsidR="00F0468B">
        <w:t xml:space="preserve">s obzirom </w:t>
      </w:r>
      <w:r w:rsidR="005469B5">
        <w:t xml:space="preserve">na to </w:t>
      </w:r>
      <w:r w:rsidR="00F0468B">
        <w:t xml:space="preserve">da drugi pokazatelji prilagođeni po glavi stanovnika pokazuju stagnaciju u razdoblju između dva mjerenja (2008. i 2015) </w:t>
      </w:r>
      <w:r w:rsidR="0021070A">
        <w:t>(vidi tablicu niže).</w:t>
      </w:r>
      <w:r w:rsidR="007A4D1F">
        <w:t xml:space="preserve"> </w:t>
      </w:r>
    </w:p>
    <w:p w14:paraId="682EEAC7" w14:textId="15097DCE" w:rsidR="0021070A" w:rsidRDefault="00D226B7" w:rsidP="00D226B7">
      <w:pPr>
        <w:pStyle w:val="Caption"/>
      </w:pPr>
      <w:bookmarkStart w:id="6" w:name="_Toc437387476"/>
      <w:r>
        <w:t xml:space="preserve">Tablica </w:t>
      </w:r>
      <w:r>
        <w:fldChar w:fldCharType="begin"/>
      </w:r>
      <w:r>
        <w:instrText xml:space="preserve"> SEQ Tablica \* ARABIC </w:instrText>
      </w:r>
      <w:r>
        <w:fldChar w:fldCharType="separate"/>
      </w:r>
      <w:r w:rsidR="001358A9">
        <w:rPr>
          <w:noProof/>
        </w:rPr>
        <w:t>3</w:t>
      </w:r>
      <w:r>
        <w:fldChar w:fldCharType="end"/>
      </w:r>
      <w:r w:rsidR="0021070A">
        <w:t xml:space="preserve">. Odabrani pokazatelji BDP-a </w:t>
      </w:r>
      <w:r w:rsidR="00767B37">
        <w:t>za Karlovačku i njoj susjedne županije</w:t>
      </w:r>
      <w:r w:rsidR="007A4D1F">
        <w:t xml:space="preserve">, 2008. i 2015. </w:t>
      </w:r>
      <w:r w:rsidR="0021070A">
        <w:rPr>
          <w:rStyle w:val="FootnoteReference"/>
        </w:rPr>
        <w:footnoteReference w:id="9"/>
      </w:r>
      <w:bookmarkEnd w:id="6"/>
      <w:r w:rsidR="0021070A">
        <w:t xml:space="preserve"> </w:t>
      </w:r>
    </w:p>
    <w:tbl>
      <w:tblPr>
        <w:tblW w:w="9087" w:type="dxa"/>
        <w:tblInd w:w="9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575"/>
        <w:gridCol w:w="1275"/>
        <w:gridCol w:w="993"/>
        <w:gridCol w:w="992"/>
        <w:gridCol w:w="992"/>
        <w:gridCol w:w="779"/>
        <w:gridCol w:w="780"/>
        <w:gridCol w:w="1701"/>
      </w:tblGrid>
      <w:tr w:rsidR="00483E19" w:rsidRPr="00985D6B" w14:paraId="154293D4" w14:textId="77777777" w:rsidTr="00483E19">
        <w:trPr>
          <w:trHeight w:val="300"/>
        </w:trPr>
        <w:tc>
          <w:tcPr>
            <w:tcW w:w="1575" w:type="dxa"/>
            <w:vMerge w:val="restart"/>
            <w:tcBorders>
              <w:right w:val="single" w:sz="4" w:space="0" w:color="auto"/>
            </w:tcBorders>
            <w:shd w:val="clear" w:color="auto" w:fill="548DD4" w:themeFill="text2" w:themeFillTint="99"/>
            <w:noWrap/>
            <w:vAlign w:val="bottom"/>
            <w:hideMark/>
          </w:tcPr>
          <w:p w14:paraId="7C24F5FF" w14:textId="77777777" w:rsidR="00483E19" w:rsidRPr="00985D6B" w:rsidRDefault="00483E19" w:rsidP="00985D6B">
            <w:pPr>
              <w:pStyle w:val="tabletxt"/>
              <w:rPr>
                <w:szCs w:val="18"/>
              </w:rPr>
            </w:pPr>
          </w:p>
        </w:tc>
        <w:tc>
          <w:tcPr>
            <w:tcW w:w="2268" w:type="dxa"/>
            <w:gridSpan w:val="2"/>
            <w:tcBorders>
              <w:left w:val="single" w:sz="4" w:space="0" w:color="auto"/>
            </w:tcBorders>
            <w:shd w:val="clear" w:color="auto" w:fill="548DD4" w:themeFill="text2" w:themeFillTint="99"/>
            <w:noWrap/>
            <w:vAlign w:val="bottom"/>
            <w:hideMark/>
          </w:tcPr>
          <w:p w14:paraId="30FE366B" w14:textId="64891D96" w:rsidR="00483E19" w:rsidRPr="00985D6B" w:rsidRDefault="00483E19" w:rsidP="00483E19">
            <w:pPr>
              <w:pStyle w:val="tabletxt"/>
              <w:jc w:val="center"/>
              <w:rPr>
                <w:b/>
                <w:szCs w:val="18"/>
              </w:rPr>
            </w:pPr>
            <w:r>
              <w:rPr>
                <w:b/>
                <w:szCs w:val="18"/>
              </w:rPr>
              <w:t>BDP u tekućim cijenama</w:t>
            </w:r>
            <w:r w:rsidR="004867B2">
              <w:rPr>
                <w:b/>
                <w:szCs w:val="18"/>
              </w:rPr>
              <w:t xml:space="preserve"> </w:t>
            </w:r>
            <w:r>
              <w:rPr>
                <w:b/>
                <w:szCs w:val="18"/>
              </w:rPr>
              <w:t>(2015</w:t>
            </w:r>
            <w:r w:rsidRPr="00985D6B">
              <w:rPr>
                <w:b/>
                <w:szCs w:val="18"/>
              </w:rPr>
              <w:t>)</w:t>
            </w:r>
          </w:p>
        </w:tc>
        <w:tc>
          <w:tcPr>
            <w:tcW w:w="1984" w:type="dxa"/>
            <w:gridSpan w:val="2"/>
            <w:shd w:val="clear" w:color="auto" w:fill="548DD4" w:themeFill="text2" w:themeFillTint="99"/>
            <w:noWrap/>
            <w:vAlign w:val="bottom"/>
            <w:hideMark/>
          </w:tcPr>
          <w:p w14:paraId="237A673D" w14:textId="09975C9A" w:rsidR="00483E19" w:rsidRPr="00985D6B" w:rsidRDefault="00483E19" w:rsidP="00483E19">
            <w:pPr>
              <w:pStyle w:val="tabletxt"/>
              <w:jc w:val="center"/>
              <w:rPr>
                <w:b/>
                <w:szCs w:val="18"/>
              </w:rPr>
            </w:pPr>
            <w:r w:rsidRPr="00985D6B">
              <w:rPr>
                <w:b/>
                <w:szCs w:val="18"/>
              </w:rPr>
              <w:t>BDP per capita (</w:t>
            </w:r>
            <w:r>
              <w:rPr>
                <w:b/>
                <w:szCs w:val="18"/>
              </w:rPr>
              <w:t>2015</w:t>
            </w:r>
            <w:r w:rsidRPr="00985D6B">
              <w:rPr>
                <w:b/>
                <w:szCs w:val="18"/>
              </w:rPr>
              <w:t>)</w:t>
            </w:r>
          </w:p>
        </w:tc>
        <w:tc>
          <w:tcPr>
            <w:tcW w:w="1559" w:type="dxa"/>
            <w:gridSpan w:val="2"/>
            <w:shd w:val="clear" w:color="auto" w:fill="548DD4" w:themeFill="text2" w:themeFillTint="99"/>
            <w:noWrap/>
            <w:vAlign w:val="bottom"/>
            <w:hideMark/>
          </w:tcPr>
          <w:p w14:paraId="29D743C3" w14:textId="39A916E3" w:rsidR="00483E19" w:rsidRPr="00985D6B" w:rsidRDefault="00483E19" w:rsidP="00985D6B">
            <w:pPr>
              <w:pStyle w:val="tabletxt"/>
              <w:jc w:val="center"/>
              <w:rPr>
                <w:b/>
                <w:szCs w:val="18"/>
              </w:rPr>
            </w:pPr>
            <w:r w:rsidRPr="00985D6B">
              <w:rPr>
                <w:b/>
                <w:szCs w:val="18"/>
              </w:rPr>
              <w:t>Udio u BDP RH</w:t>
            </w:r>
          </w:p>
        </w:tc>
        <w:tc>
          <w:tcPr>
            <w:tcW w:w="1701" w:type="dxa"/>
            <w:vMerge w:val="restart"/>
            <w:shd w:val="clear" w:color="auto" w:fill="548DD4" w:themeFill="text2" w:themeFillTint="99"/>
            <w:noWrap/>
            <w:vAlign w:val="bottom"/>
            <w:hideMark/>
          </w:tcPr>
          <w:p w14:paraId="78C76A36" w14:textId="77777777" w:rsidR="00483E19" w:rsidRPr="00985D6B" w:rsidRDefault="00483E19" w:rsidP="00985D6B">
            <w:pPr>
              <w:pStyle w:val="tabletxt"/>
              <w:jc w:val="center"/>
              <w:rPr>
                <w:b/>
                <w:szCs w:val="18"/>
              </w:rPr>
            </w:pPr>
            <w:r w:rsidRPr="00985D6B">
              <w:rPr>
                <w:b/>
                <w:szCs w:val="18"/>
              </w:rPr>
              <w:t>BDP per capita PPS (EU28=100)</w:t>
            </w:r>
          </w:p>
        </w:tc>
      </w:tr>
      <w:tr w:rsidR="00483E19" w:rsidRPr="00985D6B" w14:paraId="11BD1DD9" w14:textId="77777777" w:rsidTr="00483E19">
        <w:trPr>
          <w:trHeight w:val="300"/>
        </w:trPr>
        <w:tc>
          <w:tcPr>
            <w:tcW w:w="1575" w:type="dxa"/>
            <w:vMerge/>
            <w:tcBorders>
              <w:bottom w:val="single" w:sz="4" w:space="0" w:color="auto"/>
              <w:right w:val="single" w:sz="4" w:space="0" w:color="auto"/>
            </w:tcBorders>
            <w:shd w:val="clear" w:color="auto" w:fill="548DD4" w:themeFill="text2" w:themeFillTint="99"/>
            <w:noWrap/>
            <w:vAlign w:val="bottom"/>
            <w:hideMark/>
          </w:tcPr>
          <w:p w14:paraId="362DE962" w14:textId="77777777" w:rsidR="00483E19" w:rsidRPr="00985D6B" w:rsidRDefault="00483E19" w:rsidP="00985D6B">
            <w:pPr>
              <w:pStyle w:val="tabletxt"/>
              <w:rPr>
                <w:szCs w:val="18"/>
              </w:rPr>
            </w:pPr>
          </w:p>
        </w:tc>
        <w:tc>
          <w:tcPr>
            <w:tcW w:w="1275" w:type="dxa"/>
            <w:tcBorders>
              <w:left w:val="single" w:sz="4" w:space="0" w:color="auto"/>
              <w:bottom w:val="single" w:sz="4" w:space="0" w:color="auto"/>
            </w:tcBorders>
            <w:shd w:val="clear" w:color="000000" w:fill="C6D9F1" w:themeFill="text2" w:themeFillTint="33"/>
            <w:noWrap/>
            <w:vAlign w:val="bottom"/>
            <w:hideMark/>
          </w:tcPr>
          <w:p w14:paraId="1A5F2560" w14:textId="00A45BAB" w:rsidR="00483E19" w:rsidRPr="00985D6B" w:rsidRDefault="00483E19" w:rsidP="00985D6B">
            <w:pPr>
              <w:pStyle w:val="tabletxt"/>
              <w:jc w:val="center"/>
              <w:rPr>
                <w:b/>
                <w:szCs w:val="18"/>
              </w:rPr>
            </w:pPr>
            <w:r>
              <w:rPr>
                <w:b/>
                <w:szCs w:val="18"/>
              </w:rPr>
              <w:t>Tis.HRK</w:t>
            </w:r>
          </w:p>
        </w:tc>
        <w:tc>
          <w:tcPr>
            <w:tcW w:w="993" w:type="dxa"/>
            <w:tcBorders>
              <w:bottom w:val="single" w:sz="4" w:space="0" w:color="auto"/>
            </w:tcBorders>
            <w:shd w:val="clear" w:color="auto" w:fill="C6D9F1" w:themeFill="text2" w:themeFillTint="33"/>
            <w:noWrap/>
            <w:vAlign w:val="bottom"/>
            <w:hideMark/>
          </w:tcPr>
          <w:p w14:paraId="4F29A65F" w14:textId="77777777" w:rsidR="00483E19" w:rsidRPr="00985D6B" w:rsidRDefault="00483E19" w:rsidP="00985D6B">
            <w:pPr>
              <w:pStyle w:val="tabletxt"/>
              <w:jc w:val="center"/>
              <w:rPr>
                <w:b/>
                <w:szCs w:val="18"/>
              </w:rPr>
            </w:pPr>
            <w:r w:rsidRPr="00985D6B">
              <w:rPr>
                <w:b/>
                <w:szCs w:val="18"/>
              </w:rPr>
              <w:t>promjena 2008-2015 (%)</w:t>
            </w:r>
          </w:p>
        </w:tc>
        <w:tc>
          <w:tcPr>
            <w:tcW w:w="992" w:type="dxa"/>
            <w:tcBorders>
              <w:bottom w:val="single" w:sz="4" w:space="0" w:color="auto"/>
            </w:tcBorders>
            <w:shd w:val="clear" w:color="auto" w:fill="C6D9F1" w:themeFill="text2" w:themeFillTint="33"/>
            <w:noWrap/>
            <w:vAlign w:val="bottom"/>
            <w:hideMark/>
          </w:tcPr>
          <w:p w14:paraId="0BE063D4" w14:textId="662932EB" w:rsidR="00483E19" w:rsidRPr="00985D6B" w:rsidRDefault="00483E19" w:rsidP="00985D6B">
            <w:pPr>
              <w:pStyle w:val="tabletxt"/>
              <w:jc w:val="center"/>
              <w:rPr>
                <w:b/>
                <w:szCs w:val="18"/>
              </w:rPr>
            </w:pPr>
            <w:r>
              <w:rPr>
                <w:b/>
                <w:szCs w:val="18"/>
              </w:rPr>
              <w:t>HRK</w:t>
            </w:r>
          </w:p>
        </w:tc>
        <w:tc>
          <w:tcPr>
            <w:tcW w:w="992" w:type="dxa"/>
            <w:tcBorders>
              <w:bottom w:val="single" w:sz="4" w:space="0" w:color="auto"/>
            </w:tcBorders>
            <w:shd w:val="clear" w:color="auto" w:fill="C6D9F1" w:themeFill="text2" w:themeFillTint="33"/>
            <w:noWrap/>
            <w:vAlign w:val="bottom"/>
            <w:hideMark/>
          </w:tcPr>
          <w:p w14:paraId="3A628346" w14:textId="77777777" w:rsidR="00483E19" w:rsidRPr="00985D6B" w:rsidRDefault="00483E19" w:rsidP="00985D6B">
            <w:pPr>
              <w:pStyle w:val="tabletxt"/>
              <w:jc w:val="center"/>
              <w:rPr>
                <w:b/>
                <w:szCs w:val="18"/>
              </w:rPr>
            </w:pPr>
            <w:r w:rsidRPr="00985D6B">
              <w:rPr>
                <w:b/>
                <w:szCs w:val="18"/>
              </w:rPr>
              <w:t>promjena 2008-2015 (%)</w:t>
            </w:r>
          </w:p>
        </w:tc>
        <w:tc>
          <w:tcPr>
            <w:tcW w:w="779" w:type="dxa"/>
            <w:tcBorders>
              <w:bottom w:val="single" w:sz="4" w:space="0" w:color="auto"/>
            </w:tcBorders>
            <w:shd w:val="clear" w:color="auto" w:fill="C6D9F1" w:themeFill="text2" w:themeFillTint="33"/>
            <w:noWrap/>
            <w:vAlign w:val="bottom"/>
            <w:hideMark/>
          </w:tcPr>
          <w:p w14:paraId="7052E44D" w14:textId="77777777" w:rsidR="00483E19" w:rsidRPr="00985D6B" w:rsidRDefault="00483E19" w:rsidP="00985D6B">
            <w:pPr>
              <w:pStyle w:val="tabletxt"/>
              <w:jc w:val="center"/>
              <w:rPr>
                <w:b/>
                <w:szCs w:val="18"/>
              </w:rPr>
            </w:pPr>
            <w:r w:rsidRPr="00985D6B">
              <w:rPr>
                <w:b/>
                <w:szCs w:val="18"/>
              </w:rPr>
              <w:t>2015</w:t>
            </w:r>
          </w:p>
        </w:tc>
        <w:tc>
          <w:tcPr>
            <w:tcW w:w="780" w:type="dxa"/>
            <w:tcBorders>
              <w:bottom w:val="single" w:sz="4" w:space="0" w:color="auto"/>
            </w:tcBorders>
            <w:shd w:val="clear" w:color="auto" w:fill="C6D9F1" w:themeFill="text2" w:themeFillTint="33"/>
            <w:noWrap/>
            <w:vAlign w:val="bottom"/>
            <w:hideMark/>
          </w:tcPr>
          <w:p w14:paraId="370D4FF1" w14:textId="77777777" w:rsidR="00483E19" w:rsidRPr="00985D6B" w:rsidRDefault="00483E19" w:rsidP="00985D6B">
            <w:pPr>
              <w:pStyle w:val="tabletxt"/>
              <w:jc w:val="center"/>
              <w:rPr>
                <w:b/>
                <w:szCs w:val="18"/>
              </w:rPr>
            </w:pPr>
            <w:r w:rsidRPr="00985D6B">
              <w:rPr>
                <w:b/>
                <w:szCs w:val="18"/>
              </w:rPr>
              <w:t>2008</w:t>
            </w:r>
          </w:p>
        </w:tc>
        <w:tc>
          <w:tcPr>
            <w:tcW w:w="1701" w:type="dxa"/>
            <w:vMerge/>
            <w:tcBorders>
              <w:bottom w:val="single" w:sz="4" w:space="0" w:color="auto"/>
            </w:tcBorders>
            <w:shd w:val="clear" w:color="auto" w:fill="548DD4" w:themeFill="text2" w:themeFillTint="99"/>
            <w:noWrap/>
            <w:vAlign w:val="bottom"/>
            <w:hideMark/>
          </w:tcPr>
          <w:p w14:paraId="3A2DFFDA" w14:textId="77777777" w:rsidR="00483E19" w:rsidRPr="00985D6B" w:rsidRDefault="00483E19" w:rsidP="00985D6B">
            <w:pPr>
              <w:pStyle w:val="tabletxt"/>
              <w:jc w:val="center"/>
              <w:rPr>
                <w:b/>
                <w:szCs w:val="18"/>
              </w:rPr>
            </w:pPr>
          </w:p>
        </w:tc>
      </w:tr>
      <w:tr w:rsidR="00985D6B" w:rsidRPr="00483E19" w14:paraId="1149F8B2" w14:textId="77777777" w:rsidTr="00483E19">
        <w:trPr>
          <w:trHeight w:val="300"/>
        </w:trPr>
        <w:tc>
          <w:tcPr>
            <w:tcW w:w="1575" w:type="dxa"/>
            <w:tcBorders>
              <w:top w:val="single" w:sz="4" w:space="0" w:color="auto"/>
              <w:bottom w:val="single" w:sz="4" w:space="0" w:color="auto"/>
              <w:right w:val="single" w:sz="4" w:space="0" w:color="auto"/>
            </w:tcBorders>
            <w:shd w:val="clear" w:color="auto" w:fill="F2F2F2" w:themeFill="background1" w:themeFillShade="F2"/>
            <w:noWrap/>
            <w:vAlign w:val="bottom"/>
            <w:hideMark/>
          </w:tcPr>
          <w:p w14:paraId="1F2EC488" w14:textId="77777777" w:rsidR="00985D6B" w:rsidRPr="00483E19" w:rsidRDefault="00985D6B" w:rsidP="00985D6B">
            <w:pPr>
              <w:pStyle w:val="tabletxt"/>
              <w:rPr>
                <w:b/>
                <w:szCs w:val="18"/>
              </w:rPr>
            </w:pPr>
            <w:r w:rsidRPr="00483E19">
              <w:rPr>
                <w:b/>
                <w:szCs w:val="18"/>
              </w:rPr>
              <w:t>RH</w:t>
            </w:r>
          </w:p>
        </w:tc>
        <w:tc>
          <w:tcPr>
            <w:tcW w:w="1275" w:type="dxa"/>
            <w:tcBorders>
              <w:top w:val="single" w:sz="4" w:space="0" w:color="auto"/>
              <w:left w:val="single" w:sz="4" w:space="0" w:color="auto"/>
              <w:bottom w:val="single" w:sz="4" w:space="0" w:color="auto"/>
            </w:tcBorders>
            <w:shd w:val="clear" w:color="auto" w:fill="auto"/>
            <w:noWrap/>
            <w:hideMark/>
          </w:tcPr>
          <w:p w14:paraId="60365FCF" w14:textId="77777777" w:rsidR="00985D6B" w:rsidRPr="00483E19" w:rsidRDefault="00985D6B" w:rsidP="00985D6B">
            <w:pPr>
              <w:pStyle w:val="tabletxt"/>
              <w:jc w:val="right"/>
              <w:rPr>
                <w:b/>
                <w:szCs w:val="18"/>
              </w:rPr>
            </w:pPr>
            <w:r w:rsidRPr="00483E19">
              <w:rPr>
                <w:b/>
                <w:szCs w:val="18"/>
              </w:rPr>
              <w:t xml:space="preserve"> 338,975,044 </w:t>
            </w:r>
          </w:p>
        </w:tc>
        <w:tc>
          <w:tcPr>
            <w:tcW w:w="993" w:type="dxa"/>
            <w:tcBorders>
              <w:top w:val="single" w:sz="4" w:space="0" w:color="auto"/>
              <w:bottom w:val="single" w:sz="4" w:space="0" w:color="auto"/>
            </w:tcBorders>
            <w:shd w:val="clear" w:color="auto" w:fill="auto"/>
            <w:noWrap/>
            <w:vAlign w:val="bottom"/>
            <w:hideMark/>
          </w:tcPr>
          <w:p w14:paraId="21067034" w14:textId="77777777" w:rsidR="00985D6B" w:rsidRPr="00483E19" w:rsidRDefault="00985D6B" w:rsidP="00985D6B">
            <w:pPr>
              <w:pStyle w:val="tabletxt"/>
              <w:jc w:val="center"/>
              <w:rPr>
                <w:b/>
                <w:szCs w:val="18"/>
              </w:rPr>
            </w:pPr>
            <w:r w:rsidRPr="00483E19">
              <w:rPr>
                <w:b/>
                <w:szCs w:val="18"/>
              </w:rPr>
              <w:t>-2.5%</w:t>
            </w:r>
          </w:p>
        </w:tc>
        <w:tc>
          <w:tcPr>
            <w:tcW w:w="992" w:type="dxa"/>
            <w:tcBorders>
              <w:top w:val="single" w:sz="4" w:space="0" w:color="auto"/>
              <w:bottom w:val="single" w:sz="4" w:space="0" w:color="auto"/>
            </w:tcBorders>
            <w:shd w:val="clear" w:color="auto" w:fill="auto"/>
            <w:noWrap/>
            <w:hideMark/>
          </w:tcPr>
          <w:p w14:paraId="0F0B32DE" w14:textId="77777777" w:rsidR="00985D6B" w:rsidRPr="00483E19" w:rsidRDefault="00985D6B" w:rsidP="00985D6B">
            <w:pPr>
              <w:pStyle w:val="tabletxt"/>
              <w:jc w:val="right"/>
              <w:rPr>
                <w:b/>
                <w:szCs w:val="18"/>
              </w:rPr>
            </w:pPr>
            <w:r w:rsidRPr="00483E19">
              <w:rPr>
                <w:b/>
                <w:szCs w:val="18"/>
              </w:rPr>
              <w:t xml:space="preserve"> 80,555 </w:t>
            </w:r>
          </w:p>
        </w:tc>
        <w:tc>
          <w:tcPr>
            <w:tcW w:w="992" w:type="dxa"/>
            <w:tcBorders>
              <w:top w:val="single" w:sz="4" w:space="0" w:color="auto"/>
              <w:bottom w:val="single" w:sz="4" w:space="0" w:color="auto"/>
            </w:tcBorders>
            <w:shd w:val="clear" w:color="auto" w:fill="auto"/>
            <w:noWrap/>
            <w:vAlign w:val="bottom"/>
            <w:hideMark/>
          </w:tcPr>
          <w:p w14:paraId="3BAB1610" w14:textId="77777777" w:rsidR="00985D6B" w:rsidRPr="00483E19" w:rsidRDefault="00985D6B" w:rsidP="00985D6B">
            <w:pPr>
              <w:pStyle w:val="tabletxt"/>
              <w:jc w:val="center"/>
              <w:rPr>
                <w:b/>
                <w:szCs w:val="18"/>
              </w:rPr>
            </w:pPr>
            <w:r w:rsidRPr="00483E19">
              <w:rPr>
                <w:b/>
                <w:szCs w:val="18"/>
              </w:rPr>
              <w:t>-0.1%</w:t>
            </w:r>
          </w:p>
        </w:tc>
        <w:tc>
          <w:tcPr>
            <w:tcW w:w="779" w:type="dxa"/>
            <w:tcBorders>
              <w:top w:val="single" w:sz="4" w:space="0" w:color="auto"/>
              <w:bottom w:val="single" w:sz="4" w:space="0" w:color="auto"/>
            </w:tcBorders>
            <w:shd w:val="clear" w:color="auto" w:fill="auto"/>
            <w:noWrap/>
            <w:vAlign w:val="bottom"/>
            <w:hideMark/>
          </w:tcPr>
          <w:p w14:paraId="2D7A2C1F" w14:textId="26DFD7BC" w:rsidR="00985D6B" w:rsidRPr="00483E19" w:rsidRDefault="00985D6B" w:rsidP="00985D6B">
            <w:pPr>
              <w:pStyle w:val="tabletxt"/>
              <w:jc w:val="center"/>
              <w:rPr>
                <w:b/>
                <w:szCs w:val="18"/>
              </w:rPr>
            </w:pPr>
          </w:p>
        </w:tc>
        <w:tc>
          <w:tcPr>
            <w:tcW w:w="780" w:type="dxa"/>
            <w:tcBorders>
              <w:top w:val="single" w:sz="4" w:space="0" w:color="auto"/>
              <w:bottom w:val="single" w:sz="4" w:space="0" w:color="auto"/>
            </w:tcBorders>
            <w:shd w:val="clear" w:color="auto" w:fill="auto"/>
            <w:noWrap/>
            <w:vAlign w:val="bottom"/>
            <w:hideMark/>
          </w:tcPr>
          <w:p w14:paraId="42FB5F9A" w14:textId="746415E5" w:rsidR="00985D6B" w:rsidRPr="00483E19" w:rsidRDefault="00985D6B" w:rsidP="00985D6B">
            <w:pPr>
              <w:pStyle w:val="tabletxt"/>
              <w:jc w:val="center"/>
              <w:rPr>
                <w:b/>
                <w:szCs w:val="18"/>
              </w:rPr>
            </w:pPr>
          </w:p>
        </w:tc>
        <w:tc>
          <w:tcPr>
            <w:tcW w:w="1701" w:type="dxa"/>
            <w:tcBorders>
              <w:top w:val="single" w:sz="4" w:space="0" w:color="auto"/>
              <w:bottom w:val="single" w:sz="4" w:space="0" w:color="auto"/>
            </w:tcBorders>
            <w:shd w:val="clear" w:color="auto" w:fill="auto"/>
            <w:noWrap/>
            <w:vAlign w:val="bottom"/>
            <w:hideMark/>
          </w:tcPr>
          <w:p w14:paraId="5A9E986A" w14:textId="77777777" w:rsidR="00985D6B" w:rsidRPr="00483E19" w:rsidRDefault="00985D6B" w:rsidP="00985D6B">
            <w:pPr>
              <w:pStyle w:val="tabletxt"/>
              <w:jc w:val="center"/>
              <w:rPr>
                <w:b/>
                <w:szCs w:val="18"/>
              </w:rPr>
            </w:pPr>
            <w:r w:rsidRPr="00483E19">
              <w:rPr>
                <w:b/>
                <w:szCs w:val="18"/>
              </w:rPr>
              <w:t>59</w:t>
            </w:r>
          </w:p>
        </w:tc>
      </w:tr>
      <w:tr w:rsidR="00985D6B" w:rsidRPr="00985D6B" w14:paraId="3C6328B2" w14:textId="77777777" w:rsidTr="00483E19">
        <w:trPr>
          <w:trHeight w:val="300"/>
        </w:trPr>
        <w:tc>
          <w:tcPr>
            <w:tcW w:w="1575" w:type="dxa"/>
            <w:tcBorders>
              <w:top w:val="single" w:sz="4" w:space="0" w:color="auto"/>
              <w:right w:val="single" w:sz="4" w:space="0" w:color="auto"/>
            </w:tcBorders>
            <w:shd w:val="clear" w:color="auto" w:fill="F2F2F2" w:themeFill="background1" w:themeFillShade="F2"/>
            <w:noWrap/>
            <w:hideMark/>
          </w:tcPr>
          <w:p w14:paraId="5DD68480" w14:textId="77777777" w:rsidR="00985D6B" w:rsidRPr="00985D6B" w:rsidRDefault="00985D6B" w:rsidP="00985D6B">
            <w:pPr>
              <w:pStyle w:val="tabletxt"/>
              <w:rPr>
                <w:szCs w:val="18"/>
              </w:rPr>
            </w:pPr>
            <w:r w:rsidRPr="00985D6B">
              <w:rPr>
                <w:szCs w:val="18"/>
              </w:rPr>
              <w:lastRenderedPageBreak/>
              <w:t>Grad Zagreb</w:t>
            </w:r>
          </w:p>
        </w:tc>
        <w:tc>
          <w:tcPr>
            <w:tcW w:w="1275" w:type="dxa"/>
            <w:tcBorders>
              <w:top w:val="single" w:sz="4" w:space="0" w:color="auto"/>
              <w:left w:val="single" w:sz="4" w:space="0" w:color="auto"/>
            </w:tcBorders>
            <w:shd w:val="clear" w:color="auto" w:fill="auto"/>
            <w:noWrap/>
            <w:hideMark/>
          </w:tcPr>
          <w:p w14:paraId="09A6196A" w14:textId="77777777" w:rsidR="00985D6B" w:rsidRPr="00985D6B" w:rsidRDefault="00985D6B" w:rsidP="00985D6B">
            <w:pPr>
              <w:pStyle w:val="tabletxt"/>
              <w:jc w:val="right"/>
              <w:rPr>
                <w:szCs w:val="18"/>
              </w:rPr>
            </w:pPr>
            <w:r w:rsidRPr="00985D6B">
              <w:rPr>
                <w:szCs w:val="18"/>
              </w:rPr>
              <w:t xml:space="preserve"> 113,198,655 </w:t>
            </w:r>
          </w:p>
        </w:tc>
        <w:tc>
          <w:tcPr>
            <w:tcW w:w="993" w:type="dxa"/>
            <w:tcBorders>
              <w:top w:val="single" w:sz="4" w:space="0" w:color="auto"/>
            </w:tcBorders>
            <w:shd w:val="clear" w:color="auto" w:fill="auto"/>
            <w:noWrap/>
            <w:vAlign w:val="bottom"/>
            <w:hideMark/>
          </w:tcPr>
          <w:p w14:paraId="4429B519" w14:textId="77777777" w:rsidR="00985D6B" w:rsidRPr="00985D6B" w:rsidRDefault="00985D6B" w:rsidP="00985D6B">
            <w:pPr>
              <w:pStyle w:val="tabletxt"/>
              <w:jc w:val="center"/>
              <w:rPr>
                <w:szCs w:val="18"/>
              </w:rPr>
            </w:pPr>
            <w:r w:rsidRPr="00985D6B">
              <w:rPr>
                <w:szCs w:val="18"/>
              </w:rPr>
              <w:t>1.9%</w:t>
            </w:r>
          </w:p>
        </w:tc>
        <w:tc>
          <w:tcPr>
            <w:tcW w:w="992" w:type="dxa"/>
            <w:tcBorders>
              <w:top w:val="single" w:sz="4" w:space="0" w:color="auto"/>
            </w:tcBorders>
            <w:shd w:val="clear" w:color="auto" w:fill="auto"/>
            <w:noWrap/>
            <w:hideMark/>
          </w:tcPr>
          <w:p w14:paraId="0F1565C3" w14:textId="77777777" w:rsidR="00985D6B" w:rsidRPr="00985D6B" w:rsidRDefault="00985D6B" w:rsidP="00985D6B">
            <w:pPr>
              <w:pStyle w:val="tabletxt"/>
              <w:jc w:val="right"/>
              <w:rPr>
                <w:szCs w:val="18"/>
              </w:rPr>
            </w:pPr>
            <w:r w:rsidRPr="00985D6B">
              <w:rPr>
                <w:szCs w:val="18"/>
              </w:rPr>
              <w:t xml:space="preserve"> 141,379 </w:t>
            </w:r>
          </w:p>
        </w:tc>
        <w:tc>
          <w:tcPr>
            <w:tcW w:w="992" w:type="dxa"/>
            <w:tcBorders>
              <w:top w:val="single" w:sz="4" w:space="0" w:color="auto"/>
            </w:tcBorders>
            <w:shd w:val="clear" w:color="auto" w:fill="auto"/>
            <w:noWrap/>
            <w:vAlign w:val="bottom"/>
            <w:hideMark/>
          </w:tcPr>
          <w:p w14:paraId="42EDAFF9" w14:textId="77777777" w:rsidR="00985D6B" w:rsidRPr="00985D6B" w:rsidRDefault="00985D6B" w:rsidP="00985D6B">
            <w:pPr>
              <w:pStyle w:val="tabletxt"/>
              <w:jc w:val="center"/>
              <w:rPr>
                <w:szCs w:val="18"/>
              </w:rPr>
            </w:pPr>
            <w:r w:rsidRPr="00985D6B">
              <w:rPr>
                <w:szCs w:val="18"/>
              </w:rPr>
              <w:t>-0.3%</w:t>
            </w:r>
          </w:p>
        </w:tc>
        <w:tc>
          <w:tcPr>
            <w:tcW w:w="779" w:type="dxa"/>
            <w:tcBorders>
              <w:top w:val="single" w:sz="4" w:space="0" w:color="auto"/>
            </w:tcBorders>
            <w:shd w:val="clear" w:color="auto" w:fill="auto"/>
            <w:noWrap/>
            <w:vAlign w:val="bottom"/>
            <w:hideMark/>
          </w:tcPr>
          <w:p w14:paraId="3384BDE6" w14:textId="77777777" w:rsidR="00985D6B" w:rsidRPr="00985D6B" w:rsidRDefault="00985D6B" w:rsidP="00985D6B">
            <w:pPr>
              <w:pStyle w:val="tabletxt"/>
              <w:jc w:val="center"/>
              <w:rPr>
                <w:szCs w:val="18"/>
              </w:rPr>
            </w:pPr>
            <w:r w:rsidRPr="00985D6B">
              <w:rPr>
                <w:szCs w:val="18"/>
              </w:rPr>
              <w:t>33.4%</w:t>
            </w:r>
          </w:p>
        </w:tc>
        <w:tc>
          <w:tcPr>
            <w:tcW w:w="780" w:type="dxa"/>
            <w:tcBorders>
              <w:top w:val="single" w:sz="4" w:space="0" w:color="auto"/>
            </w:tcBorders>
            <w:shd w:val="clear" w:color="auto" w:fill="auto"/>
            <w:noWrap/>
            <w:vAlign w:val="bottom"/>
            <w:hideMark/>
          </w:tcPr>
          <w:p w14:paraId="0675DD40" w14:textId="77777777" w:rsidR="00985D6B" w:rsidRPr="00985D6B" w:rsidRDefault="00985D6B" w:rsidP="00985D6B">
            <w:pPr>
              <w:pStyle w:val="tabletxt"/>
              <w:jc w:val="center"/>
              <w:rPr>
                <w:szCs w:val="18"/>
              </w:rPr>
            </w:pPr>
            <w:r w:rsidRPr="00985D6B">
              <w:rPr>
                <w:szCs w:val="18"/>
              </w:rPr>
              <w:t>31.9%</w:t>
            </w:r>
          </w:p>
        </w:tc>
        <w:tc>
          <w:tcPr>
            <w:tcW w:w="1701" w:type="dxa"/>
            <w:tcBorders>
              <w:top w:val="single" w:sz="4" w:space="0" w:color="auto"/>
            </w:tcBorders>
            <w:shd w:val="clear" w:color="auto" w:fill="auto"/>
            <w:noWrap/>
            <w:vAlign w:val="bottom"/>
            <w:hideMark/>
          </w:tcPr>
          <w:p w14:paraId="3BAECFB5" w14:textId="77777777" w:rsidR="00985D6B" w:rsidRPr="00985D6B" w:rsidRDefault="00985D6B" w:rsidP="00985D6B">
            <w:pPr>
              <w:pStyle w:val="tabletxt"/>
              <w:jc w:val="center"/>
              <w:rPr>
                <w:szCs w:val="18"/>
              </w:rPr>
            </w:pPr>
            <w:r w:rsidRPr="00985D6B">
              <w:rPr>
                <w:szCs w:val="18"/>
              </w:rPr>
              <w:t>107</w:t>
            </w:r>
          </w:p>
        </w:tc>
      </w:tr>
      <w:tr w:rsidR="00985D6B" w:rsidRPr="00985D6B" w14:paraId="7076C8DC" w14:textId="77777777" w:rsidTr="00483E19">
        <w:trPr>
          <w:trHeight w:val="300"/>
        </w:trPr>
        <w:tc>
          <w:tcPr>
            <w:tcW w:w="1575" w:type="dxa"/>
            <w:tcBorders>
              <w:right w:val="single" w:sz="4" w:space="0" w:color="auto"/>
            </w:tcBorders>
            <w:shd w:val="clear" w:color="auto" w:fill="F2F2F2" w:themeFill="background1" w:themeFillShade="F2"/>
            <w:noWrap/>
            <w:hideMark/>
          </w:tcPr>
          <w:p w14:paraId="431D1B9E" w14:textId="77777777" w:rsidR="00985D6B" w:rsidRPr="00985D6B" w:rsidRDefault="00985D6B" w:rsidP="00985D6B">
            <w:pPr>
              <w:pStyle w:val="tabletxt"/>
              <w:rPr>
                <w:szCs w:val="18"/>
              </w:rPr>
            </w:pPr>
            <w:r w:rsidRPr="00985D6B">
              <w:rPr>
                <w:szCs w:val="18"/>
              </w:rPr>
              <w:t>Primorsko-goranska</w:t>
            </w:r>
          </w:p>
        </w:tc>
        <w:tc>
          <w:tcPr>
            <w:tcW w:w="1275" w:type="dxa"/>
            <w:tcBorders>
              <w:left w:val="single" w:sz="4" w:space="0" w:color="auto"/>
            </w:tcBorders>
            <w:shd w:val="clear" w:color="auto" w:fill="auto"/>
            <w:noWrap/>
            <w:hideMark/>
          </w:tcPr>
          <w:p w14:paraId="4EB945E7" w14:textId="77777777" w:rsidR="00985D6B" w:rsidRPr="00985D6B" w:rsidRDefault="00985D6B" w:rsidP="00985D6B">
            <w:pPr>
              <w:pStyle w:val="tabletxt"/>
              <w:jc w:val="right"/>
              <w:rPr>
                <w:szCs w:val="18"/>
              </w:rPr>
            </w:pPr>
            <w:r w:rsidRPr="00985D6B">
              <w:rPr>
                <w:szCs w:val="18"/>
              </w:rPr>
              <w:t xml:space="preserve"> 29,363,686 </w:t>
            </w:r>
          </w:p>
        </w:tc>
        <w:tc>
          <w:tcPr>
            <w:tcW w:w="993" w:type="dxa"/>
            <w:shd w:val="clear" w:color="auto" w:fill="auto"/>
            <w:noWrap/>
            <w:vAlign w:val="bottom"/>
            <w:hideMark/>
          </w:tcPr>
          <w:p w14:paraId="34BB9007" w14:textId="77777777" w:rsidR="00985D6B" w:rsidRPr="00985D6B" w:rsidRDefault="00985D6B" w:rsidP="00985D6B">
            <w:pPr>
              <w:pStyle w:val="tabletxt"/>
              <w:jc w:val="center"/>
              <w:rPr>
                <w:szCs w:val="18"/>
              </w:rPr>
            </w:pPr>
            <w:r w:rsidRPr="00985D6B">
              <w:rPr>
                <w:szCs w:val="18"/>
              </w:rPr>
              <w:t>-2.0%</w:t>
            </w:r>
          </w:p>
        </w:tc>
        <w:tc>
          <w:tcPr>
            <w:tcW w:w="992" w:type="dxa"/>
            <w:shd w:val="clear" w:color="auto" w:fill="auto"/>
            <w:noWrap/>
            <w:hideMark/>
          </w:tcPr>
          <w:p w14:paraId="1A911F9B" w14:textId="77777777" w:rsidR="00985D6B" w:rsidRPr="00985D6B" w:rsidRDefault="00985D6B" w:rsidP="00985D6B">
            <w:pPr>
              <w:pStyle w:val="tabletxt"/>
              <w:jc w:val="right"/>
              <w:rPr>
                <w:szCs w:val="18"/>
              </w:rPr>
            </w:pPr>
            <w:r w:rsidRPr="00985D6B">
              <w:rPr>
                <w:szCs w:val="18"/>
              </w:rPr>
              <w:t xml:space="preserve"> 97,177 </w:t>
            </w:r>
          </w:p>
        </w:tc>
        <w:tc>
          <w:tcPr>
            <w:tcW w:w="992" w:type="dxa"/>
            <w:shd w:val="clear" w:color="auto" w:fill="auto"/>
            <w:noWrap/>
            <w:vAlign w:val="bottom"/>
            <w:hideMark/>
          </w:tcPr>
          <w:p w14:paraId="4C764697" w14:textId="77777777" w:rsidR="00985D6B" w:rsidRPr="00985D6B" w:rsidRDefault="00985D6B" w:rsidP="00985D6B">
            <w:pPr>
              <w:pStyle w:val="tabletxt"/>
              <w:jc w:val="center"/>
              <w:rPr>
                <w:szCs w:val="18"/>
              </w:rPr>
            </w:pPr>
            <w:r w:rsidRPr="00985D6B">
              <w:rPr>
                <w:szCs w:val="18"/>
              </w:rPr>
              <w:t>-0.1%</w:t>
            </w:r>
          </w:p>
        </w:tc>
        <w:tc>
          <w:tcPr>
            <w:tcW w:w="779" w:type="dxa"/>
            <w:shd w:val="clear" w:color="auto" w:fill="auto"/>
            <w:noWrap/>
            <w:vAlign w:val="bottom"/>
            <w:hideMark/>
          </w:tcPr>
          <w:p w14:paraId="707EDB0E" w14:textId="77777777" w:rsidR="00985D6B" w:rsidRPr="00985D6B" w:rsidRDefault="00985D6B" w:rsidP="00985D6B">
            <w:pPr>
              <w:pStyle w:val="tabletxt"/>
              <w:jc w:val="center"/>
              <w:rPr>
                <w:szCs w:val="18"/>
              </w:rPr>
            </w:pPr>
            <w:r w:rsidRPr="00985D6B">
              <w:rPr>
                <w:szCs w:val="18"/>
              </w:rPr>
              <w:t>8.7%</w:t>
            </w:r>
          </w:p>
        </w:tc>
        <w:tc>
          <w:tcPr>
            <w:tcW w:w="780" w:type="dxa"/>
            <w:shd w:val="clear" w:color="auto" w:fill="auto"/>
            <w:noWrap/>
            <w:vAlign w:val="bottom"/>
            <w:hideMark/>
          </w:tcPr>
          <w:p w14:paraId="4DA69DDF" w14:textId="77777777" w:rsidR="00985D6B" w:rsidRPr="00985D6B" w:rsidRDefault="00985D6B" w:rsidP="00985D6B">
            <w:pPr>
              <w:pStyle w:val="tabletxt"/>
              <w:jc w:val="center"/>
              <w:rPr>
                <w:szCs w:val="18"/>
              </w:rPr>
            </w:pPr>
            <w:r w:rsidRPr="00985D6B">
              <w:rPr>
                <w:szCs w:val="18"/>
              </w:rPr>
              <w:t>2.3%</w:t>
            </w:r>
          </w:p>
        </w:tc>
        <w:tc>
          <w:tcPr>
            <w:tcW w:w="1701" w:type="dxa"/>
            <w:shd w:val="clear" w:color="auto" w:fill="auto"/>
            <w:noWrap/>
            <w:vAlign w:val="bottom"/>
            <w:hideMark/>
          </w:tcPr>
          <w:p w14:paraId="78E7D22C" w14:textId="77777777" w:rsidR="00985D6B" w:rsidRPr="00985D6B" w:rsidRDefault="00985D6B" w:rsidP="00985D6B">
            <w:pPr>
              <w:pStyle w:val="tabletxt"/>
              <w:jc w:val="center"/>
              <w:rPr>
                <w:szCs w:val="18"/>
              </w:rPr>
            </w:pPr>
            <w:r w:rsidRPr="00985D6B">
              <w:rPr>
                <w:szCs w:val="18"/>
              </w:rPr>
              <w:t>72</w:t>
            </w:r>
          </w:p>
        </w:tc>
      </w:tr>
      <w:tr w:rsidR="00985D6B" w:rsidRPr="00985D6B" w14:paraId="5307812D" w14:textId="77777777" w:rsidTr="00483E19">
        <w:trPr>
          <w:trHeight w:val="300"/>
        </w:trPr>
        <w:tc>
          <w:tcPr>
            <w:tcW w:w="1575" w:type="dxa"/>
            <w:tcBorders>
              <w:right w:val="single" w:sz="4" w:space="0" w:color="auto"/>
            </w:tcBorders>
            <w:shd w:val="clear" w:color="auto" w:fill="F2F2F2" w:themeFill="background1" w:themeFillShade="F2"/>
            <w:noWrap/>
            <w:hideMark/>
          </w:tcPr>
          <w:p w14:paraId="180488E6" w14:textId="77777777" w:rsidR="00985D6B" w:rsidRPr="00985D6B" w:rsidRDefault="00985D6B" w:rsidP="00985D6B">
            <w:pPr>
              <w:pStyle w:val="tabletxt"/>
              <w:rPr>
                <w:szCs w:val="18"/>
              </w:rPr>
            </w:pPr>
            <w:r w:rsidRPr="00985D6B">
              <w:rPr>
                <w:szCs w:val="18"/>
              </w:rPr>
              <w:t>Zagrebačka</w:t>
            </w:r>
          </w:p>
        </w:tc>
        <w:tc>
          <w:tcPr>
            <w:tcW w:w="1275" w:type="dxa"/>
            <w:tcBorders>
              <w:left w:val="single" w:sz="4" w:space="0" w:color="auto"/>
            </w:tcBorders>
            <w:shd w:val="clear" w:color="auto" w:fill="auto"/>
            <w:noWrap/>
            <w:hideMark/>
          </w:tcPr>
          <w:p w14:paraId="0104A578" w14:textId="77777777" w:rsidR="00985D6B" w:rsidRPr="00985D6B" w:rsidRDefault="00985D6B" w:rsidP="00985D6B">
            <w:pPr>
              <w:pStyle w:val="tabletxt"/>
              <w:jc w:val="right"/>
              <w:rPr>
                <w:szCs w:val="18"/>
              </w:rPr>
            </w:pPr>
            <w:r w:rsidRPr="00985D6B">
              <w:rPr>
                <w:szCs w:val="18"/>
              </w:rPr>
              <w:t xml:space="preserve"> 19,917,445 </w:t>
            </w:r>
          </w:p>
        </w:tc>
        <w:tc>
          <w:tcPr>
            <w:tcW w:w="993" w:type="dxa"/>
            <w:shd w:val="clear" w:color="auto" w:fill="auto"/>
            <w:noWrap/>
            <w:vAlign w:val="bottom"/>
            <w:hideMark/>
          </w:tcPr>
          <w:p w14:paraId="2A4C8BC4" w14:textId="77777777" w:rsidR="00985D6B" w:rsidRPr="00985D6B" w:rsidRDefault="00985D6B" w:rsidP="00985D6B">
            <w:pPr>
              <w:pStyle w:val="tabletxt"/>
              <w:jc w:val="center"/>
              <w:rPr>
                <w:szCs w:val="18"/>
              </w:rPr>
            </w:pPr>
            <w:r w:rsidRPr="00985D6B">
              <w:rPr>
                <w:szCs w:val="18"/>
              </w:rPr>
              <w:t>2.4%</w:t>
            </w:r>
          </w:p>
        </w:tc>
        <w:tc>
          <w:tcPr>
            <w:tcW w:w="992" w:type="dxa"/>
            <w:shd w:val="clear" w:color="auto" w:fill="auto"/>
            <w:noWrap/>
            <w:hideMark/>
          </w:tcPr>
          <w:p w14:paraId="559AA742" w14:textId="77777777" w:rsidR="00985D6B" w:rsidRPr="00985D6B" w:rsidRDefault="00985D6B" w:rsidP="00985D6B">
            <w:pPr>
              <w:pStyle w:val="tabletxt"/>
              <w:jc w:val="right"/>
              <w:rPr>
                <w:szCs w:val="18"/>
              </w:rPr>
            </w:pPr>
            <w:r w:rsidRPr="00985D6B">
              <w:rPr>
                <w:szCs w:val="18"/>
              </w:rPr>
              <w:t xml:space="preserve"> 62,890 </w:t>
            </w:r>
          </w:p>
        </w:tc>
        <w:tc>
          <w:tcPr>
            <w:tcW w:w="992" w:type="dxa"/>
            <w:shd w:val="clear" w:color="auto" w:fill="auto"/>
            <w:noWrap/>
            <w:vAlign w:val="bottom"/>
            <w:hideMark/>
          </w:tcPr>
          <w:p w14:paraId="290F7824" w14:textId="77777777" w:rsidR="00985D6B" w:rsidRPr="00985D6B" w:rsidRDefault="00985D6B" w:rsidP="00985D6B">
            <w:pPr>
              <w:pStyle w:val="tabletxt"/>
              <w:jc w:val="center"/>
              <w:rPr>
                <w:szCs w:val="18"/>
              </w:rPr>
            </w:pPr>
            <w:r w:rsidRPr="00985D6B">
              <w:rPr>
                <w:szCs w:val="18"/>
              </w:rPr>
              <w:t>1.6%</w:t>
            </w:r>
          </w:p>
        </w:tc>
        <w:tc>
          <w:tcPr>
            <w:tcW w:w="779" w:type="dxa"/>
            <w:shd w:val="clear" w:color="auto" w:fill="auto"/>
            <w:noWrap/>
            <w:vAlign w:val="bottom"/>
            <w:hideMark/>
          </w:tcPr>
          <w:p w14:paraId="5180C11D" w14:textId="77777777" w:rsidR="00985D6B" w:rsidRPr="00985D6B" w:rsidRDefault="00985D6B" w:rsidP="00985D6B">
            <w:pPr>
              <w:pStyle w:val="tabletxt"/>
              <w:jc w:val="center"/>
              <w:rPr>
                <w:szCs w:val="18"/>
              </w:rPr>
            </w:pPr>
            <w:r w:rsidRPr="00985D6B">
              <w:rPr>
                <w:szCs w:val="18"/>
              </w:rPr>
              <w:t>5.9%</w:t>
            </w:r>
          </w:p>
        </w:tc>
        <w:tc>
          <w:tcPr>
            <w:tcW w:w="780" w:type="dxa"/>
            <w:shd w:val="clear" w:color="auto" w:fill="auto"/>
            <w:noWrap/>
            <w:vAlign w:val="bottom"/>
            <w:hideMark/>
          </w:tcPr>
          <w:p w14:paraId="537D4CAD" w14:textId="77777777" w:rsidR="00985D6B" w:rsidRPr="00985D6B" w:rsidRDefault="00985D6B" w:rsidP="00985D6B">
            <w:pPr>
              <w:pStyle w:val="tabletxt"/>
              <w:jc w:val="center"/>
              <w:rPr>
                <w:szCs w:val="18"/>
              </w:rPr>
            </w:pPr>
            <w:r w:rsidRPr="00985D6B">
              <w:rPr>
                <w:szCs w:val="18"/>
              </w:rPr>
              <w:t>5.6%</w:t>
            </w:r>
          </w:p>
        </w:tc>
        <w:tc>
          <w:tcPr>
            <w:tcW w:w="1701" w:type="dxa"/>
            <w:shd w:val="clear" w:color="auto" w:fill="auto"/>
            <w:noWrap/>
            <w:vAlign w:val="bottom"/>
            <w:hideMark/>
          </w:tcPr>
          <w:p w14:paraId="7D8ADB2E" w14:textId="77777777" w:rsidR="00985D6B" w:rsidRPr="00985D6B" w:rsidRDefault="00985D6B" w:rsidP="00985D6B">
            <w:pPr>
              <w:pStyle w:val="tabletxt"/>
              <w:jc w:val="center"/>
              <w:rPr>
                <w:szCs w:val="18"/>
              </w:rPr>
            </w:pPr>
            <w:r w:rsidRPr="00985D6B">
              <w:rPr>
                <w:szCs w:val="18"/>
              </w:rPr>
              <w:t>47</w:t>
            </w:r>
          </w:p>
        </w:tc>
      </w:tr>
      <w:tr w:rsidR="00985D6B" w:rsidRPr="00985D6B" w14:paraId="37C21E4E" w14:textId="77777777" w:rsidTr="00483E19">
        <w:trPr>
          <w:trHeight w:val="300"/>
        </w:trPr>
        <w:tc>
          <w:tcPr>
            <w:tcW w:w="1575" w:type="dxa"/>
            <w:tcBorders>
              <w:right w:val="single" w:sz="4" w:space="0" w:color="auto"/>
            </w:tcBorders>
            <w:shd w:val="clear" w:color="auto" w:fill="F2F2F2" w:themeFill="background1" w:themeFillShade="F2"/>
            <w:noWrap/>
            <w:hideMark/>
          </w:tcPr>
          <w:p w14:paraId="61F372CA" w14:textId="77777777" w:rsidR="00985D6B" w:rsidRPr="00985D6B" w:rsidRDefault="00985D6B" w:rsidP="00985D6B">
            <w:pPr>
              <w:pStyle w:val="tabletxt"/>
              <w:rPr>
                <w:szCs w:val="18"/>
              </w:rPr>
            </w:pPr>
            <w:r w:rsidRPr="00985D6B">
              <w:rPr>
                <w:szCs w:val="18"/>
              </w:rPr>
              <w:t>Sisačko-moslavačka</w:t>
            </w:r>
          </w:p>
        </w:tc>
        <w:tc>
          <w:tcPr>
            <w:tcW w:w="1275" w:type="dxa"/>
            <w:tcBorders>
              <w:left w:val="single" w:sz="4" w:space="0" w:color="auto"/>
            </w:tcBorders>
            <w:shd w:val="clear" w:color="auto" w:fill="auto"/>
            <w:noWrap/>
            <w:hideMark/>
          </w:tcPr>
          <w:p w14:paraId="5387883F" w14:textId="77777777" w:rsidR="00985D6B" w:rsidRPr="00985D6B" w:rsidRDefault="00985D6B" w:rsidP="00985D6B">
            <w:pPr>
              <w:pStyle w:val="tabletxt"/>
              <w:jc w:val="right"/>
              <w:rPr>
                <w:szCs w:val="18"/>
              </w:rPr>
            </w:pPr>
            <w:r w:rsidRPr="00985D6B">
              <w:rPr>
                <w:szCs w:val="18"/>
              </w:rPr>
              <w:t xml:space="preserve"> 9,438,368 </w:t>
            </w:r>
          </w:p>
        </w:tc>
        <w:tc>
          <w:tcPr>
            <w:tcW w:w="993" w:type="dxa"/>
            <w:shd w:val="clear" w:color="auto" w:fill="auto"/>
            <w:noWrap/>
            <w:vAlign w:val="bottom"/>
            <w:hideMark/>
          </w:tcPr>
          <w:p w14:paraId="1182C310" w14:textId="77777777" w:rsidR="00985D6B" w:rsidRPr="00985D6B" w:rsidRDefault="00985D6B" w:rsidP="00985D6B">
            <w:pPr>
              <w:pStyle w:val="tabletxt"/>
              <w:jc w:val="center"/>
              <w:rPr>
                <w:szCs w:val="18"/>
              </w:rPr>
            </w:pPr>
            <w:r w:rsidRPr="00985D6B">
              <w:rPr>
                <w:szCs w:val="18"/>
              </w:rPr>
              <w:t>-8.6%</w:t>
            </w:r>
          </w:p>
        </w:tc>
        <w:tc>
          <w:tcPr>
            <w:tcW w:w="992" w:type="dxa"/>
            <w:shd w:val="clear" w:color="auto" w:fill="auto"/>
            <w:noWrap/>
            <w:hideMark/>
          </w:tcPr>
          <w:p w14:paraId="6081FF0C" w14:textId="77777777" w:rsidR="00985D6B" w:rsidRPr="00985D6B" w:rsidRDefault="00985D6B" w:rsidP="00985D6B">
            <w:pPr>
              <w:pStyle w:val="tabletxt"/>
              <w:jc w:val="right"/>
              <w:rPr>
                <w:szCs w:val="18"/>
              </w:rPr>
            </w:pPr>
            <w:r w:rsidRPr="00985D6B">
              <w:rPr>
                <w:szCs w:val="18"/>
              </w:rPr>
              <w:t xml:space="preserve"> 58,777 </w:t>
            </w:r>
          </w:p>
        </w:tc>
        <w:tc>
          <w:tcPr>
            <w:tcW w:w="992" w:type="dxa"/>
            <w:shd w:val="clear" w:color="auto" w:fill="auto"/>
            <w:noWrap/>
            <w:vAlign w:val="bottom"/>
            <w:hideMark/>
          </w:tcPr>
          <w:p w14:paraId="76225F13" w14:textId="77777777" w:rsidR="00985D6B" w:rsidRPr="00985D6B" w:rsidRDefault="00985D6B" w:rsidP="00985D6B">
            <w:pPr>
              <w:pStyle w:val="tabletxt"/>
              <w:jc w:val="center"/>
              <w:rPr>
                <w:szCs w:val="18"/>
              </w:rPr>
            </w:pPr>
            <w:r w:rsidRPr="00985D6B">
              <w:rPr>
                <w:szCs w:val="18"/>
              </w:rPr>
              <w:t>1.9%</w:t>
            </w:r>
          </w:p>
        </w:tc>
        <w:tc>
          <w:tcPr>
            <w:tcW w:w="779" w:type="dxa"/>
            <w:shd w:val="clear" w:color="auto" w:fill="auto"/>
            <w:noWrap/>
            <w:vAlign w:val="bottom"/>
            <w:hideMark/>
          </w:tcPr>
          <w:p w14:paraId="1FA65570" w14:textId="77777777" w:rsidR="00985D6B" w:rsidRPr="00985D6B" w:rsidRDefault="00985D6B" w:rsidP="00985D6B">
            <w:pPr>
              <w:pStyle w:val="tabletxt"/>
              <w:jc w:val="center"/>
              <w:rPr>
                <w:szCs w:val="18"/>
              </w:rPr>
            </w:pPr>
            <w:r w:rsidRPr="00985D6B">
              <w:rPr>
                <w:szCs w:val="18"/>
              </w:rPr>
              <w:t>2.8%</w:t>
            </w:r>
          </w:p>
        </w:tc>
        <w:tc>
          <w:tcPr>
            <w:tcW w:w="780" w:type="dxa"/>
            <w:shd w:val="clear" w:color="auto" w:fill="auto"/>
            <w:noWrap/>
            <w:vAlign w:val="bottom"/>
            <w:hideMark/>
          </w:tcPr>
          <w:p w14:paraId="4B287524" w14:textId="77777777" w:rsidR="00985D6B" w:rsidRPr="00985D6B" w:rsidRDefault="00985D6B" w:rsidP="00985D6B">
            <w:pPr>
              <w:pStyle w:val="tabletxt"/>
              <w:jc w:val="center"/>
              <w:rPr>
                <w:szCs w:val="18"/>
              </w:rPr>
            </w:pPr>
            <w:r w:rsidRPr="00985D6B">
              <w:rPr>
                <w:szCs w:val="18"/>
              </w:rPr>
              <w:t>8.3%</w:t>
            </w:r>
          </w:p>
        </w:tc>
        <w:tc>
          <w:tcPr>
            <w:tcW w:w="1701" w:type="dxa"/>
            <w:shd w:val="clear" w:color="auto" w:fill="auto"/>
            <w:noWrap/>
            <w:vAlign w:val="bottom"/>
            <w:hideMark/>
          </w:tcPr>
          <w:p w14:paraId="51A811DD" w14:textId="77777777" w:rsidR="00985D6B" w:rsidRPr="00985D6B" w:rsidRDefault="00985D6B" w:rsidP="00985D6B">
            <w:pPr>
              <w:pStyle w:val="tabletxt"/>
              <w:jc w:val="center"/>
              <w:rPr>
                <w:szCs w:val="18"/>
              </w:rPr>
            </w:pPr>
            <w:r w:rsidRPr="00985D6B">
              <w:rPr>
                <w:szCs w:val="18"/>
              </w:rPr>
              <w:t>41</w:t>
            </w:r>
          </w:p>
        </w:tc>
      </w:tr>
      <w:tr w:rsidR="00985D6B" w:rsidRPr="00053DB8" w14:paraId="0041417B" w14:textId="77777777" w:rsidTr="00483E19">
        <w:trPr>
          <w:trHeight w:val="300"/>
        </w:trPr>
        <w:tc>
          <w:tcPr>
            <w:tcW w:w="1575" w:type="dxa"/>
            <w:tcBorders>
              <w:right w:val="single" w:sz="4" w:space="0" w:color="auto"/>
            </w:tcBorders>
            <w:shd w:val="clear" w:color="auto" w:fill="F2F2F2" w:themeFill="background1" w:themeFillShade="F2"/>
            <w:noWrap/>
            <w:hideMark/>
          </w:tcPr>
          <w:p w14:paraId="2D117A11" w14:textId="77777777" w:rsidR="00985D6B" w:rsidRPr="00053DB8" w:rsidRDefault="00985D6B" w:rsidP="00985D6B">
            <w:pPr>
              <w:pStyle w:val="tabletxt"/>
              <w:rPr>
                <w:b/>
                <w:color w:val="17365D" w:themeColor="text2" w:themeShade="BF"/>
                <w:szCs w:val="18"/>
              </w:rPr>
            </w:pPr>
            <w:r w:rsidRPr="00053DB8">
              <w:rPr>
                <w:b/>
                <w:color w:val="17365D" w:themeColor="text2" w:themeShade="BF"/>
                <w:szCs w:val="18"/>
              </w:rPr>
              <w:t>Karlovačka</w:t>
            </w:r>
          </w:p>
        </w:tc>
        <w:tc>
          <w:tcPr>
            <w:tcW w:w="1275" w:type="dxa"/>
            <w:tcBorders>
              <w:left w:val="single" w:sz="4" w:space="0" w:color="auto"/>
            </w:tcBorders>
            <w:shd w:val="clear" w:color="auto" w:fill="auto"/>
            <w:noWrap/>
            <w:hideMark/>
          </w:tcPr>
          <w:p w14:paraId="1284AEF4" w14:textId="77777777" w:rsidR="00985D6B" w:rsidRPr="00053DB8" w:rsidRDefault="00985D6B" w:rsidP="00985D6B">
            <w:pPr>
              <w:pStyle w:val="tabletxt"/>
              <w:jc w:val="right"/>
              <w:rPr>
                <w:b/>
                <w:color w:val="17365D" w:themeColor="text2" w:themeShade="BF"/>
                <w:szCs w:val="18"/>
              </w:rPr>
            </w:pPr>
            <w:r w:rsidRPr="00053DB8">
              <w:rPr>
                <w:b/>
                <w:color w:val="17365D" w:themeColor="text2" w:themeShade="BF"/>
                <w:szCs w:val="18"/>
              </w:rPr>
              <w:t xml:space="preserve"> 7,441,597 </w:t>
            </w:r>
          </w:p>
        </w:tc>
        <w:tc>
          <w:tcPr>
            <w:tcW w:w="993" w:type="dxa"/>
            <w:shd w:val="clear" w:color="auto" w:fill="auto"/>
            <w:noWrap/>
            <w:vAlign w:val="bottom"/>
            <w:hideMark/>
          </w:tcPr>
          <w:p w14:paraId="073872C7" w14:textId="77777777" w:rsidR="00985D6B" w:rsidRPr="00053DB8" w:rsidRDefault="00985D6B" w:rsidP="00985D6B">
            <w:pPr>
              <w:pStyle w:val="tabletxt"/>
              <w:jc w:val="center"/>
              <w:rPr>
                <w:b/>
                <w:color w:val="17365D" w:themeColor="text2" w:themeShade="BF"/>
                <w:szCs w:val="18"/>
              </w:rPr>
            </w:pPr>
            <w:r w:rsidRPr="00053DB8">
              <w:rPr>
                <w:b/>
                <w:color w:val="17365D" w:themeColor="text2" w:themeShade="BF"/>
                <w:szCs w:val="18"/>
              </w:rPr>
              <w:t>-7.4%</w:t>
            </w:r>
          </w:p>
        </w:tc>
        <w:tc>
          <w:tcPr>
            <w:tcW w:w="992" w:type="dxa"/>
            <w:shd w:val="clear" w:color="auto" w:fill="auto"/>
            <w:noWrap/>
            <w:hideMark/>
          </w:tcPr>
          <w:p w14:paraId="1B97EF3F" w14:textId="77777777" w:rsidR="00985D6B" w:rsidRPr="00053DB8" w:rsidRDefault="00985D6B" w:rsidP="00985D6B">
            <w:pPr>
              <w:pStyle w:val="tabletxt"/>
              <w:jc w:val="right"/>
              <w:rPr>
                <w:b/>
                <w:color w:val="17365D" w:themeColor="text2" w:themeShade="BF"/>
                <w:szCs w:val="18"/>
              </w:rPr>
            </w:pPr>
            <w:r w:rsidRPr="00053DB8">
              <w:rPr>
                <w:b/>
                <w:color w:val="17365D" w:themeColor="text2" w:themeShade="BF"/>
                <w:szCs w:val="18"/>
              </w:rPr>
              <w:t xml:space="preserve"> 60,932 </w:t>
            </w:r>
          </w:p>
        </w:tc>
        <w:tc>
          <w:tcPr>
            <w:tcW w:w="992" w:type="dxa"/>
            <w:shd w:val="clear" w:color="auto" w:fill="auto"/>
            <w:noWrap/>
            <w:vAlign w:val="bottom"/>
            <w:hideMark/>
          </w:tcPr>
          <w:p w14:paraId="2EC20B25" w14:textId="77777777" w:rsidR="00985D6B" w:rsidRPr="00053DB8" w:rsidRDefault="00985D6B" w:rsidP="00985D6B">
            <w:pPr>
              <w:pStyle w:val="tabletxt"/>
              <w:jc w:val="center"/>
              <w:rPr>
                <w:b/>
                <w:color w:val="17365D" w:themeColor="text2" w:themeShade="BF"/>
                <w:szCs w:val="18"/>
              </w:rPr>
            </w:pPr>
            <w:r w:rsidRPr="00053DB8">
              <w:rPr>
                <w:b/>
                <w:color w:val="17365D" w:themeColor="text2" w:themeShade="BF"/>
                <w:szCs w:val="18"/>
              </w:rPr>
              <w:t>0.6%</w:t>
            </w:r>
          </w:p>
        </w:tc>
        <w:tc>
          <w:tcPr>
            <w:tcW w:w="779" w:type="dxa"/>
            <w:shd w:val="clear" w:color="auto" w:fill="auto"/>
            <w:noWrap/>
            <w:vAlign w:val="bottom"/>
            <w:hideMark/>
          </w:tcPr>
          <w:p w14:paraId="65325A50" w14:textId="77777777" w:rsidR="00985D6B" w:rsidRPr="00053DB8" w:rsidRDefault="00985D6B" w:rsidP="00985D6B">
            <w:pPr>
              <w:pStyle w:val="tabletxt"/>
              <w:jc w:val="center"/>
              <w:rPr>
                <w:b/>
                <w:color w:val="17365D" w:themeColor="text2" w:themeShade="BF"/>
                <w:szCs w:val="18"/>
              </w:rPr>
            </w:pPr>
            <w:r w:rsidRPr="00053DB8">
              <w:rPr>
                <w:b/>
                <w:color w:val="17365D" w:themeColor="text2" w:themeShade="BF"/>
                <w:szCs w:val="18"/>
              </w:rPr>
              <w:t>2.2%</w:t>
            </w:r>
          </w:p>
        </w:tc>
        <w:tc>
          <w:tcPr>
            <w:tcW w:w="780" w:type="dxa"/>
            <w:shd w:val="clear" w:color="auto" w:fill="auto"/>
            <w:noWrap/>
            <w:vAlign w:val="bottom"/>
            <w:hideMark/>
          </w:tcPr>
          <w:p w14:paraId="57BFA107" w14:textId="77777777" w:rsidR="00985D6B" w:rsidRPr="00053DB8" w:rsidRDefault="00985D6B" w:rsidP="00985D6B">
            <w:pPr>
              <w:pStyle w:val="tabletxt"/>
              <w:jc w:val="center"/>
              <w:rPr>
                <w:b/>
                <w:color w:val="17365D" w:themeColor="text2" w:themeShade="BF"/>
                <w:szCs w:val="18"/>
              </w:rPr>
            </w:pPr>
            <w:r w:rsidRPr="00053DB8">
              <w:rPr>
                <w:b/>
                <w:color w:val="17365D" w:themeColor="text2" w:themeShade="BF"/>
                <w:szCs w:val="18"/>
              </w:rPr>
              <w:t>3.0%</w:t>
            </w:r>
          </w:p>
        </w:tc>
        <w:tc>
          <w:tcPr>
            <w:tcW w:w="1701" w:type="dxa"/>
            <w:shd w:val="clear" w:color="auto" w:fill="auto"/>
            <w:noWrap/>
            <w:vAlign w:val="bottom"/>
            <w:hideMark/>
          </w:tcPr>
          <w:p w14:paraId="7F33C609" w14:textId="77777777" w:rsidR="00985D6B" w:rsidRPr="00053DB8" w:rsidRDefault="00985D6B" w:rsidP="00985D6B">
            <w:pPr>
              <w:pStyle w:val="tabletxt"/>
              <w:jc w:val="center"/>
              <w:rPr>
                <w:b/>
                <w:color w:val="17365D" w:themeColor="text2" w:themeShade="BF"/>
                <w:szCs w:val="18"/>
              </w:rPr>
            </w:pPr>
            <w:r w:rsidRPr="00053DB8">
              <w:rPr>
                <w:b/>
                <w:color w:val="17365D" w:themeColor="text2" w:themeShade="BF"/>
                <w:szCs w:val="18"/>
              </w:rPr>
              <w:t>43</w:t>
            </w:r>
          </w:p>
        </w:tc>
      </w:tr>
      <w:tr w:rsidR="00985D6B" w:rsidRPr="00985D6B" w14:paraId="0B0C340C" w14:textId="77777777" w:rsidTr="00483E19">
        <w:trPr>
          <w:trHeight w:val="300"/>
        </w:trPr>
        <w:tc>
          <w:tcPr>
            <w:tcW w:w="1575" w:type="dxa"/>
            <w:tcBorders>
              <w:right w:val="single" w:sz="4" w:space="0" w:color="auto"/>
            </w:tcBorders>
            <w:shd w:val="clear" w:color="auto" w:fill="F2F2F2" w:themeFill="background1" w:themeFillShade="F2"/>
            <w:noWrap/>
            <w:hideMark/>
          </w:tcPr>
          <w:p w14:paraId="6279C90C" w14:textId="77777777" w:rsidR="00985D6B" w:rsidRPr="00985D6B" w:rsidRDefault="00985D6B" w:rsidP="00985D6B">
            <w:pPr>
              <w:pStyle w:val="tabletxt"/>
              <w:rPr>
                <w:szCs w:val="18"/>
              </w:rPr>
            </w:pPr>
            <w:r w:rsidRPr="00985D6B">
              <w:rPr>
                <w:szCs w:val="18"/>
              </w:rPr>
              <w:t>Ličko-senjska</w:t>
            </w:r>
          </w:p>
        </w:tc>
        <w:tc>
          <w:tcPr>
            <w:tcW w:w="1275" w:type="dxa"/>
            <w:tcBorders>
              <w:left w:val="single" w:sz="4" w:space="0" w:color="auto"/>
            </w:tcBorders>
            <w:shd w:val="clear" w:color="auto" w:fill="auto"/>
            <w:noWrap/>
            <w:hideMark/>
          </w:tcPr>
          <w:p w14:paraId="7522C87E" w14:textId="77777777" w:rsidR="00985D6B" w:rsidRPr="00985D6B" w:rsidRDefault="00985D6B" w:rsidP="00985D6B">
            <w:pPr>
              <w:pStyle w:val="tabletxt"/>
              <w:jc w:val="right"/>
              <w:rPr>
                <w:szCs w:val="18"/>
              </w:rPr>
            </w:pPr>
            <w:r w:rsidRPr="00985D6B">
              <w:rPr>
                <w:szCs w:val="18"/>
              </w:rPr>
              <w:t xml:space="preserve"> 2,959,032 </w:t>
            </w:r>
          </w:p>
        </w:tc>
        <w:tc>
          <w:tcPr>
            <w:tcW w:w="993" w:type="dxa"/>
            <w:shd w:val="clear" w:color="auto" w:fill="auto"/>
            <w:noWrap/>
            <w:vAlign w:val="bottom"/>
            <w:hideMark/>
          </w:tcPr>
          <w:p w14:paraId="52729105" w14:textId="77777777" w:rsidR="00985D6B" w:rsidRPr="00985D6B" w:rsidRDefault="00985D6B" w:rsidP="00985D6B">
            <w:pPr>
              <w:pStyle w:val="tabletxt"/>
              <w:jc w:val="center"/>
              <w:rPr>
                <w:szCs w:val="18"/>
              </w:rPr>
            </w:pPr>
            <w:r w:rsidRPr="00985D6B">
              <w:rPr>
                <w:szCs w:val="18"/>
              </w:rPr>
              <w:t>-17.4%</w:t>
            </w:r>
          </w:p>
        </w:tc>
        <w:tc>
          <w:tcPr>
            <w:tcW w:w="992" w:type="dxa"/>
            <w:shd w:val="clear" w:color="auto" w:fill="auto"/>
            <w:noWrap/>
            <w:hideMark/>
          </w:tcPr>
          <w:p w14:paraId="1032416A" w14:textId="77777777" w:rsidR="00985D6B" w:rsidRPr="00985D6B" w:rsidRDefault="00985D6B" w:rsidP="00985D6B">
            <w:pPr>
              <w:pStyle w:val="tabletxt"/>
              <w:jc w:val="right"/>
              <w:rPr>
                <w:szCs w:val="18"/>
              </w:rPr>
            </w:pPr>
            <w:r w:rsidRPr="00985D6B">
              <w:rPr>
                <w:szCs w:val="18"/>
              </w:rPr>
              <w:t xml:space="preserve"> 62,058 </w:t>
            </w:r>
          </w:p>
        </w:tc>
        <w:tc>
          <w:tcPr>
            <w:tcW w:w="992" w:type="dxa"/>
            <w:shd w:val="clear" w:color="auto" w:fill="auto"/>
            <w:noWrap/>
            <w:vAlign w:val="bottom"/>
            <w:hideMark/>
          </w:tcPr>
          <w:p w14:paraId="730435C1" w14:textId="77777777" w:rsidR="00985D6B" w:rsidRPr="00985D6B" w:rsidRDefault="00985D6B" w:rsidP="00985D6B">
            <w:pPr>
              <w:pStyle w:val="tabletxt"/>
              <w:jc w:val="center"/>
              <w:rPr>
                <w:szCs w:val="18"/>
              </w:rPr>
            </w:pPr>
            <w:r w:rsidRPr="00985D6B">
              <w:rPr>
                <w:szCs w:val="18"/>
              </w:rPr>
              <w:t>-8.2%</w:t>
            </w:r>
          </w:p>
        </w:tc>
        <w:tc>
          <w:tcPr>
            <w:tcW w:w="779" w:type="dxa"/>
            <w:shd w:val="clear" w:color="auto" w:fill="auto"/>
            <w:noWrap/>
            <w:vAlign w:val="bottom"/>
            <w:hideMark/>
          </w:tcPr>
          <w:p w14:paraId="038F1A70" w14:textId="77777777" w:rsidR="00985D6B" w:rsidRPr="00985D6B" w:rsidRDefault="00985D6B" w:rsidP="00985D6B">
            <w:pPr>
              <w:pStyle w:val="tabletxt"/>
              <w:jc w:val="center"/>
              <w:rPr>
                <w:szCs w:val="18"/>
              </w:rPr>
            </w:pPr>
            <w:r w:rsidRPr="00985D6B">
              <w:rPr>
                <w:szCs w:val="18"/>
              </w:rPr>
              <w:t>0.9%</w:t>
            </w:r>
          </w:p>
        </w:tc>
        <w:tc>
          <w:tcPr>
            <w:tcW w:w="780" w:type="dxa"/>
            <w:shd w:val="clear" w:color="auto" w:fill="auto"/>
            <w:noWrap/>
            <w:vAlign w:val="bottom"/>
            <w:hideMark/>
          </w:tcPr>
          <w:p w14:paraId="23F5EEC4" w14:textId="77777777" w:rsidR="00985D6B" w:rsidRPr="00985D6B" w:rsidRDefault="00985D6B" w:rsidP="00985D6B">
            <w:pPr>
              <w:pStyle w:val="tabletxt"/>
              <w:jc w:val="center"/>
              <w:rPr>
                <w:szCs w:val="18"/>
              </w:rPr>
            </w:pPr>
            <w:r w:rsidRPr="00985D6B">
              <w:rPr>
                <w:szCs w:val="18"/>
              </w:rPr>
              <w:t>1.0%</w:t>
            </w:r>
          </w:p>
        </w:tc>
        <w:tc>
          <w:tcPr>
            <w:tcW w:w="1701" w:type="dxa"/>
            <w:shd w:val="clear" w:color="auto" w:fill="auto"/>
            <w:noWrap/>
            <w:vAlign w:val="bottom"/>
            <w:hideMark/>
          </w:tcPr>
          <w:p w14:paraId="184ADCFA" w14:textId="77777777" w:rsidR="00985D6B" w:rsidRPr="00985D6B" w:rsidRDefault="00985D6B" w:rsidP="00985D6B">
            <w:pPr>
              <w:pStyle w:val="tabletxt"/>
              <w:jc w:val="center"/>
              <w:rPr>
                <w:szCs w:val="18"/>
              </w:rPr>
            </w:pPr>
            <w:r w:rsidRPr="00985D6B">
              <w:rPr>
                <w:szCs w:val="18"/>
              </w:rPr>
              <w:t>44</w:t>
            </w:r>
          </w:p>
        </w:tc>
      </w:tr>
    </w:tbl>
    <w:p w14:paraId="71556DE3" w14:textId="6DB30C09" w:rsidR="00FA4878" w:rsidRDefault="00AB2D00" w:rsidP="00626769">
      <w:r>
        <w:t xml:space="preserve">Očekivano, više razvijene županije imaju bolje rezultate kada je u pitanju konkurentnost i dinamika gospodarstva. </w:t>
      </w:r>
    </w:p>
    <w:p w14:paraId="743379CF" w14:textId="2F0CFE0F" w:rsidR="00626769" w:rsidRDefault="00626769" w:rsidP="00626769">
      <w:r>
        <w:t xml:space="preserve">Prema zadnjem dostupnom Izvješću o regionalnoj konkurentnosti </w:t>
      </w:r>
      <w:r w:rsidR="00A865DF">
        <w:t>iz 2013.</w:t>
      </w:r>
      <w:r w:rsidR="005469B5">
        <w:t xml:space="preserve"> godine</w:t>
      </w:r>
      <w:r w:rsidR="00AB2D00">
        <w:rPr>
          <w:rStyle w:val="FootnoteReference"/>
        </w:rPr>
        <w:footnoteReference w:id="10"/>
      </w:r>
      <w:r w:rsidR="00A77093">
        <w:t xml:space="preserve"> koje mjeri tzv. </w:t>
      </w:r>
      <w:r w:rsidR="00A77093" w:rsidRPr="00A77093">
        <w:rPr>
          <w:b/>
        </w:rPr>
        <w:t>regionalni indeks konkurentnosti</w:t>
      </w:r>
      <w:r w:rsidR="00A77093">
        <w:rPr>
          <w:rStyle w:val="FootnoteReference"/>
        </w:rPr>
        <w:footnoteReference w:id="11"/>
      </w:r>
      <w:r w:rsidR="00A77093">
        <w:t xml:space="preserve"> </w:t>
      </w:r>
      <w:r w:rsidR="00A77093" w:rsidRPr="00A77093">
        <w:t xml:space="preserve">konstruiran kombinacijom statističkih i perceptivnih stupova konkurentnosti koji izražavaju kvalitetu poslovnog </w:t>
      </w:r>
      <w:r w:rsidR="00A77093">
        <w:t>okruženja i poslovnog sektora,</w:t>
      </w:r>
      <w:r w:rsidR="00C0547B">
        <w:t xml:space="preserve"> Karlovačka županija je među srednje rangiranim županijama (12. mjesto u 2007. godini, 14. mjesto u 2010.</w:t>
      </w:r>
      <w:r w:rsidR="004771A2">
        <w:t xml:space="preserve"> g.</w:t>
      </w:r>
      <w:r w:rsidR="00C0547B">
        <w:t xml:space="preserve"> te 13. mjesto u 2013.</w:t>
      </w:r>
      <w:r w:rsidR="004771A2">
        <w:t xml:space="preserve"> g.</w:t>
      </w:r>
      <w:r w:rsidR="00C0547B">
        <w:t>)</w:t>
      </w:r>
      <w:r w:rsidR="008931AE">
        <w:t>. Što se tiče pojedinih faktora temeljem kojih se regionalni indeks konkurentnosti izračunava</w:t>
      </w:r>
      <w:r w:rsidR="00064422">
        <w:t xml:space="preserve"> (statistički i perceptivni), Karlovač</w:t>
      </w:r>
      <w:r w:rsidR="008931AE">
        <w:t>ka županija kotira najbolje po</w:t>
      </w:r>
      <w:r w:rsidR="00064422">
        <w:t xml:space="preserve"> </w:t>
      </w:r>
      <w:r w:rsidR="008931AE">
        <w:t xml:space="preserve">pitanju </w:t>
      </w:r>
      <w:r w:rsidR="00064422">
        <w:t xml:space="preserve">obrazovanja, poslovne infrastrukture i razvijenosti poduzetništva, </w:t>
      </w:r>
      <w:r w:rsidR="00192EA4">
        <w:t>dok su vrijednosti perce</w:t>
      </w:r>
      <w:r w:rsidR="00FA4878">
        <w:t xml:space="preserve">ptivnih faktora </w:t>
      </w:r>
      <w:r w:rsidR="004771A2">
        <w:t>bliže</w:t>
      </w:r>
      <w:r w:rsidR="00FA4878">
        <w:t xml:space="preserve"> </w:t>
      </w:r>
      <w:r w:rsidR="004771A2">
        <w:t>nacionalnom</w:t>
      </w:r>
      <w:r w:rsidR="00FA4878">
        <w:t xml:space="preserve"> prosjeku, </w:t>
      </w:r>
      <w:r w:rsidR="00064422">
        <w:t>kako je ilustrirano donjim dijagramima.</w:t>
      </w:r>
    </w:p>
    <w:p w14:paraId="3FF89871" w14:textId="77777777" w:rsidR="00814558" w:rsidRDefault="00814558" w:rsidP="00626769"/>
    <w:p w14:paraId="65389BAB" w14:textId="714402CC" w:rsidR="00A865DF" w:rsidRDefault="004611F7" w:rsidP="004611F7">
      <w:pPr>
        <w:pStyle w:val="Caption"/>
      </w:pPr>
      <w:bookmarkStart w:id="7" w:name="_Toc437387464"/>
      <w:r>
        <w:t xml:space="preserve">Dijagram </w:t>
      </w:r>
      <w:r>
        <w:fldChar w:fldCharType="begin"/>
      </w:r>
      <w:r>
        <w:instrText xml:space="preserve"> SEQ Dijagram \* ARABIC </w:instrText>
      </w:r>
      <w:r>
        <w:fldChar w:fldCharType="separate"/>
      </w:r>
      <w:r w:rsidR="001358A9">
        <w:rPr>
          <w:noProof/>
        </w:rPr>
        <w:t>1</w:t>
      </w:r>
      <w:r>
        <w:fldChar w:fldCharType="end"/>
      </w:r>
      <w:r>
        <w:t xml:space="preserve">. </w:t>
      </w:r>
      <w:r w:rsidR="00FA4878">
        <w:t>Regionalni indeks konkurentnosti Karlovačke županije (2013.)</w:t>
      </w:r>
      <w:bookmarkEnd w:id="7"/>
    </w:p>
    <w:p w14:paraId="115BA794" w14:textId="77777777" w:rsidR="00767B37" w:rsidRDefault="00767B37" w:rsidP="00626769"/>
    <w:p w14:paraId="7E3D4150" w14:textId="0D1A83B6" w:rsidR="003F2458" w:rsidRDefault="003F2458" w:rsidP="00626769">
      <w:r>
        <w:rPr>
          <w:noProof/>
          <w:lang w:val="en-US"/>
        </w:rPr>
        <w:drawing>
          <wp:anchor distT="0" distB="0" distL="114300" distR="114300" simplePos="0" relativeHeight="251660288" behindDoc="0" locked="0" layoutInCell="1" allowOverlap="1" wp14:anchorId="0E6629C2" wp14:editId="759FA9E9">
            <wp:simplePos x="0" y="0"/>
            <wp:positionH relativeFrom="column">
              <wp:posOffset>-228600</wp:posOffset>
            </wp:positionH>
            <wp:positionV relativeFrom="paragraph">
              <wp:posOffset>0</wp:posOffset>
            </wp:positionV>
            <wp:extent cx="3088005" cy="2313940"/>
            <wp:effectExtent l="0" t="0" r="1079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x-konkurentnosti-a.png"/>
                    <pic:cNvPicPr/>
                  </pic:nvPicPr>
                  <pic:blipFill>
                    <a:blip r:embed="rId19">
                      <a:extLst>
                        <a:ext uri="{28A0092B-C50C-407E-A947-70E740481C1C}">
                          <a14:useLocalDpi xmlns:a14="http://schemas.microsoft.com/office/drawing/2010/main" val="0"/>
                        </a:ext>
                      </a:extLst>
                    </a:blip>
                    <a:stretch>
                      <a:fillRect/>
                    </a:stretch>
                  </pic:blipFill>
                  <pic:spPr>
                    <a:xfrm>
                      <a:off x="0" y="0"/>
                      <a:ext cx="3088005" cy="231394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4D3BA3B3" wp14:editId="3614B99C">
            <wp:extent cx="3241087" cy="2288328"/>
            <wp:effectExtent l="0" t="0" r="1016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x-konkurentnosti-b.png"/>
                    <pic:cNvPicPr/>
                  </pic:nvPicPr>
                  <pic:blipFill>
                    <a:blip r:embed="rId20">
                      <a:extLst>
                        <a:ext uri="{28A0092B-C50C-407E-A947-70E740481C1C}">
                          <a14:useLocalDpi xmlns:a14="http://schemas.microsoft.com/office/drawing/2010/main" val="0"/>
                        </a:ext>
                      </a:extLst>
                    </a:blip>
                    <a:stretch>
                      <a:fillRect/>
                    </a:stretch>
                  </pic:blipFill>
                  <pic:spPr>
                    <a:xfrm>
                      <a:off x="0" y="0"/>
                      <a:ext cx="3244004" cy="2290388"/>
                    </a:xfrm>
                    <a:prstGeom prst="rect">
                      <a:avLst/>
                    </a:prstGeom>
                  </pic:spPr>
                </pic:pic>
              </a:graphicData>
            </a:graphic>
          </wp:inline>
        </w:drawing>
      </w:r>
    </w:p>
    <w:p w14:paraId="5303485B" w14:textId="2D98C893" w:rsidR="003F2458" w:rsidRDefault="003F2458" w:rsidP="00626769">
      <w:r>
        <w:rPr>
          <w:noProof/>
          <w:lang w:val="en-US"/>
        </w:rPr>
        <w:drawing>
          <wp:inline distT="0" distB="0" distL="0" distR="0" wp14:anchorId="595370BD" wp14:editId="48CAFD33">
            <wp:extent cx="1259628" cy="419876"/>
            <wp:effectExtent l="0" t="0" r="1079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x-konkurentnosti-ab.png"/>
                    <pic:cNvPicPr/>
                  </pic:nvPicPr>
                  <pic:blipFill>
                    <a:blip r:embed="rId21">
                      <a:extLst>
                        <a:ext uri="{28A0092B-C50C-407E-A947-70E740481C1C}">
                          <a14:useLocalDpi xmlns:a14="http://schemas.microsoft.com/office/drawing/2010/main" val="0"/>
                        </a:ext>
                      </a:extLst>
                    </a:blip>
                    <a:stretch>
                      <a:fillRect/>
                    </a:stretch>
                  </pic:blipFill>
                  <pic:spPr>
                    <a:xfrm>
                      <a:off x="0" y="0"/>
                      <a:ext cx="1259961" cy="419987"/>
                    </a:xfrm>
                    <a:prstGeom prst="rect">
                      <a:avLst/>
                    </a:prstGeom>
                  </pic:spPr>
                </pic:pic>
              </a:graphicData>
            </a:graphic>
          </wp:inline>
        </w:drawing>
      </w:r>
    </w:p>
    <w:p w14:paraId="067B528B" w14:textId="097FCEDE" w:rsidR="00814558" w:rsidRDefault="00814558" w:rsidP="00814558">
      <w:pPr>
        <w:pStyle w:val="Izvor"/>
      </w:pPr>
      <w:r>
        <w:t>Izvor: Nacionalno vijeće za konkurentnost</w:t>
      </w:r>
    </w:p>
    <w:p w14:paraId="200E82FA" w14:textId="3659FEB2" w:rsidR="005F6B6B" w:rsidRDefault="000B6281" w:rsidP="005F6B6B">
      <w:r>
        <w:lastRenderedPageBreak/>
        <w:t xml:space="preserve">Što se tiče </w:t>
      </w:r>
      <w:r w:rsidRPr="00F0468B">
        <w:rPr>
          <w:b/>
        </w:rPr>
        <w:t>pokazatelja</w:t>
      </w:r>
      <w:r>
        <w:t xml:space="preserve"> </w:t>
      </w:r>
      <w:r w:rsidRPr="00F0468B">
        <w:rPr>
          <w:b/>
        </w:rPr>
        <w:t>socijalne depriviranosti područja, ocjena siromaštva</w:t>
      </w:r>
      <w:r>
        <w:t xml:space="preserve"> za mala područja (</w:t>
      </w:r>
      <w:r w:rsidRPr="008B48B0">
        <w:rPr>
          <w:i/>
        </w:rPr>
        <w:t>'poverty mapping'</w:t>
      </w:r>
      <w:r>
        <w:t>)</w:t>
      </w:r>
      <w:r>
        <w:rPr>
          <w:rStyle w:val="FootnoteReference"/>
        </w:rPr>
        <w:footnoteReference w:id="12"/>
      </w:r>
      <w:r>
        <w:t xml:space="preserve"> čiji su prvi rezultati </w:t>
      </w:r>
      <w:r w:rsidR="00626769">
        <w:t>objavljeni krajem 2016. godine</w:t>
      </w:r>
      <w:r>
        <w:t xml:space="preserve"> utvrdila je </w:t>
      </w:r>
      <w:r w:rsidR="005F6B6B">
        <w:t xml:space="preserve">da na </w:t>
      </w:r>
      <w:r w:rsidR="005F6B6B" w:rsidRPr="00A24C05">
        <w:rPr>
          <w:i/>
        </w:rPr>
        <w:t>regionalnoj razini</w:t>
      </w:r>
      <w:r w:rsidR="005F6B6B">
        <w:t xml:space="preserve"> područj</w:t>
      </w:r>
      <w:r w:rsidR="005F6B6B" w:rsidRPr="007B693F">
        <w:t xml:space="preserve">e Središnje i istočne Hrvatske ima najviše razine siromaštva </w:t>
      </w:r>
      <w:r w:rsidR="004771A2">
        <w:t>gdje</w:t>
      </w:r>
      <w:r w:rsidR="005F6B6B" w:rsidRPr="007B693F">
        <w:t xml:space="preserve"> je stopa siromaštva značajno viša nego u druga dva područja</w:t>
      </w:r>
      <w:r w:rsidR="005F6B6B">
        <w:t xml:space="preserve"> – čak</w:t>
      </w:r>
      <w:r w:rsidR="005F6B6B" w:rsidRPr="007B693F">
        <w:t xml:space="preserve"> </w:t>
      </w:r>
      <w:r w:rsidR="005F6B6B" w:rsidRPr="00694B4C">
        <w:rPr>
          <w:b/>
        </w:rPr>
        <w:t>30,5%</w:t>
      </w:r>
      <w:r w:rsidR="005F6B6B">
        <w:t xml:space="preserve"> osoba je u riziku od siromaštva</w:t>
      </w:r>
      <w:r w:rsidR="005F6B6B" w:rsidRPr="007B693F">
        <w:t xml:space="preserve"> u odnosu na </w:t>
      </w:r>
      <w:r w:rsidR="005F6B6B">
        <w:t>11,1% u Sjeverozapadnoj, odnosno 12,6% u Jadranskoj</w:t>
      </w:r>
      <w:r w:rsidR="005F6B6B" w:rsidRPr="007B693F">
        <w:t xml:space="preserve"> Hrvatsk</w:t>
      </w:r>
      <w:r w:rsidR="005F6B6B">
        <w:t xml:space="preserve">oj. </w:t>
      </w:r>
    </w:p>
    <w:p w14:paraId="2AEE462E" w14:textId="77777777" w:rsidR="00D404BE" w:rsidRDefault="00D404BE" w:rsidP="005F6B6B"/>
    <w:p w14:paraId="6FDFF5AD" w14:textId="77777777" w:rsidR="00CF607C" w:rsidRDefault="004611F7" w:rsidP="00CF607C">
      <w:pPr>
        <w:pStyle w:val="Caption"/>
      </w:pPr>
      <w:bookmarkStart w:id="8" w:name="_Toc437387457"/>
      <w:r>
        <w:t xml:space="preserve">Slika </w:t>
      </w:r>
      <w:r>
        <w:fldChar w:fldCharType="begin"/>
      </w:r>
      <w:r>
        <w:instrText xml:space="preserve"> SEQ Slika \* ARABIC </w:instrText>
      </w:r>
      <w:r>
        <w:fldChar w:fldCharType="separate"/>
      </w:r>
      <w:r w:rsidR="001358A9">
        <w:rPr>
          <w:noProof/>
        </w:rPr>
        <w:t>1</w:t>
      </w:r>
      <w:r>
        <w:fldChar w:fldCharType="end"/>
      </w:r>
      <w:r w:rsidR="00767B37">
        <w:t>. Mape siromaštva na razini NUTS3 i na razini JLS</w:t>
      </w:r>
      <w:r w:rsidR="00767B37">
        <w:rPr>
          <w:rStyle w:val="FootnoteReference"/>
        </w:rPr>
        <w:footnoteReference w:id="13"/>
      </w:r>
      <w:bookmarkEnd w:id="8"/>
    </w:p>
    <w:p w14:paraId="2CECFE92" w14:textId="7DE0CF2D" w:rsidR="00814558" w:rsidRDefault="00FC1437" w:rsidP="00CF607C">
      <w:pPr>
        <w:pStyle w:val="Caption"/>
      </w:pPr>
      <w:r>
        <w:rPr>
          <w:noProof/>
          <w:lang w:val="en-US"/>
        </w:rPr>
        <w:drawing>
          <wp:anchor distT="0" distB="0" distL="114300" distR="114300" simplePos="0" relativeHeight="251662336" behindDoc="0" locked="0" layoutInCell="1" allowOverlap="1" wp14:anchorId="1FA56186" wp14:editId="3E494A4D">
            <wp:simplePos x="0" y="0"/>
            <wp:positionH relativeFrom="column">
              <wp:posOffset>-635</wp:posOffset>
            </wp:positionH>
            <wp:positionV relativeFrom="paragraph">
              <wp:posOffset>181610</wp:posOffset>
            </wp:positionV>
            <wp:extent cx="2746375" cy="2664460"/>
            <wp:effectExtent l="0" t="0" r="0" b="254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a 2.jp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2746375" cy="2664460"/>
                    </a:xfrm>
                    <a:prstGeom prst="rect">
                      <a:avLst/>
                    </a:prstGeom>
                    <a:ln w="6350">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5408" behindDoc="0" locked="0" layoutInCell="1" allowOverlap="1" wp14:anchorId="5DADA646" wp14:editId="7EF7894C">
            <wp:simplePos x="0" y="0"/>
            <wp:positionH relativeFrom="column">
              <wp:posOffset>2971800</wp:posOffset>
            </wp:positionH>
            <wp:positionV relativeFrom="paragraph">
              <wp:posOffset>181610</wp:posOffset>
            </wp:positionV>
            <wp:extent cx="2745105" cy="264731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a 1.jpg"/>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2745105" cy="2647315"/>
                    </a:xfrm>
                    <a:prstGeom prst="rect">
                      <a:avLst/>
                    </a:prstGeom>
                    <a:ln w="63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9702AF" w14:textId="77777777" w:rsidR="00814558" w:rsidRDefault="00814558" w:rsidP="00814558">
      <w:pPr>
        <w:spacing w:before="0" w:after="0"/>
      </w:pPr>
    </w:p>
    <w:p w14:paraId="4FCE5F2E" w14:textId="1AEF04C7" w:rsidR="005F6B6B" w:rsidRPr="007B693F" w:rsidRDefault="00814558" w:rsidP="00814558">
      <w:pPr>
        <w:pStyle w:val="Izvor"/>
      </w:pPr>
      <w:r>
        <w:t>Izvor: MRRFEU</w:t>
      </w:r>
    </w:p>
    <w:p w14:paraId="45AFB780" w14:textId="583EB77F" w:rsidR="005F6B6B" w:rsidRDefault="005F6B6B" w:rsidP="005F6B6B">
      <w:r>
        <w:t xml:space="preserve">Na </w:t>
      </w:r>
      <w:r w:rsidRPr="00694B4C">
        <w:t>razini općina</w:t>
      </w:r>
      <w:r>
        <w:t xml:space="preserve"> </w:t>
      </w:r>
      <w:r w:rsidRPr="00694B4C">
        <w:t>/</w:t>
      </w:r>
      <w:r>
        <w:t xml:space="preserve"> </w:t>
      </w:r>
      <w:r w:rsidRPr="00694B4C">
        <w:t>gradova</w:t>
      </w:r>
      <w:r>
        <w:t xml:space="preserve"> </w:t>
      </w:r>
      <w:r w:rsidRPr="00694B4C">
        <w:t>/</w:t>
      </w:r>
      <w:r>
        <w:t xml:space="preserve"> </w:t>
      </w:r>
      <w:r w:rsidRPr="00694B4C">
        <w:t>gradskih četvrti Grada Zagreba, mogu se vidjeti</w:t>
      </w:r>
      <w:r w:rsidR="00FC1437">
        <w:t xml:space="preserve"> prostorne jedinice s nešto nižom</w:t>
      </w:r>
      <w:r w:rsidRPr="00694B4C">
        <w:t xml:space="preserve"> razinom siromaštva od okruženja</w:t>
      </w:r>
      <w:r w:rsidR="00FC1437">
        <w:t>, pa tako na području Karlovačke županije odskaču grad Karlovac i općina Generalski Stol</w:t>
      </w:r>
      <w:r w:rsidRPr="00694B4C">
        <w:t xml:space="preserve">. </w:t>
      </w:r>
      <w:r w:rsidR="00FC1437">
        <w:t>Stopa</w:t>
      </w:r>
      <w:r w:rsidR="00BA42CF">
        <w:t xml:space="preserve"> siromaštva </w:t>
      </w:r>
      <w:r w:rsidR="00FC1437">
        <w:t xml:space="preserve">na području VUPKA iznosi </w:t>
      </w:r>
      <w:r>
        <w:t xml:space="preserve">od </w:t>
      </w:r>
      <w:r w:rsidRPr="00DC2BB7">
        <w:rPr>
          <w:b/>
        </w:rPr>
        <w:t xml:space="preserve">21.3 do </w:t>
      </w:r>
      <w:r w:rsidR="00BA42CF">
        <w:rPr>
          <w:b/>
        </w:rPr>
        <w:t xml:space="preserve">42.5% </w:t>
      </w:r>
      <w:r w:rsidR="00BA42CF" w:rsidRPr="00BA42CF">
        <w:t>(procjena temeljem potrošnje s linijom siromaštva od HRK 23.918,62), odnosno</w:t>
      </w:r>
      <w:r w:rsidR="00BA42CF">
        <w:rPr>
          <w:b/>
        </w:rPr>
        <w:t xml:space="preserve"> 14.2 do 28.1% </w:t>
      </w:r>
      <w:r w:rsidR="00BA42CF" w:rsidRPr="00BA42CF">
        <w:t>(procjena dohodovnog siromaštva s linijom siromaštva od 24.000,00 HRK).</w:t>
      </w:r>
    </w:p>
    <w:p w14:paraId="77CE9CF9" w14:textId="74E78A08" w:rsidR="00BC2D60" w:rsidRDefault="00B54E97" w:rsidP="00B54E97">
      <w:r w:rsidRPr="00786429">
        <w:rPr>
          <w:b/>
        </w:rPr>
        <w:t xml:space="preserve">Urbani sustav područja </w:t>
      </w:r>
      <w:r w:rsidR="00786429">
        <w:rPr>
          <w:b/>
        </w:rPr>
        <w:t xml:space="preserve">VUPKA </w:t>
      </w:r>
      <w:r w:rsidRPr="00786429">
        <w:rPr>
          <w:b/>
        </w:rPr>
        <w:t>ima asimetrična hijerarhijska i prostorna obilježja</w:t>
      </w:r>
      <w:r>
        <w:t>, tipična i za Hrvatsku u cjelini - i</w:t>
      </w:r>
      <w:r w:rsidRPr="003F0585">
        <w:t xml:space="preserve">ako četvrtina stanovnika </w:t>
      </w:r>
      <w:r>
        <w:t xml:space="preserve">RH </w:t>
      </w:r>
      <w:r w:rsidRPr="003F0585">
        <w:t>živi u četiri najveća gradska naselja</w:t>
      </w:r>
      <w:r>
        <w:t xml:space="preserve"> (Zagreb, Rijeka, Split i Osijek)</w:t>
      </w:r>
      <w:r w:rsidRPr="003F0585">
        <w:t xml:space="preserve">, brojem se ističu mali gradovi, a </w:t>
      </w:r>
      <w:r>
        <w:t>patuljasta naselja (ona s manje od 100 stanovnika) dominiraju u brdsko-planinskom području, kao npr</w:t>
      </w:r>
      <w:r w:rsidR="004771A2">
        <w:t>. na području Grada Ozlja. Ovaj</w:t>
      </w:r>
      <w:r>
        <w:t xml:space="preserve"> sjeverni dio VUPKA ističe se ne samo po velikom broju naselja, već i po izrazito maloj gustoći stanovnika u odnosu na Karlovac i Dugu Resu, kako je ilustrirano donjom tablicom.</w:t>
      </w:r>
    </w:p>
    <w:p w14:paraId="12071E04" w14:textId="77777777" w:rsidR="00D404BE" w:rsidRDefault="00D404BE" w:rsidP="00B54E97"/>
    <w:p w14:paraId="66010FF4" w14:textId="761FBC36" w:rsidR="00B54E97" w:rsidRDefault="004611F7" w:rsidP="004611F7">
      <w:pPr>
        <w:pStyle w:val="Caption"/>
      </w:pPr>
      <w:bookmarkStart w:id="9" w:name="_Toc437387477"/>
      <w:r>
        <w:t xml:space="preserve">Tablica </w:t>
      </w:r>
      <w:r>
        <w:fldChar w:fldCharType="begin"/>
      </w:r>
      <w:r>
        <w:instrText xml:space="preserve"> SEQ Tablica \* ARABIC </w:instrText>
      </w:r>
      <w:r>
        <w:fldChar w:fldCharType="separate"/>
      </w:r>
      <w:r w:rsidR="001358A9">
        <w:rPr>
          <w:noProof/>
        </w:rPr>
        <w:t>4</w:t>
      </w:r>
      <w:r>
        <w:fldChar w:fldCharType="end"/>
      </w:r>
      <w:r w:rsidR="00B54E97">
        <w:t>. Broj naselja, gustoća</w:t>
      </w:r>
      <w:r w:rsidR="00786429">
        <w:t xml:space="preserve"> stanovnika</w:t>
      </w:r>
      <w:r w:rsidR="00B54E97">
        <w:t xml:space="preserve"> i površina VUPKA</w:t>
      </w:r>
      <w:bookmarkEnd w:id="9"/>
    </w:p>
    <w:tbl>
      <w:tblPr>
        <w:tblW w:w="9209" w:type="dxa"/>
        <w:tblInd w:w="93" w:type="dxa"/>
        <w:tblLayout w:type="fixed"/>
        <w:tblLook w:val="04A0" w:firstRow="1" w:lastRow="0" w:firstColumn="1" w:lastColumn="0" w:noHBand="0" w:noVBand="1"/>
      </w:tblPr>
      <w:tblGrid>
        <w:gridCol w:w="1433"/>
        <w:gridCol w:w="1134"/>
        <w:gridCol w:w="2415"/>
        <w:gridCol w:w="1004"/>
        <w:gridCol w:w="1967"/>
        <w:gridCol w:w="1256"/>
      </w:tblGrid>
      <w:tr w:rsidR="00B54E97" w:rsidRPr="008348DE" w14:paraId="6538BEA7" w14:textId="77777777" w:rsidTr="00D404BE">
        <w:trPr>
          <w:trHeight w:val="341"/>
        </w:trPr>
        <w:tc>
          <w:tcPr>
            <w:tcW w:w="1433" w:type="dxa"/>
            <w:tcBorders>
              <w:top w:val="single" w:sz="4" w:space="0" w:color="auto"/>
              <w:left w:val="single" w:sz="4" w:space="0" w:color="auto"/>
              <w:bottom w:val="nil"/>
              <w:right w:val="nil"/>
            </w:tcBorders>
            <w:shd w:val="clear" w:color="000000" w:fill="C6D9F1" w:themeFill="text2" w:themeFillTint="33"/>
            <w:noWrap/>
            <w:vAlign w:val="bottom"/>
            <w:hideMark/>
          </w:tcPr>
          <w:p w14:paraId="51CDF5AE" w14:textId="77777777" w:rsidR="00B54E97" w:rsidRPr="008348DE" w:rsidRDefault="00B54E97" w:rsidP="00D404BE">
            <w:pPr>
              <w:pStyle w:val="tabletxt"/>
              <w:spacing w:before="0" w:after="0"/>
              <w:rPr>
                <w:szCs w:val="18"/>
              </w:rPr>
            </w:pPr>
            <w:r w:rsidRPr="008348DE">
              <w:rPr>
                <w:szCs w:val="18"/>
              </w:rPr>
              <w:t> </w:t>
            </w:r>
          </w:p>
        </w:tc>
        <w:tc>
          <w:tcPr>
            <w:tcW w:w="1134" w:type="dxa"/>
            <w:vMerge w:val="restart"/>
            <w:tcBorders>
              <w:top w:val="single" w:sz="4" w:space="0" w:color="auto"/>
              <w:left w:val="nil"/>
              <w:bottom w:val="double" w:sz="6" w:space="0" w:color="000000"/>
              <w:right w:val="single" w:sz="4" w:space="0" w:color="auto"/>
            </w:tcBorders>
            <w:shd w:val="clear" w:color="000000" w:fill="C6D9F1" w:themeFill="text2" w:themeFillTint="33"/>
            <w:noWrap/>
            <w:vAlign w:val="center"/>
            <w:hideMark/>
          </w:tcPr>
          <w:p w14:paraId="6556FF95" w14:textId="79DE557E" w:rsidR="00B54E97" w:rsidRPr="008348DE" w:rsidRDefault="00B54E97" w:rsidP="00D404BE">
            <w:pPr>
              <w:pStyle w:val="tabletxt"/>
              <w:spacing w:before="0" w:after="0"/>
              <w:jc w:val="left"/>
              <w:rPr>
                <w:b/>
                <w:bCs/>
                <w:szCs w:val="18"/>
              </w:rPr>
            </w:pPr>
            <w:r w:rsidRPr="008348DE">
              <w:rPr>
                <w:b/>
                <w:bCs/>
                <w:szCs w:val="18"/>
              </w:rPr>
              <w:t>Br.</w:t>
            </w:r>
            <w:r w:rsidR="00192EA4">
              <w:rPr>
                <w:b/>
                <w:bCs/>
                <w:szCs w:val="18"/>
              </w:rPr>
              <w:t xml:space="preserve"> </w:t>
            </w:r>
            <w:r w:rsidRPr="008348DE">
              <w:rPr>
                <w:b/>
                <w:bCs/>
                <w:szCs w:val="18"/>
              </w:rPr>
              <w:t>naselja</w:t>
            </w:r>
          </w:p>
        </w:tc>
        <w:tc>
          <w:tcPr>
            <w:tcW w:w="3419" w:type="dxa"/>
            <w:gridSpan w:val="2"/>
            <w:tcBorders>
              <w:top w:val="single" w:sz="4" w:space="0" w:color="auto"/>
              <w:left w:val="single" w:sz="4" w:space="0" w:color="auto"/>
              <w:bottom w:val="nil"/>
              <w:right w:val="single" w:sz="4" w:space="0" w:color="auto"/>
            </w:tcBorders>
            <w:shd w:val="clear" w:color="000000" w:fill="C6D9F1" w:themeFill="text2" w:themeFillTint="33"/>
            <w:noWrap/>
            <w:vAlign w:val="bottom"/>
            <w:hideMark/>
          </w:tcPr>
          <w:p w14:paraId="5597DC22" w14:textId="77777777" w:rsidR="00B54E97" w:rsidRPr="008348DE" w:rsidRDefault="00B54E97" w:rsidP="00D404BE">
            <w:pPr>
              <w:pStyle w:val="tabletxt"/>
              <w:spacing w:before="0" w:after="0"/>
              <w:jc w:val="center"/>
              <w:rPr>
                <w:b/>
                <w:bCs/>
                <w:szCs w:val="18"/>
              </w:rPr>
            </w:pPr>
            <w:r>
              <w:rPr>
                <w:b/>
                <w:bCs/>
                <w:szCs w:val="18"/>
              </w:rPr>
              <w:t>Br. s</w:t>
            </w:r>
            <w:r w:rsidRPr="008348DE">
              <w:rPr>
                <w:b/>
                <w:bCs/>
                <w:szCs w:val="18"/>
              </w:rPr>
              <w:t>tanovnika u centralnom naselju</w:t>
            </w:r>
          </w:p>
        </w:tc>
        <w:tc>
          <w:tcPr>
            <w:tcW w:w="1967" w:type="dxa"/>
            <w:vMerge w:val="restart"/>
            <w:tcBorders>
              <w:top w:val="single" w:sz="4" w:space="0" w:color="auto"/>
              <w:left w:val="nil"/>
              <w:bottom w:val="double" w:sz="6" w:space="0" w:color="000000"/>
              <w:right w:val="single" w:sz="4" w:space="0" w:color="auto"/>
            </w:tcBorders>
            <w:shd w:val="clear" w:color="000000" w:fill="C6D9F1" w:themeFill="text2" w:themeFillTint="33"/>
            <w:vAlign w:val="center"/>
            <w:hideMark/>
          </w:tcPr>
          <w:p w14:paraId="3DE4D87F" w14:textId="77777777" w:rsidR="00B54E97" w:rsidRPr="008348DE" w:rsidRDefault="00B54E97" w:rsidP="00D404BE">
            <w:pPr>
              <w:pStyle w:val="tabletxt"/>
              <w:spacing w:before="0" w:after="0"/>
              <w:jc w:val="left"/>
              <w:rPr>
                <w:b/>
                <w:bCs/>
                <w:szCs w:val="18"/>
              </w:rPr>
            </w:pPr>
            <w:r w:rsidRPr="008348DE">
              <w:rPr>
                <w:b/>
                <w:bCs/>
                <w:szCs w:val="18"/>
              </w:rPr>
              <w:t>Gustoća stanovnika</w:t>
            </w:r>
          </w:p>
        </w:tc>
        <w:tc>
          <w:tcPr>
            <w:tcW w:w="1256" w:type="dxa"/>
            <w:vMerge w:val="restart"/>
            <w:tcBorders>
              <w:top w:val="single" w:sz="4" w:space="0" w:color="auto"/>
              <w:left w:val="nil"/>
              <w:right w:val="single" w:sz="4" w:space="0" w:color="auto"/>
            </w:tcBorders>
            <w:shd w:val="clear" w:color="000000" w:fill="C6D9F1" w:themeFill="text2" w:themeFillTint="33"/>
            <w:vAlign w:val="center"/>
          </w:tcPr>
          <w:p w14:paraId="0F52594E" w14:textId="77777777" w:rsidR="00B54E97" w:rsidRPr="008348DE" w:rsidRDefault="00B54E97" w:rsidP="00D404BE">
            <w:pPr>
              <w:pStyle w:val="tabletxt"/>
              <w:spacing w:before="0" w:after="0"/>
              <w:jc w:val="left"/>
              <w:rPr>
                <w:b/>
                <w:bCs/>
                <w:szCs w:val="18"/>
              </w:rPr>
            </w:pPr>
            <w:r>
              <w:rPr>
                <w:b/>
                <w:bCs/>
                <w:szCs w:val="18"/>
              </w:rPr>
              <w:t>Površina (km</w:t>
            </w:r>
            <w:r w:rsidRPr="008348DE">
              <w:rPr>
                <w:b/>
                <w:bCs/>
                <w:szCs w:val="18"/>
                <w:vertAlign w:val="superscript"/>
              </w:rPr>
              <w:t>2</w:t>
            </w:r>
            <w:r>
              <w:rPr>
                <w:b/>
                <w:bCs/>
                <w:szCs w:val="18"/>
              </w:rPr>
              <w:t>)</w:t>
            </w:r>
          </w:p>
        </w:tc>
      </w:tr>
      <w:tr w:rsidR="00B54E97" w:rsidRPr="008348DE" w14:paraId="3F663679" w14:textId="77777777" w:rsidTr="00D404BE">
        <w:trPr>
          <w:trHeight w:val="97"/>
        </w:trPr>
        <w:tc>
          <w:tcPr>
            <w:tcW w:w="1433" w:type="dxa"/>
            <w:tcBorders>
              <w:top w:val="nil"/>
              <w:left w:val="single" w:sz="4" w:space="0" w:color="auto"/>
              <w:bottom w:val="double" w:sz="6" w:space="0" w:color="auto"/>
              <w:right w:val="nil"/>
            </w:tcBorders>
            <w:shd w:val="clear" w:color="auto" w:fill="C6D9F1" w:themeFill="text2" w:themeFillTint="33"/>
            <w:noWrap/>
            <w:vAlign w:val="bottom"/>
            <w:hideMark/>
          </w:tcPr>
          <w:p w14:paraId="4CF70B25" w14:textId="77777777" w:rsidR="00B54E97" w:rsidRPr="008348DE" w:rsidRDefault="00B54E97" w:rsidP="00D404BE">
            <w:pPr>
              <w:pStyle w:val="tabletxt"/>
              <w:spacing w:before="0" w:after="0"/>
              <w:rPr>
                <w:szCs w:val="18"/>
              </w:rPr>
            </w:pPr>
            <w:r w:rsidRPr="008348DE">
              <w:rPr>
                <w:szCs w:val="18"/>
              </w:rPr>
              <w:t> </w:t>
            </w:r>
          </w:p>
        </w:tc>
        <w:tc>
          <w:tcPr>
            <w:tcW w:w="1134" w:type="dxa"/>
            <w:vMerge/>
            <w:tcBorders>
              <w:top w:val="single" w:sz="4" w:space="0" w:color="auto"/>
              <w:left w:val="nil"/>
              <w:bottom w:val="double" w:sz="6" w:space="0" w:color="000000"/>
              <w:right w:val="single" w:sz="4" w:space="0" w:color="auto"/>
            </w:tcBorders>
            <w:shd w:val="clear" w:color="auto" w:fill="C6D9F1" w:themeFill="text2" w:themeFillTint="33"/>
            <w:vAlign w:val="center"/>
            <w:hideMark/>
          </w:tcPr>
          <w:p w14:paraId="3C737BA9" w14:textId="77777777" w:rsidR="00B54E97" w:rsidRPr="008348DE" w:rsidRDefault="00B54E97" w:rsidP="00D404BE">
            <w:pPr>
              <w:pStyle w:val="tabletxt"/>
              <w:spacing w:before="0" w:after="0"/>
              <w:rPr>
                <w:b/>
                <w:bCs/>
                <w:szCs w:val="18"/>
              </w:rPr>
            </w:pPr>
          </w:p>
        </w:tc>
        <w:tc>
          <w:tcPr>
            <w:tcW w:w="2415" w:type="dxa"/>
            <w:tcBorders>
              <w:top w:val="nil"/>
              <w:left w:val="single" w:sz="4" w:space="0" w:color="auto"/>
              <w:bottom w:val="double" w:sz="6" w:space="0" w:color="auto"/>
              <w:right w:val="nil"/>
            </w:tcBorders>
            <w:shd w:val="clear" w:color="auto" w:fill="C6D9F1" w:themeFill="text2" w:themeFillTint="33"/>
            <w:noWrap/>
            <w:vAlign w:val="bottom"/>
            <w:hideMark/>
          </w:tcPr>
          <w:p w14:paraId="355BC77B" w14:textId="77777777" w:rsidR="00B54E97" w:rsidRPr="008348DE" w:rsidRDefault="00B54E97" w:rsidP="00D404BE">
            <w:pPr>
              <w:pStyle w:val="tabletxt"/>
              <w:spacing w:before="0" w:after="0"/>
              <w:jc w:val="center"/>
              <w:rPr>
                <w:b/>
                <w:bCs/>
                <w:szCs w:val="18"/>
              </w:rPr>
            </w:pPr>
            <w:r w:rsidRPr="008348DE">
              <w:rPr>
                <w:b/>
                <w:bCs/>
                <w:szCs w:val="18"/>
              </w:rPr>
              <w:t>broj</w:t>
            </w:r>
          </w:p>
        </w:tc>
        <w:tc>
          <w:tcPr>
            <w:tcW w:w="1004" w:type="dxa"/>
            <w:tcBorders>
              <w:top w:val="nil"/>
              <w:left w:val="nil"/>
              <w:bottom w:val="double" w:sz="6" w:space="0" w:color="auto"/>
              <w:right w:val="single" w:sz="4" w:space="0" w:color="auto"/>
            </w:tcBorders>
            <w:shd w:val="clear" w:color="auto" w:fill="C6D9F1" w:themeFill="text2" w:themeFillTint="33"/>
            <w:noWrap/>
            <w:vAlign w:val="bottom"/>
            <w:hideMark/>
          </w:tcPr>
          <w:p w14:paraId="1D007F4B" w14:textId="77777777" w:rsidR="00B54E97" w:rsidRPr="008348DE" w:rsidRDefault="00B54E97" w:rsidP="00D404BE">
            <w:pPr>
              <w:pStyle w:val="tabletxt"/>
              <w:spacing w:before="0" w:after="0"/>
              <w:jc w:val="center"/>
              <w:rPr>
                <w:b/>
                <w:bCs/>
                <w:szCs w:val="18"/>
              </w:rPr>
            </w:pPr>
            <w:r w:rsidRPr="008348DE">
              <w:rPr>
                <w:b/>
                <w:bCs/>
                <w:szCs w:val="18"/>
              </w:rPr>
              <w:t>%</w:t>
            </w:r>
          </w:p>
        </w:tc>
        <w:tc>
          <w:tcPr>
            <w:tcW w:w="1967" w:type="dxa"/>
            <w:vMerge/>
            <w:tcBorders>
              <w:top w:val="single" w:sz="4" w:space="0" w:color="auto"/>
              <w:left w:val="nil"/>
              <w:bottom w:val="double" w:sz="6" w:space="0" w:color="000000"/>
              <w:right w:val="single" w:sz="4" w:space="0" w:color="auto"/>
            </w:tcBorders>
            <w:shd w:val="clear" w:color="auto" w:fill="C6D9F1" w:themeFill="text2" w:themeFillTint="33"/>
            <w:vAlign w:val="center"/>
            <w:hideMark/>
          </w:tcPr>
          <w:p w14:paraId="37203045" w14:textId="77777777" w:rsidR="00B54E97" w:rsidRPr="008348DE" w:rsidRDefault="00B54E97" w:rsidP="00D404BE">
            <w:pPr>
              <w:pStyle w:val="tabletxt"/>
              <w:spacing w:before="0" w:after="0"/>
              <w:jc w:val="center"/>
              <w:rPr>
                <w:b/>
                <w:bCs/>
                <w:szCs w:val="18"/>
              </w:rPr>
            </w:pPr>
          </w:p>
        </w:tc>
        <w:tc>
          <w:tcPr>
            <w:tcW w:w="1256" w:type="dxa"/>
            <w:vMerge/>
            <w:tcBorders>
              <w:left w:val="nil"/>
              <w:bottom w:val="double" w:sz="6" w:space="0" w:color="000000"/>
              <w:right w:val="single" w:sz="4" w:space="0" w:color="auto"/>
            </w:tcBorders>
            <w:shd w:val="clear" w:color="auto" w:fill="C6D9F1" w:themeFill="text2" w:themeFillTint="33"/>
          </w:tcPr>
          <w:p w14:paraId="68E8A09B" w14:textId="77777777" w:rsidR="00B54E97" w:rsidRPr="008348DE" w:rsidRDefault="00B54E97" w:rsidP="00D404BE">
            <w:pPr>
              <w:pStyle w:val="tabletxt"/>
              <w:spacing w:before="0" w:after="0"/>
              <w:jc w:val="center"/>
              <w:rPr>
                <w:b/>
                <w:bCs/>
                <w:szCs w:val="18"/>
              </w:rPr>
            </w:pPr>
          </w:p>
        </w:tc>
      </w:tr>
      <w:tr w:rsidR="00B54E97" w:rsidRPr="008348DE" w14:paraId="5752FF15" w14:textId="77777777" w:rsidTr="00B54E97">
        <w:trPr>
          <w:trHeight w:val="300"/>
        </w:trPr>
        <w:tc>
          <w:tcPr>
            <w:tcW w:w="1433" w:type="dxa"/>
            <w:tcBorders>
              <w:top w:val="nil"/>
              <w:left w:val="single" w:sz="4" w:space="0" w:color="auto"/>
              <w:bottom w:val="nil"/>
              <w:right w:val="nil"/>
            </w:tcBorders>
            <w:shd w:val="clear" w:color="000000" w:fill="FFFFFF"/>
            <w:noWrap/>
            <w:vAlign w:val="bottom"/>
            <w:hideMark/>
          </w:tcPr>
          <w:p w14:paraId="4F448378" w14:textId="77777777" w:rsidR="00B54E97" w:rsidRPr="008348DE" w:rsidRDefault="00B54E97" w:rsidP="00B54E97">
            <w:pPr>
              <w:pStyle w:val="tabletxt"/>
              <w:rPr>
                <w:szCs w:val="18"/>
              </w:rPr>
            </w:pPr>
            <w:r w:rsidRPr="008348DE">
              <w:rPr>
                <w:szCs w:val="18"/>
              </w:rPr>
              <w:t>Karlovac</w:t>
            </w:r>
          </w:p>
        </w:tc>
        <w:tc>
          <w:tcPr>
            <w:tcW w:w="1134" w:type="dxa"/>
            <w:tcBorders>
              <w:top w:val="nil"/>
              <w:left w:val="nil"/>
              <w:bottom w:val="nil"/>
              <w:right w:val="single" w:sz="4" w:space="0" w:color="auto"/>
            </w:tcBorders>
            <w:shd w:val="clear" w:color="000000" w:fill="FFFFFF"/>
            <w:noWrap/>
            <w:vAlign w:val="bottom"/>
            <w:hideMark/>
          </w:tcPr>
          <w:p w14:paraId="12745F53" w14:textId="77777777" w:rsidR="00B54E97" w:rsidRPr="008348DE" w:rsidRDefault="00B54E97" w:rsidP="00B54E97">
            <w:pPr>
              <w:pStyle w:val="tabletxt"/>
              <w:jc w:val="center"/>
              <w:rPr>
                <w:szCs w:val="18"/>
              </w:rPr>
            </w:pPr>
            <w:r w:rsidRPr="008348DE">
              <w:rPr>
                <w:szCs w:val="18"/>
              </w:rPr>
              <w:t>52</w:t>
            </w:r>
          </w:p>
        </w:tc>
        <w:tc>
          <w:tcPr>
            <w:tcW w:w="2415" w:type="dxa"/>
            <w:tcBorders>
              <w:top w:val="nil"/>
              <w:left w:val="single" w:sz="4" w:space="0" w:color="auto"/>
              <w:bottom w:val="nil"/>
              <w:right w:val="nil"/>
            </w:tcBorders>
            <w:shd w:val="clear" w:color="000000" w:fill="FFFFFF"/>
            <w:noWrap/>
            <w:vAlign w:val="bottom"/>
            <w:hideMark/>
          </w:tcPr>
          <w:p w14:paraId="1579A6A2" w14:textId="77777777" w:rsidR="00B54E97" w:rsidRPr="008348DE" w:rsidRDefault="00B54E97" w:rsidP="00B54E97">
            <w:pPr>
              <w:pStyle w:val="tabletxt"/>
              <w:jc w:val="center"/>
              <w:rPr>
                <w:szCs w:val="18"/>
              </w:rPr>
            </w:pPr>
            <w:r w:rsidRPr="008348DE">
              <w:rPr>
                <w:szCs w:val="18"/>
              </w:rPr>
              <w:t>46,833</w:t>
            </w:r>
          </w:p>
        </w:tc>
        <w:tc>
          <w:tcPr>
            <w:tcW w:w="1004" w:type="dxa"/>
            <w:tcBorders>
              <w:top w:val="nil"/>
              <w:left w:val="nil"/>
              <w:bottom w:val="nil"/>
              <w:right w:val="single" w:sz="4" w:space="0" w:color="auto"/>
            </w:tcBorders>
            <w:shd w:val="clear" w:color="000000" w:fill="FFFFFF"/>
            <w:noWrap/>
            <w:vAlign w:val="bottom"/>
            <w:hideMark/>
          </w:tcPr>
          <w:p w14:paraId="76FA4028" w14:textId="77777777" w:rsidR="00B54E97" w:rsidRPr="008348DE" w:rsidRDefault="00B54E97" w:rsidP="00B54E97">
            <w:pPr>
              <w:pStyle w:val="tabletxt"/>
              <w:jc w:val="center"/>
              <w:rPr>
                <w:szCs w:val="18"/>
              </w:rPr>
            </w:pPr>
            <w:r w:rsidRPr="008348DE">
              <w:rPr>
                <w:szCs w:val="18"/>
              </w:rPr>
              <w:t>84%</w:t>
            </w:r>
          </w:p>
        </w:tc>
        <w:tc>
          <w:tcPr>
            <w:tcW w:w="1967" w:type="dxa"/>
            <w:tcBorders>
              <w:top w:val="nil"/>
              <w:left w:val="nil"/>
              <w:bottom w:val="nil"/>
              <w:right w:val="single" w:sz="4" w:space="0" w:color="auto"/>
            </w:tcBorders>
            <w:shd w:val="clear" w:color="000000" w:fill="FFFFFF"/>
            <w:noWrap/>
            <w:vAlign w:val="bottom"/>
            <w:hideMark/>
          </w:tcPr>
          <w:p w14:paraId="797C3E48" w14:textId="77777777" w:rsidR="00B54E97" w:rsidRPr="008348DE" w:rsidRDefault="00B54E97" w:rsidP="00B54E97">
            <w:pPr>
              <w:pStyle w:val="tabletxt"/>
              <w:jc w:val="center"/>
              <w:rPr>
                <w:szCs w:val="18"/>
              </w:rPr>
            </w:pPr>
            <w:r>
              <w:rPr>
                <w:szCs w:val="18"/>
              </w:rPr>
              <w:t>138.</w:t>
            </w:r>
            <w:r w:rsidRPr="008348DE">
              <w:rPr>
                <w:szCs w:val="18"/>
              </w:rPr>
              <w:t>7</w:t>
            </w:r>
          </w:p>
        </w:tc>
        <w:tc>
          <w:tcPr>
            <w:tcW w:w="1256" w:type="dxa"/>
            <w:tcBorders>
              <w:top w:val="nil"/>
              <w:left w:val="nil"/>
              <w:bottom w:val="nil"/>
              <w:right w:val="single" w:sz="4" w:space="0" w:color="auto"/>
            </w:tcBorders>
            <w:shd w:val="clear" w:color="000000" w:fill="FFFFFF"/>
          </w:tcPr>
          <w:p w14:paraId="2E6E44D2" w14:textId="77777777" w:rsidR="00B54E97" w:rsidRPr="008348DE" w:rsidRDefault="00B54E97" w:rsidP="00B54E97">
            <w:pPr>
              <w:pStyle w:val="tabletxt"/>
              <w:jc w:val="center"/>
              <w:rPr>
                <w:szCs w:val="18"/>
              </w:rPr>
            </w:pPr>
            <w:r>
              <w:rPr>
                <w:rFonts w:cs="Tahoma"/>
                <w:color w:val="000000"/>
                <w:szCs w:val="18"/>
                <w:lang w:eastAsia="en-US"/>
              </w:rPr>
              <w:t>401.</w:t>
            </w:r>
            <w:r w:rsidRPr="008348DE">
              <w:rPr>
                <w:rFonts w:cs="Tahoma"/>
                <w:color w:val="000000"/>
                <w:szCs w:val="18"/>
                <w:lang w:eastAsia="en-US"/>
              </w:rPr>
              <w:t>7</w:t>
            </w:r>
          </w:p>
        </w:tc>
      </w:tr>
      <w:tr w:rsidR="00B54E97" w:rsidRPr="008348DE" w14:paraId="72FAFEBE" w14:textId="77777777" w:rsidTr="00B54E97">
        <w:trPr>
          <w:trHeight w:val="280"/>
        </w:trPr>
        <w:tc>
          <w:tcPr>
            <w:tcW w:w="1433" w:type="dxa"/>
            <w:tcBorders>
              <w:top w:val="nil"/>
              <w:left w:val="single" w:sz="4" w:space="0" w:color="auto"/>
              <w:bottom w:val="nil"/>
              <w:right w:val="nil"/>
            </w:tcBorders>
            <w:shd w:val="clear" w:color="000000" w:fill="FFFFFF"/>
            <w:noWrap/>
            <w:vAlign w:val="bottom"/>
            <w:hideMark/>
          </w:tcPr>
          <w:p w14:paraId="2610BDD2" w14:textId="77777777" w:rsidR="00B54E97" w:rsidRPr="008348DE" w:rsidRDefault="00B54E97" w:rsidP="00B54E97">
            <w:pPr>
              <w:pStyle w:val="tabletxt"/>
              <w:rPr>
                <w:szCs w:val="18"/>
              </w:rPr>
            </w:pPr>
            <w:r w:rsidRPr="008348DE">
              <w:rPr>
                <w:szCs w:val="18"/>
              </w:rPr>
              <w:t>Duga Resa</w:t>
            </w:r>
          </w:p>
        </w:tc>
        <w:tc>
          <w:tcPr>
            <w:tcW w:w="1134" w:type="dxa"/>
            <w:tcBorders>
              <w:top w:val="nil"/>
              <w:left w:val="nil"/>
              <w:bottom w:val="nil"/>
              <w:right w:val="single" w:sz="4" w:space="0" w:color="auto"/>
            </w:tcBorders>
            <w:shd w:val="clear" w:color="000000" w:fill="FFFFFF"/>
            <w:noWrap/>
            <w:vAlign w:val="bottom"/>
            <w:hideMark/>
          </w:tcPr>
          <w:p w14:paraId="6B4ED80F" w14:textId="77777777" w:rsidR="00B54E97" w:rsidRPr="008348DE" w:rsidRDefault="00B54E97" w:rsidP="00B54E97">
            <w:pPr>
              <w:pStyle w:val="tabletxt"/>
              <w:jc w:val="center"/>
              <w:rPr>
                <w:szCs w:val="18"/>
              </w:rPr>
            </w:pPr>
            <w:r w:rsidRPr="008348DE">
              <w:rPr>
                <w:szCs w:val="18"/>
              </w:rPr>
              <w:t>28</w:t>
            </w:r>
          </w:p>
        </w:tc>
        <w:tc>
          <w:tcPr>
            <w:tcW w:w="2415" w:type="dxa"/>
            <w:tcBorders>
              <w:top w:val="nil"/>
              <w:left w:val="single" w:sz="4" w:space="0" w:color="auto"/>
              <w:bottom w:val="nil"/>
              <w:right w:val="nil"/>
            </w:tcBorders>
            <w:shd w:val="clear" w:color="000000" w:fill="FFFFFF"/>
            <w:noWrap/>
            <w:vAlign w:val="bottom"/>
            <w:hideMark/>
          </w:tcPr>
          <w:p w14:paraId="4AC3AF2F" w14:textId="77777777" w:rsidR="00B54E97" w:rsidRPr="008348DE" w:rsidRDefault="00B54E97" w:rsidP="00B54E97">
            <w:pPr>
              <w:pStyle w:val="tabletxt"/>
              <w:jc w:val="center"/>
              <w:rPr>
                <w:szCs w:val="18"/>
              </w:rPr>
            </w:pPr>
            <w:r w:rsidRPr="008348DE">
              <w:rPr>
                <w:szCs w:val="18"/>
              </w:rPr>
              <w:t>6,011</w:t>
            </w:r>
          </w:p>
        </w:tc>
        <w:tc>
          <w:tcPr>
            <w:tcW w:w="1004" w:type="dxa"/>
            <w:tcBorders>
              <w:top w:val="nil"/>
              <w:left w:val="nil"/>
              <w:bottom w:val="nil"/>
              <w:right w:val="single" w:sz="4" w:space="0" w:color="auto"/>
            </w:tcBorders>
            <w:shd w:val="clear" w:color="000000" w:fill="FFFFFF"/>
            <w:noWrap/>
            <w:vAlign w:val="bottom"/>
            <w:hideMark/>
          </w:tcPr>
          <w:p w14:paraId="5024821A" w14:textId="77777777" w:rsidR="00B54E97" w:rsidRPr="008348DE" w:rsidRDefault="00B54E97" w:rsidP="00B54E97">
            <w:pPr>
              <w:pStyle w:val="tabletxt"/>
              <w:jc w:val="center"/>
              <w:rPr>
                <w:szCs w:val="18"/>
              </w:rPr>
            </w:pPr>
            <w:r w:rsidRPr="008348DE">
              <w:rPr>
                <w:szCs w:val="18"/>
              </w:rPr>
              <w:t>54%</w:t>
            </w:r>
          </w:p>
        </w:tc>
        <w:tc>
          <w:tcPr>
            <w:tcW w:w="1967" w:type="dxa"/>
            <w:tcBorders>
              <w:top w:val="nil"/>
              <w:left w:val="nil"/>
              <w:bottom w:val="nil"/>
              <w:right w:val="single" w:sz="4" w:space="0" w:color="auto"/>
            </w:tcBorders>
            <w:shd w:val="clear" w:color="000000" w:fill="FFFFFF"/>
            <w:noWrap/>
            <w:vAlign w:val="bottom"/>
            <w:hideMark/>
          </w:tcPr>
          <w:p w14:paraId="23A00C18" w14:textId="77777777" w:rsidR="00B54E97" w:rsidRPr="008348DE" w:rsidRDefault="00B54E97" w:rsidP="00B54E97">
            <w:pPr>
              <w:pStyle w:val="tabletxt"/>
              <w:jc w:val="center"/>
              <w:rPr>
                <w:szCs w:val="18"/>
              </w:rPr>
            </w:pPr>
            <w:r w:rsidRPr="008348DE">
              <w:rPr>
                <w:szCs w:val="18"/>
              </w:rPr>
              <w:t>192.8</w:t>
            </w:r>
          </w:p>
        </w:tc>
        <w:tc>
          <w:tcPr>
            <w:tcW w:w="1256" w:type="dxa"/>
            <w:tcBorders>
              <w:top w:val="nil"/>
              <w:left w:val="nil"/>
              <w:bottom w:val="nil"/>
              <w:right w:val="single" w:sz="4" w:space="0" w:color="auto"/>
            </w:tcBorders>
            <w:shd w:val="clear" w:color="000000" w:fill="FFFFFF"/>
          </w:tcPr>
          <w:p w14:paraId="4DFCB6BB" w14:textId="77777777" w:rsidR="00B54E97" w:rsidRPr="008348DE" w:rsidRDefault="00B54E97" w:rsidP="00B54E97">
            <w:pPr>
              <w:pStyle w:val="tabletxt"/>
              <w:jc w:val="center"/>
              <w:rPr>
                <w:szCs w:val="18"/>
              </w:rPr>
            </w:pPr>
            <w:r>
              <w:rPr>
                <w:rFonts w:cs="Tahoma"/>
                <w:color w:val="000000"/>
                <w:szCs w:val="18"/>
                <w:lang w:eastAsia="en-US"/>
              </w:rPr>
              <w:t>58.</w:t>
            </w:r>
            <w:r w:rsidRPr="008348DE">
              <w:rPr>
                <w:rFonts w:cs="Tahoma"/>
                <w:color w:val="000000"/>
                <w:szCs w:val="18"/>
                <w:lang w:eastAsia="en-US"/>
              </w:rPr>
              <w:t>0</w:t>
            </w:r>
          </w:p>
        </w:tc>
      </w:tr>
      <w:tr w:rsidR="00B54E97" w:rsidRPr="008348DE" w14:paraId="6E09238D" w14:textId="77777777" w:rsidTr="00B54E97">
        <w:trPr>
          <w:trHeight w:val="280"/>
        </w:trPr>
        <w:tc>
          <w:tcPr>
            <w:tcW w:w="1433" w:type="dxa"/>
            <w:tcBorders>
              <w:top w:val="nil"/>
              <w:left w:val="single" w:sz="4" w:space="0" w:color="auto"/>
              <w:bottom w:val="single" w:sz="4" w:space="0" w:color="auto"/>
              <w:right w:val="nil"/>
            </w:tcBorders>
            <w:shd w:val="clear" w:color="000000" w:fill="FFFFFF"/>
            <w:noWrap/>
            <w:vAlign w:val="bottom"/>
            <w:hideMark/>
          </w:tcPr>
          <w:p w14:paraId="220BC4EC" w14:textId="77777777" w:rsidR="00B54E97" w:rsidRPr="008348DE" w:rsidRDefault="00B54E97" w:rsidP="00B54E97">
            <w:pPr>
              <w:pStyle w:val="tabletxt"/>
              <w:rPr>
                <w:szCs w:val="18"/>
              </w:rPr>
            </w:pPr>
            <w:r w:rsidRPr="008348DE">
              <w:rPr>
                <w:szCs w:val="18"/>
              </w:rPr>
              <w:t>Ozalj</w:t>
            </w:r>
          </w:p>
        </w:tc>
        <w:tc>
          <w:tcPr>
            <w:tcW w:w="1134" w:type="dxa"/>
            <w:tcBorders>
              <w:top w:val="nil"/>
              <w:left w:val="nil"/>
              <w:bottom w:val="single" w:sz="4" w:space="0" w:color="auto"/>
              <w:right w:val="single" w:sz="4" w:space="0" w:color="auto"/>
            </w:tcBorders>
            <w:shd w:val="clear" w:color="000000" w:fill="FFFFFF"/>
            <w:noWrap/>
            <w:vAlign w:val="bottom"/>
            <w:hideMark/>
          </w:tcPr>
          <w:p w14:paraId="388E5BFD" w14:textId="77777777" w:rsidR="00B54E97" w:rsidRPr="008348DE" w:rsidRDefault="00B54E97" w:rsidP="00B54E97">
            <w:pPr>
              <w:pStyle w:val="tabletxt"/>
              <w:jc w:val="center"/>
              <w:rPr>
                <w:szCs w:val="18"/>
              </w:rPr>
            </w:pPr>
            <w:r w:rsidRPr="008348DE">
              <w:rPr>
                <w:szCs w:val="18"/>
              </w:rPr>
              <w:t>97</w:t>
            </w:r>
          </w:p>
        </w:tc>
        <w:tc>
          <w:tcPr>
            <w:tcW w:w="2415" w:type="dxa"/>
            <w:tcBorders>
              <w:top w:val="nil"/>
              <w:left w:val="single" w:sz="4" w:space="0" w:color="auto"/>
              <w:bottom w:val="single" w:sz="4" w:space="0" w:color="auto"/>
              <w:right w:val="nil"/>
            </w:tcBorders>
            <w:shd w:val="clear" w:color="000000" w:fill="FFFFFF"/>
            <w:noWrap/>
            <w:vAlign w:val="bottom"/>
            <w:hideMark/>
          </w:tcPr>
          <w:p w14:paraId="486BD2F9" w14:textId="77777777" w:rsidR="00B54E97" w:rsidRPr="008348DE" w:rsidRDefault="00B54E97" w:rsidP="00B54E97">
            <w:pPr>
              <w:pStyle w:val="tabletxt"/>
              <w:jc w:val="center"/>
              <w:rPr>
                <w:szCs w:val="18"/>
              </w:rPr>
            </w:pPr>
            <w:r w:rsidRPr="008348DE">
              <w:rPr>
                <w:szCs w:val="18"/>
              </w:rPr>
              <w:t>1,181</w:t>
            </w:r>
          </w:p>
        </w:tc>
        <w:tc>
          <w:tcPr>
            <w:tcW w:w="1004" w:type="dxa"/>
            <w:tcBorders>
              <w:top w:val="nil"/>
              <w:left w:val="nil"/>
              <w:bottom w:val="single" w:sz="4" w:space="0" w:color="auto"/>
              <w:right w:val="single" w:sz="4" w:space="0" w:color="auto"/>
            </w:tcBorders>
            <w:shd w:val="clear" w:color="000000" w:fill="FFFFFF"/>
            <w:noWrap/>
            <w:vAlign w:val="bottom"/>
            <w:hideMark/>
          </w:tcPr>
          <w:p w14:paraId="6B898108" w14:textId="77777777" w:rsidR="00B54E97" w:rsidRPr="008348DE" w:rsidRDefault="00B54E97" w:rsidP="00B54E97">
            <w:pPr>
              <w:pStyle w:val="tabletxt"/>
              <w:jc w:val="center"/>
              <w:rPr>
                <w:szCs w:val="18"/>
              </w:rPr>
            </w:pPr>
            <w:r w:rsidRPr="008348DE">
              <w:rPr>
                <w:szCs w:val="18"/>
              </w:rPr>
              <w:t>17%</w:t>
            </w:r>
          </w:p>
        </w:tc>
        <w:tc>
          <w:tcPr>
            <w:tcW w:w="1967" w:type="dxa"/>
            <w:tcBorders>
              <w:top w:val="nil"/>
              <w:left w:val="nil"/>
              <w:bottom w:val="single" w:sz="4" w:space="0" w:color="auto"/>
              <w:right w:val="single" w:sz="4" w:space="0" w:color="auto"/>
            </w:tcBorders>
            <w:shd w:val="clear" w:color="000000" w:fill="FFFFFF"/>
            <w:noWrap/>
            <w:vAlign w:val="bottom"/>
            <w:hideMark/>
          </w:tcPr>
          <w:p w14:paraId="1528034C" w14:textId="77777777" w:rsidR="00B54E97" w:rsidRPr="008348DE" w:rsidRDefault="00B54E97" w:rsidP="00B54E97">
            <w:pPr>
              <w:pStyle w:val="tabletxt"/>
              <w:jc w:val="center"/>
              <w:rPr>
                <w:szCs w:val="18"/>
              </w:rPr>
            </w:pPr>
            <w:r w:rsidRPr="008348DE">
              <w:rPr>
                <w:szCs w:val="18"/>
              </w:rPr>
              <w:t>38</w:t>
            </w:r>
          </w:p>
        </w:tc>
        <w:tc>
          <w:tcPr>
            <w:tcW w:w="1256" w:type="dxa"/>
            <w:tcBorders>
              <w:top w:val="nil"/>
              <w:left w:val="nil"/>
              <w:bottom w:val="single" w:sz="4" w:space="0" w:color="auto"/>
              <w:right w:val="single" w:sz="4" w:space="0" w:color="auto"/>
            </w:tcBorders>
            <w:shd w:val="clear" w:color="000000" w:fill="FFFFFF"/>
          </w:tcPr>
          <w:p w14:paraId="3B1349F6" w14:textId="77777777" w:rsidR="00B54E97" w:rsidRPr="008348DE" w:rsidRDefault="00B54E97" w:rsidP="00B54E97">
            <w:pPr>
              <w:pStyle w:val="tabletxt"/>
              <w:jc w:val="center"/>
              <w:rPr>
                <w:szCs w:val="18"/>
              </w:rPr>
            </w:pPr>
            <w:r>
              <w:rPr>
                <w:rFonts w:cs="Tahoma"/>
                <w:color w:val="000000"/>
                <w:szCs w:val="18"/>
                <w:lang w:eastAsia="en-US"/>
              </w:rPr>
              <w:t>179.</w:t>
            </w:r>
            <w:r w:rsidRPr="008348DE">
              <w:rPr>
                <w:rFonts w:cs="Tahoma"/>
                <w:color w:val="000000"/>
                <w:szCs w:val="18"/>
                <w:lang w:eastAsia="en-US"/>
              </w:rPr>
              <w:t>4</w:t>
            </w:r>
          </w:p>
        </w:tc>
      </w:tr>
      <w:tr w:rsidR="00B54E97" w:rsidRPr="00B41B0F" w14:paraId="29A85754" w14:textId="77777777" w:rsidTr="00B54E97">
        <w:trPr>
          <w:trHeight w:val="280"/>
        </w:trPr>
        <w:tc>
          <w:tcPr>
            <w:tcW w:w="1433" w:type="dxa"/>
            <w:tcBorders>
              <w:top w:val="single" w:sz="4" w:space="0" w:color="auto"/>
              <w:left w:val="single" w:sz="4" w:space="0" w:color="auto"/>
              <w:bottom w:val="single" w:sz="4" w:space="0" w:color="auto"/>
              <w:right w:val="nil"/>
            </w:tcBorders>
            <w:shd w:val="clear" w:color="000000" w:fill="FFFFFF"/>
            <w:noWrap/>
            <w:vAlign w:val="bottom"/>
          </w:tcPr>
          <w:p w14:paraId="6FA5D979" w14:textId="77777777" w:rsidR="00B54E97" w:rsidRPr="00B41B0F" w:rsidRDefault="00B54E97" w:rsidP="00B54E97">
            <w:pPr>
              <w:pStyle w:val="tabletxt"/>
              <w:rPr>
                <w:b/>
                <w:szCs w:val="18"/>
              </w:rPr>
            </w:pPr>
            <w:r w:rsidRPr="00B41B0F">
              <w:rPr>
                <w:b/>
                <w:szCs w:val="18"/>
              </w:rPr>
              <w:t>VUPKA</w:t>
            </w:r>
          </w:p>
        </w:tc>
        <w:tc>
          <w:tcPr>
            <w:tcW w:w="1134" w:type="dxa"/>
            <w:tcBorders>
              <w:top w:val="single" w:sz="4" w:space="0" w:color="auto"/>
              <w:left w:val="nil"/>
              <w:bottom w:val="single" w:sz="4" w:space="0" w:color="auto"/>
              <w:right w:val="single" w:sz="4" w:space="0" w:color="auto"/>
            </w:tcBorders>
            <w:shd w:val="clear" w:color="000000" w:fill="FFFFFF"/>
            <w:noWrap/>
            <w:vAlign w:val="bottom"/>
          </w:tcPr>
          <w:p w14:paraId="4894DD89" w14:textId="77777777" w:rsidR="00B54E97" w:rsidRPr="00B41B0F" w:rsidRDefault="00B54E97" w:rsidP="00B54E97">
            <w:pPr>
              <w:pStyle w:val="tabletxt"/>
              <w:jc w:val="center"/>
              <w:rPr>
                <w:b/>
                <w:szCs w:val="18"/>
              </w:rPr>
            </w:pPr>
            <w:r w:rsidRPr="00B41B0F">
              <w:rPr>
                <w:b/>
                <w:szCs w:val="18"/>
              </w:rPr>
              <w:t>177</w:t>
            </w:r>
          </w:p>
        </w:tc>
        <w:tc>
          <w:tcPr>
            <w:tcW w:w="2415" w:type="dxa"/>
            <w:tcBorders>
              <w:top w:val="single" w:sz="4" w:space="0" w:color="auto"/>
              <w:left w:val="single" w:sz="4" w:space="0" w:color="auto"/>
              <w:bottom w:val="single" w:sz="4" w:space="0" w:color="auto"/>
              <w:right w:val="nil"/>
            </w:tcBorders>
            <w:shd w:val="clear" w:color="000000" w:fill="FFFFFF"/>
            <w:noWrap/>
            <w:vAlign w:val="bottom"/>
          </w:tcPr>
          <w:p w14:paraId="12039DE0" w14:textId="77777777" w:rsidR="00B54E97" w:rsidRPr="00B41B0F" w:rsidRDefault="00B54E97" w:rsidP="00B54E97">
            <w:pPr>
              <w:pStyle w:val="tabletxt"/>
              <w:jc w:val="center"/>
              <w:rPr>
                <w:b/>
                <w:szCs w:val="18"/>
              </w:rPr>
            </w:pPr>
            <w:r w:rsidRPr="00B41B0F">
              <w:rPr>
                <w:b/>
                <w:szCs w:val="18"/>
              </w:rPr>
              <w:t>54,025</w:t>
            </w:r>
          </w:p>
        </w:tc>
        <w:tc>
          <w:tcPr>
            <w:tcW w:w="1004" w:type="dxa"/>
            <w:tcBorders>
              <w:top w:val="single" w:sz="4" w:space="0" w:color="auto"/>
              <w:left w:val="nil"/>
              <w:bottom w:val="single" w:sz="4" w:space="0" w:color="auto"/>
              <w:right w:val="single" w:sz="4" w:space="0" w:color="auto"/>
            </w:tcBorders>
            <w:shd w:val="clear" w:color="000000" w:fill="FFFFFF"/>
            <w:noWrap/>
            <w:vAlign w:val="bottom"/>
          </w:tcPr>
          <w:p w14:paraId="2FCC4A55" w14:textId="77777777" w:rsidR="00B54E97" w:rsidRPr="00B41B0F" w:rsidRDefault="00B54E97" w:rsidP="00B54E97">
            <w:pPr>
              <w:pStyle w:val="tabletxt"/>
              <w:jc w:val="center"/>
              <w:rPr>
                <w:b/>
                <w:szCs w:val="18"/>
              </w:rPr>
            </w:pPr>
            <w:r w:rsidRPr="00B41B0F">
              <w:rPr>
                <w:b/>
                <w:szCs w:val="18"/>
              </w:rPr>
              <w:t>73%</w:t>
            </w:r>
          </w:p>
        </w:tc>
        <w:tc>
          <w:tcPr>
            <w:tcW w:w="1967" w:type="dxa"/>
            <w:tcBorders>
              <w:top w:val="single" w:sz="4" w:space="0" w:color="auto"/>
              <w:left w:val="nil"/>
              <w:bottom w:val="single" w:sz="4" w:space="0" w:color="auto"/>
              <w:right w:val="single" w:sz="4" w:space="0" w:color="auto"/>
            </w:tcBorders>
            <w:shd w:val="clear" w:color="000000" w:fill="FFFFFF"/>
            <w:noWrap/>
            <w:vAlign w:val="bottom"/>
          </w:tcPr>
          <w:p w14:paraId="4B4C5BF2" w14:textId="77777777" w:rsidR="00B54E97" w:rsidRPr="00B41B0F" w:rsidRDefault="00B54E97" w:rsidP="00B54E97">
            <w:pPr>
              <w:pStyle w:val="tabletxt"/>
              <w:jc w:val="center"/>
              <w:rPr>
                <w:b/>
                <w:szCs w:val="18"/>
              </w:rPr>
            </w:pPr>
            <w:r w:rsidRPr="00B41B0F">
              <w:rPr>
                <w:b/>
                <w:szCs w:val="18"/>
              </w:rPr>
              <w:t>115.3</w:t>
            </w:r>
          </w:p>
        </w:tc>
        <w:tc>
          <w:tcPr>
            <w:tcW w:w="1256" w:type="dxa"/>
            <w:tcBorders>
              <w:top w:val="single" w:sz="4" w:space="0" w:color="auto"/>
              <w:left w:val="nil"/>
              <w:bottom w:val="single" w:sz="4" w:space="0" w:color="auto"/>
              <w:right w:val="single" w:sz="4" w:space="0" w:color="auto"/>
            </w:tcBorders>
            <w:shd w:val="clear" w:color="000000" w:fill="FFFFFF"/>
          </w:tcPr>
          <w:p w14:paraId="4B702E2D" w14:textId="77777777" w:rsidR="00B54E97" w:rsidRPr="00B41B0F" w:rsidRDefault="00B54E97" w:rsidP="00B54E97">
            <w:pPr>
              <w:pStyle w:val="tabletxt"/>
              <w:jc w:val="center"/>
              <w:rPr>
                <w:rFonts w:cs="Tahoma"/>
                <w:b/>
                <w:color w:val="000000"/>
                <w:szCs w:val="18"/>
                <w:lang w:eastAsia="en-US"/>
              </w:rPr>
            </w:pPr>
            <w:r w:rsidRPr="00B41B0F">
              <w:rPr>
                <w:rFonts w:cs="Tahoma"/>
                <w:b/>
                <w:color w:val="000000"/>
                <w:szCs w:val="18"/>
                <w:lang w:eastAsia="en-US"/>
              </w:rPr>
              <w:t>639.1</w:t>
            </w:r>
          </w:p>
        </w:tc>
      </w:tr>
    </w:tbl>
    <w:p w14:paraId="0A0F0BB2" w14:textId="7E40540C" w:rsidR="00814558" w:rsidRDefault="00814558" w:rsidP="00814558">
      <w:pPr>
        <w:pStyle w:val="Izvor"/>
      </w:pPr>
      <w:r>
        <w:t>Izvor: DZS, Popis 2011, obrada autora</w:t>
      </w:r>
    </w:p>
    <w:p w14:paraId="4C68EB0D" w14:textId="71A75D7F" w:rsidR="00BC2D60" w:rsidRDefault="00B54E97" w:rsidP="00B54E97">
      <w:r>
        <w:t xml:space="preserve">Ovi podaci, bazirani na statističkim područjima </w:t>
      </w:r>
      <w:r w:rsidR="004771A2">
        <w:t xml:space="preserve">naselja </w:t>
      </w:r>
      <w:r>
        <w:t xml:space="preserve">i Popisu iz 2011., pokazuju dominaciju patuljastih i sitnih naselja, ali također i </w:t>
      </w:r>
      <w:r w:rsidRPr="00786429">
        <w:rPr>
          <w:b/>
        </w:rPr>
        <w:t>koncentraciju stanovništva (73%) u tri urbana centra – naseljima Karlovac, Ozalj i Duga Resa, kao i gravitacijski značaj grada Karlovca</w:t>
      </w:r>
      <w:r>
        <w:t xml:space="preserve"> koji je evidentan iz podataka o dnevnim migracijama na temelju kojih je uspostavljeno Veće urbano područje Karlovac (udio dnevnih migranata iz Ozlja i Duge Rese u Karlovac je preko 30%)</w:t>
      </w:r>
      <w:r w:rsidRPr="003F0585">
        <w:t xml:space="preserve">. </w:t>
      </w:r>
    </w:p>
    <w:p w14:paraId="361747FC" w14:textId="77777777" w:rsidR="00D404BE" w:rsidRDefault="00D404BE" w:rsidP="00B54E97"/>
    <w:p w14:paraId="2011D739" w14:textId="57A092C7" w:rsidR="00B54E97" w:rsidRDefault="004611F7" w:rsidP="004611F7">
      <w:pPr>
        <w:pStyle w:val="Caption"/>
      </w:pPr>
      <w:bookmarkStart w:id="10" w:name="_Toc437387478"/>
      <w:r>
        <w:t xml:space="preserve">Tablica </w:t>
      </w:r>
      <w:r>
        <w:fldChar w:fldCharType="begin"/>
      </w:r>
      <w:r>
        <w:instrText xml:space="preserve"> SEQ Tablica \* ARABIC </w:instrText>
      </w:r>
      <w:r>
        <w:fldChar w:fldCharType="separate"/>
      </w:r>
      <w:r w:rsidR="001358A9">
        <w:rPr>
          <w:noProof/>
        </w:rPr>
        <w:t>5</w:t>
      </w:r>
      <w:r>
        <w:fldChar w:fldCharType="end"/>
      </w:r>
      <w:r w:rsidR="00B54E97">
        <w:t>. Naselja VUPKA po veličini</w:t>
      </w:r>
      <w:bookmarkEnd w:id="10"/>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1045"/>
        <w:gridCol w:w="1214"/>
        <w:gridCol w:w="1214"/>
        <w:gridCol w:w="1214"/>
        <w:gridCol w:w="1214"/>
        <w:gridCol w:w="1214"/>
        <w:gridCol w:w="1214"/>
      </w:tblGrid>
      <w:tr w:rsidR="00B54E97" w:rsidRPr="00DC0F9A" w14:paraId="3CAFF0FF" w14:textId="77777777" w:rsidTr="00BC2D60">
        <w:trPr>
          <w:trHeight w:val="280"/>
        </w:trPr>
        <w:tc>
          <w:tcPr>
            <w:tcW w:w="866" w:type="dxa"/>
            <w:tcBorders>
              <w:bottom w:val="double" w:sz="4" w:space="0" w:color="auto"/>
            </w:tcBorders>
            <w:shd w:val="clear" w:color="auto" w:fill="C6D9F1" w:themeFill="text2" w:themeFillTint="33"/>
          </w:tcPr>
          <w:p w14:paraId="677A7B46" w14:textId="77777777" w:rsidR="00B54E97" w:rsidRPr="00DC0F9A" w:rsidRDefault="00B54E97" w:rsidP="00B54E97">
            <w:pPr>
              <w:spacing w:before="0" w:after="0"/>
              <w:jc w:val="left"/>
              <w:rPr>
                <w:rFonts w:eastAsia="Times New Roman" w:cs="Times New Roman"/>
                <w:b/>
                <w:color w:val="000000"/>
                <w:sz w:val="18"/>
                <w:szCs w:val="18"/>
              </w:rPr>
            </w:pPr>
          </w:p>
        </w:tc>
        <w:tc>
          <w:tcPr>
            <w:tcW w:w="1045" w:type="dxa"/>
            <w:tcBorders>
              <w:bottom w:val="double" w:sz="4" w:space="0" w:color="auto"/>
            </w:tcBorders>
            <w:shd w:val="clear" w:color="auto" w:fill="C6D9F1" w:themeFill="text2" w:themeFillTint="33"/>
            <w:noWrap/>
            <w:vAlign w:val="bottom"/>
            <w:hideMark/>
          </w:tcPr>
          <w:p w14:paraId="60D816E7" w14:textId="77777777" w:rsidR="00B54E97" w:rsidRPr="00DC0F9A" w:rsidRDefault="00B54E97" w:rsidP="00B54E97">
            <w:pPr>
              <w:spacing w:before="0" w:after="0"/>
              <w:jc w:val="center"/>
              <w:rPr>
                <w:rFonts w:eastAsia="Times New Roman" w:cs="Times New Roman"/>
                <w:b/>
                <w:color w:val="000000"/>
                <w:sz w:val="18"/>
                <w:szCs w:val="18"/>
              </w:rPr>
            </w:pPr>
            <w:r w:rsidRPr="00DC0F9A">
              <w:rPr>
                <w:rFonts w:eastAsia="Times New Roman" w:cs="Times New Roman"/>
                <w:b/>
                <w:color w:val="000000"/>
                <w:sz w:val="18"/>
                <w:szCs w:val="18"/>
              </w:rPr>
              <w:t>Naselja bez stanovnika</w:t>
            </w:r>
          </w:p>
        </w:tc>
        <w:tc>
          <w:tcPr>
            <w:tcW w:w="1214" w:type="dxa"/>
            <w:tcBorders>
              <w:bottom w:val="double" w:sz="4" w:space="0" w:color="auto"/>
            </w:tcBorders>
            <w:shd w:val="clear" w:color="auto" w:fill="C6D9F1" w:themeFill="text2" w:themeFillTint="33"/>
            <w:noWrap/>
            <w:vAlign w:val="bottom"/>
            <w:hideMark/>
          </w:tcPr>
          <w:p w14:paraId="5CF37A07" w14:textId="77777777" w:rsidR="00B54E97" w:rsidRPr="00DC0F9A" w:rsidRDefault="00B54E97" w:rsidP="00B54E97">
            <w:pPr>
              <w:spacing w:before="0" w:after="0"/>
              <w:jc w:val="center"/>
              <w:rPr>
                <w:rFonts w:eastAsia="Times New Roman" w:cs="Times New Roman"/>
                <w:b/>
                <w:color w:val="000000"/>
                <w:sz w:val="18"/>
                <w:szCs w:val="18"/>
              </w:rPr>
            </w:pPr>
            <w:r w:rsidRPr="00DC0F9A">
              <w:rPr>
                <w:rFonts w:eastAsia="Times New Roman" w:cs="Times New Roman"/>
                <w:b/>
                <w:color w:val="000000"/>
                <w:sz w:val="18"/>
                <w:szCs w:val="18"/>
              </w:rPr>
              <w:t>Patuljasta naselja (1-99)</w:t>
            </w:r>
          </w:p>
        </w:tc>
        <w:tc>
          <w:tcPr>
            <w:tcW w:w="1214" w:type="dxa"/>
            <w:tcBorders>
              <w:bottom w:val="double" w:sz="4" w:space="0" w:color="auto"/>
            </w:tcBorders>
            <w:shd w:val="clear" w:color="auto" w:fill="C6D9F1" w:themeFill="text2" w:themeFillTint="33"/>
            <w:noWrap/>
            <w:vAlign w:val="bottom"/>
            <w:hideMark/>
          </w:tcPr>
          <w:p w14:paraId="039D3DC8" w14:textId="77777777" w:rsidR="00B54E97" w:rsidRPr="00DC0F9A" w:rsidRDefault="00B54E97" w:rsidP="00B54E97">
            <w:pPr>
              <w:spacing w:before="0" w:after="0"/>
              <w:jc w:val="center"/>
              <w:rPr>
                <w:rFonts w:eastAsia="Times New Roman" w:cs="Times New Roman"/>
                <w:b/>
                <w:color w:val="000000"/>
                <w:sz w:val="18"/>
                <w:szCs w:val="18"/>
              </w:rPr>
            </w:pPr>
            <w:r w:rsidRPr="00DC0F9A">
              <w:rPr>
                <w:rFonts w:eastAsia="Times New Roman" w:cs="Times New Roman"/>
                <w:b/>
                <w:color w:val="000000"/>
                <w:sz w:val="18"/>
                <w:szCs w:val="18"/>
              </w:rPr>
              <w:t>Sitna naselja (100-199)</w:t>
            </w:r>
          </w:p>
        </w:tc>
        <w:tc>
          <w:tcPr>
            <w:tcW w:w="1214" w:type="dxa"/>
            <w:tcBorders>
              <w:bottom w:val="double" w:sz="4" w:space="0" w:color="auto"/>
            </w:tcBorders>
            <w:shd w:val="clear" w:color="auto" w:fill="C6D9F1" w:themeFill="text2" w:themeFillTint="33"/>
            <w:noWrap/>
            <w:vAlign w:val="bottom"/>
            <w:hideMark/>
          </w:tcPr>
          <w:p w14:paraId="4257CFF6" w14:textId="77777777" w:rsidR="00B54E97" w:rsidRPr="00DC0F9A" w:rsidRDefault="00B54E97" w:rsidP="00B54E97">
            <w:pPr>
              <w:spacing w:before="0" w:after="0"/>
              <w:jc w:val="center"/>
              <w:rPr>
                <w:rFonts w:eastAsia="Times New Roman" w:cs="Times New Roman"/>
                <w:b/>
                <w:color w:val="000000"/>
                <w:sz w:val="18"/>
                <w:szCs w:val="18"/>
              </w:rPr>
            </w:pPr>
            <w:r w:rsidRPr="00DC0F9A">
              <w:rPr>
                <w:rFonts w:eastAsia="Times New Roman" w:cs="Times New Roman"/>
                <w:b/>
                <w:color w:val="000000"/>
                <w:sz w:val="18"/>
                <w:szCs w:val="18"/>
              </w:rPr>
              <w:t>Mala naselja (200-499)</w:t>
            </w:r>
          </w:p>
        </w:tc>
        <w:tc>
          <w:tcPr>
            <w:tcW w:w="1214" w:type="dxa"/>
            <w:tcBorders>
              <w:bottom w:val="double" w:sz="4" w:space="0" w:color="auto"/>
            </w:tcBorders>
            <w:shd w:val="clear" w:color="auto" w:fill="C6D9F1" w:themeFill="text2" w:themeFillTint="33"/>
            <w:noWrap/>
            <w:vAlign w:val="bottom"/>
            <w:hideMark/>
          </w:tcPr>
          <w:p w14:paraId="3DD1F3F3" w14:textId="77777777" w:rsidR="00B54E97" w:rsidRPr="00DC0F9A" w:rsidRDefault="00B54E97" w:rsidP="00B54E97">
            <w:pPr>
              <w:spacing w:before="0" w:after="0"/>
              <w:jc w:val="center"/>
              <w:rPr>
                <w:rFonts w:eastAsia="Times New Roman" w:cs="Times New Roman"/>
                <w:b/>
                <w:color w:val="000000"/>
                <w:sz w:val="18"/>
                <w:szCs w:val="18"/>
              </w:rPr>
            </w:pPr>
            <w:r w:rsidRPr="00DC0F9A">
              <w:rPr>
                <w:rFonts w:eastAsia="Times New Roman" w:cs="Times New Roman"/>
                <w:b/>
                <w:color w:val="000000"/>
                <w:sz w:val="18"/>
                <w:szCs w:val="18"/>
              </w:rPr>
              <w:t>Srednja naselja (500-999)</w:t>
            </w:r>
          </w:p>
        </w:tc>
        <w:tc>
          <w:tcPr>
            <w:tcW w:w="1214" w:type="dxa"/>
            <w:tcBorders>
              <w:bottom w:val="double" w:sz="4" w:space="0" w:color="auto"/>
            </w:tcBorders>
            <w:shd w:val="clear" w:color="auto" w:fill="C6D9F1" w:themeFill="text2" w:themeFillTint="33"/>
            <w:noWrap/>
            <w:vAlign w:val="bottom"/>
            <w:hideMark/>
          </w:tcPr>
          <w:p w14:paraId="3A88741D" w14:textId="77777777" w:rsidR="00B54E97" w:rsidRPr="00DC0F9A" w:rsidRDefault="00B54E97" w:rsidP="00B54E97">
            <w:pPr>
              <w:spacing w:before="0" w:after="0"/>
              <w:jc w:val="center"/>
              <w:rPr>
                <w:rFonts w:eastAsia="Times New Roman" w:cs="Times New Roman"/>
                <w:b/>
                <w:color w:val="000000"/>
                <w:sz w:val="18"/>
                <w:szCs w:val="18"/>
              </w:rPr>
            </w:pPr>
            <w:r w:rsidRPr="00DC0F9A">
              <w:rPr>
                <w:rFonts w:eastAsia="Times New Roman" w:cs="Times New Roman"/>
                <w:b/>
                <w:color w:val="000000"/>
                <w:sz w:val="18"/>
                <w:szCs w:val="18"/>
              </w:rPr>
              <w:t>Velika naselja (1000-9999)</w:t>
            </w:r>
          </w:p>
        </w:tc>
        <w:tc>
          <w:tcPr>
            <w:tcW w:w="1214" w:type="dxa"/>
            <w:tcBorders>
              <w:bottom w:val="double" w:sz="4" w:space="0" w:color="auto"/>
            </w:tcBorders>
            <w:shd w:val="clear" w:color="auto" w:fill="C6D9F1" w:themeFill="text2" w:themeFillTint="33"/>
            <w:noWrap/>
            <w:vAlign w:val="bottom"/>
            <w:hideMark/>
          </w:tcPr>
          <w:p w14:paraId="1FDB5747" w14:textId="77777777" w:rsidR="00B54E97" w:rsidRPr="00DC0F9A" w:rsidRDefault="00B54E97" w:rsidP="00B54E97">
            <w:pPr>
              <w:spacing w:before="0" w:after="0"/>
              <w:jc w:val="center"/>
              <w:rPr>
                <w:rFonts w:eastAsia="Times New Roman" w:cs="Times New Roman"/>
                <w:b/>
                <w:color w:val="000000"/>
                <w:sz w:val="18"/>
                <w:szCs w:val="18"/>
              </w:rPr>
            </w:pPr>
            <w:r w:rsidRPr="00DC0F9A">
              <w:rPr>
                <w:rFonts w:eastAsia="Times New Roman" w:cs="Times New Roman"/>
                <w:b/>
                <w:color w:val="000000"/>
                <w:sz w:val="18"/>
                <w:szCs w:val="18"/>
              </w:rPr>
              <w:t>Srednji gradovi (10.000-89.999)</w:t>
            </w:r>
          </w:p>
        </w:tc>
      </w:tr>
      <w:tr w:rsidR="00B54E97" w:rsidRPr="00B41B0F" w14:paraId="5FFF0449" w14:textId="77777777" w:rsidTr="00BC2D60">
        <w:trPr>
          <w:trHeight w:val="280"/>
        </w:trPr>
        <w:tc>
          <w:tcPr>
            <w:tcW w:w="866" w:type="dxa"/>
            <w:tcBorders>
              <w:top w:val="double" w:sz="4" w:space="0" w:color="auto"/>
              <w:bottom w:val="dotted" w:sz="4" w:space="0" w:color="auto"/>
            </w:tcBorders>
          </w:tcPr>
          <w:p w14:paraId="44BD34F0" w14:textId="77777777" w:rsidR="00B54E97" w:rsidRPr="00B41B0F" w:rsidRDefault="00B54E97" w:rsidP="00B54E97">
            <w:pPr>
              <w:spacing w:before="0" w:after="0"/>
              <w:jc w:val="left"/>
              <w:rPr>
                <w:rFonts w:eastAsia="Times New Roman" w:cs="Times New Roman"/>
                <w:color w:val="000000"/>
                <w:sz w:val="18"/>
                <w:szCs w:val="18"/>
              </w:rPr>
            </w:pPr>
            <w:r>
              <w:rPr>
                <w:rFonts w:eastAsia="Times New Roman" w:cs="Times New Roman"/>
                <w:color w:val="000000"/>
                <w:sz w:val="18"/>
                <w:szCs w:val="18"/>
              </w:rPr>
              <w:t>Broj naselja</w:t>
            </w:r>
          </w:p>
        </w:tc>
        <w:tc>
          <w:tcPr>
            <w:tcW w:w="1045" w:type="dxa"/>
            <w:tcBorders>
              <w:top w:val="double" w:sz="4" w:space="0" w:color="auto"/>
              <w:bottom w:val="dotted" w:sz="4" w:space="0" w:color="auto"/>
            </w:tcBorders>
            <w:shd w:val="clear" w:color="auto" w:fill="auto"/>
            <w:noWrap/>
            <w:vAlign w:val="center"/>
            <w:hideMark/>
          </w:tcPr>
          <w:p w14:paraId="29A4ADE9" w14:textId="77777777" w:rsidR="00B54E97" w:rsidRPr="00B41B0F" w:rsidRDefault="00B54E97" w:rsidP="00B54E97">
            <w:pPr>
              <w:spacing w:before="0" w:after="0"/>
              <w:jc w:val="center"/>
              <w:rPr>
                <w:rFonts w:eastAsia="Times New Roman" w:cs="Times New Roman"/>
                <w:color w:val="000000"/>
                <w:sz w:val="18"/>
                <w:szCs w:val="18"/>
              </w:rPr>
            </w:pPr>
            <w:r w:rsidRPr="00B41B0F">
              <w:rPr>
                <w:rFonts w:eastAsia="Times New Roman" w:cs="Times New Roman"/>
                <w:color w:val="000000"/>
                <w:sz w:val="18"/>
                <w:szCs w:val="18"/>
              </w:rPr>
              <w:t>9</w:t>
            </w:r>
          </w:p>
        </w:tc>
        <w:tc>
          <w:tcPr>
            <w:tcW w:w="1214" w:type="dxa"/>
            <w:tcBorders>
              <w:top w:val="double" w:sz="4" w:space="0" w:color="auto"/>
              <w:bottom w:val="dotted" w:sz="4" w:space="0" w:color="auto"/>
            </w:tcBorders>
            <w:shd w:val="clear" w:color="auto" w:fill="auto"/>
            <w:noWrap/>
            <w:vAlign w:val="center"/>
            <w:hideMark/>
          </w:tcPr>
          <w:p w14:paraId="2DB08B81" w14:textId="77777777" w:rsidR="00B54E97" w:rsidRPr="00B41B0F" w:rsidRDefault="00B54E97" w:rsidP="00B54E97">
            <w:pPr>
              <w:spacing w:before="0" w:after="0"/>
              <w:jc w:val="center"/>
              <w:rPr>
                <w:rFonts w:eastAsia="Times New Roman" w:cs="Times New Roman"/>
                <w:color w:val="000000"/>
                <w:sz w:val="18"/>
                <w:szCs w:val="18"/>
              </w:rPr>
            </w:pPr>
            <w:r w:rsidRPr="00B41B0F">
              <w:rPr>
                <w:rFonts w:eastAsia="Times New Roman" w:cs="Times New Roman"/>
                <w:color w:val="000000"/>
                <w:sz w:val="18"/>
                <w:szCs w:val="18"/>
              </w:rPr>
              <w:t>102</w:t>
            </w:r>
          </w:p>
        </w:tc>
        <w:tc>
          <w:tcPr>
            <w:tcW w:w="1214" w:type="dxa"/>
            <w:tcBorders>
              <w:top w:val="double" w:sz="4" w:space="0" w:color="auto"/>
              <w:bottom w:val="dotted" w:sz="4" w:space="0" w:color="auto"/>
            </w:tcBorders>
            <w:shd w:val="clear" w:color="auto" w:fill="auto"/>
            <w:noWrap/>
            <w:vAlign w:val="center"/>
            <w:hideMark/>
          </w:tcPr>
          <w:p w14:paraId="68E48EC1" w14:textId="77777777" w:rsidR="00B54E97" w:rsidRPr="00B41B0F" w:rsidRDefault="00B54E97" w:rsidP="00B54E97">
            <w:pPr>
              <w:spacing w:before="0" w:after="0"/>
              <w:jc w:val="center"/>
              <w:rPr>
                <w:rFonts w:eastAsia="Times New Roman" w:cs="Times New Roman"/>
                <w:color w:val="000000"/>
                <w:sz w:val="18"/>
                <w:szCs w:val="18"/>
              </w:rPr>
            </w:pPr>
            <w:r w:rsidRPr="00B41B0F">
              <w:rPr>
                <w:rFonts w:eastAsia="Times New Roman" w:cs="Times New Roman"/>
                <w:color w:val="000000"/>
                <w:sz w:val="18"/>
                <w:szCs w:val="18"/>
              </w:rPr>
              <w:t>36</w:t>
            </w:r>
          </w:p>
        </w:tc>
        <w:tc>
          <w:tcPr>
            <w:tcW w:w="1214" w:type="dxa"/>
            <w:tcBorders>
              <w:top w:val="double" w:sz="4" w:space="0" w:color="auto"/>
              <w:bottom w:val="dotted" w:sz="4" w:space="0" w:color="auto"/>
            </w:tcBorders>
            <w:shd w:val="clear" w:color="auto" w:fill="auto"/>
            <w:noWrap/>
            <w:vAlign w:val="center"/>
            <w:hideMark/>
          </w:tcPr>
          <w:p w14:paraId="2345797A" w14:textId="77777777" w:rsidR="00B54E97" w:rsidRPr="00B41B0F" w:rsidRDefault="00B54E97" w:rsidP="00B54E97">
            <w:pPr>
              <w:spacing w:before="0" w:after="0"/>
              <w:jc w:val="center"/>
              <w:rPr>
                <w:rFonts w:eastAsia="Times New Roman" w:cs="Times New Roman"/>
                <w:color w:val="000000"/>
                <w:sz w:val="18"/>
                <w:szCs w:val="18"/>
              </w:rPr>
            </w:pPr>
            <w:r w:rsidRPr="00B41B0F">
              <w:rPr>
                <w:rFonts w:eastAsia="Times New Roman" w:cs="Times New Roman"/>
                <w:color w:val="000000"/>
                <w:sz w:val="18"/>
                <w:szCs w:val="18"/>
              </w:rPr>
              <w:t>19</w:t>
            </w:r>
          </w:p>
        </w:tc>
        <w:tc>
          <w:tcPr>
            <w:tcW w:w="1214" w:type="dxa"/>
            <w:tcBorders>
              <w:top w:val="double" w:sz="4" w:space="0" w:color="auto"/>
              <w:bottom w:val="dotted" w:sz="4" w:space="0" w:color="auto"/>
            </w:tcBorders>
            <w:shd w:val="clear" w:color="auto" w:fill="auto"/>
            <w:noWrap/>
            <w:vAlign w:val="center"/>
            <w:hideMark/>
          </w:tcPr>
          <w:p w14:paraId="3B51FE5C" w14:textId="77777777" w:rsidR="00B54E97" w:rsidRPr="00B41B0F" w:rsidRDefault="00B54E97" w:rsidP="00B54E97">
            <w:pPr>
              <w:spacing w:before="0" w:after="0"/>
              <w:jc w:val="center"/>
              <w:rPr>
                <w:rFonts w:eastAsia="Times New Roman" w:cs="Times New Roman"/>
                <w:color w:val="000000"/>
                <w:sz w:val="18"/>
                <w:szCs w:val="18"/>
              </w:rPr>
            </w:pPr>
            <w:r w:rsidRPr="00B41B0F">
              <w:rPr>
                <w:rFonts w:eastAsia="Times New Roman" w:cs="Times New Roman"/>
                <w:color w:val="000000"/>
                <w:sz w:val="18"/>
                <w:szCs w:val="18"/>
              </w:rPr>
              <w:t>8</w:t>
            </w:r>
          </w:p>
        </w:tc>
        <w:tc>
          <w:tcPr>
            <w:tcW w:w="1214" w:type="dxa"/>
            <w:tcBorders>
              <w:top w:val="double" w:sz="4" w:space="0" w:color="auto"/>
              <w:bottom w:val="dotted" w:sz="4" w:space="0" w:color="auto"/>
            </w:tcBorders>
            <w:shd w:val="clear" w:color="auto" w:fill="auto"/>
            <w:noWrap/>
            <w:vAlign w:val="center"/>
            <w:hideMark/>
          </w:tcPr>
          <w:p w14:paraId="5397DC5F" w14:textId="77777777" w:rsidR="00B54E97" w:rsidRPr="00B41B0F" w:rsidRDefault="00B54E97" w:rsidP="00B54E97">
            <w:pPr>
              <w:spacing w:before="0" w:after="0"/>
              <w:jc w:val="center"/>
              <w:rPr>
                <w:rFonts w:eastAsia="Times New Roman" w:cs="Times New Roman"/>
                <w:color w:val="000000"/>
                <w:sz w:val="18"/>
                <w:szCs w:val="18"/>
              </w:rPr>
            </w:pPr>
            <w:r w:rsidRPr="00B41B0F">
              <w:rPr>
                <w:rFonts w:eastAsia="Times New Roman" w:cs="Times New Roman"/>
                <w:color w:val="000000"/>
                <w:sz w:val="18"/>
                <w:szCs w:val="18"/>
              </w:rPr>
              <w:t>2</w:t>
            </w:r>
          </w:p>
        </w:tc>
        <w:tc>
          <w:tcPr>
            <w:tcW w:w="1214" w:type="dxa"/>
            <w:tcBorders>
              <w:top w:val="double" w:sz="4" w:space="0" w:color="auto"/>
              <w:bottom w:val="dotted" w:sz="4" w:space="0" w:color="auto"/>
            </w:tcBorders>
            <w:shd w:val="clear" w:color="auto" w:fill="auto"/>
            <w:noWrap/>
            <w:vAlign w:val="center"/>
            <w:hideMark/>
          </w:tcPr>
          <w:p w14:paraId="03EE1742" w14:textId="77777777" w:rsidR="00B54E97" w:rsidRPr="00B41B0F" w:rsidRDefault="00B54E97" w:rsidP="00B54E97">
            <w:pPr>
              <w:spacing w:before="0" w:after="0"/>
              <w:jc w:val="center"/>
              <w:rPr>
                <w:rFonts w:eastAsia="Times New Roman" w:cs="Times New Roman"/>
                <w:color w:val="000000"/>
                <w:sz w:val="18"/>
                <w:szCs w:val="18"/>
              </w:rPr>
            </w:pPr>
            <w:r w:rsidRPr="00B41B0F">
              <w:rPr>
                <w:rFonts w:eastAsia="Times New Roman" w:cs="Times New Roman"/>
                <w:color w:val="000000"/>
                <w:sz w:val="18"/>
                <w:szCs w:val="18"/>
              </w:rPr>
              <w:t>1</w:t>
            </w:r>
          </w:p>
        </w:tc>
      </w:tr>
      <w:tr w:rsidR="00B54E97" w:rsidRPr="00AE379E" w14:paraId="59E3B08A" w14:textId="77777777" w:rsidTr="00B54E97">
        <w:trPr>
          <w:trHeight w:val="280"/>
        </w:trPr>
        <w:tc>
          <w:tcPr>
            <w:tcW w:w="866" w:type="dxa"/>
            <w:tcBorders>
              <w:top w:val="dotted" w:sz="4" w:space="0" w:color="auto"/>
            </w:tcBorders>
          </w:tcPr>
          <w:p w14:paraId="55543F08" w14:textId="77777777" w:rsidR="00B54E97" w:rsidRPr="00AE379E" w:rsidRDefault="00B54E97" w:rsidP="00B54E97">
            <w:pPr>
              <w:spacing w:before="0" w:after="0"/>
              <w:jc w:val="left"/>
              <w:rPr>
                <w:rFonts w:eastAsia="Times New Roman" w:cs="Times New Roman"/>
                <w:i/>
                <w:color w:val="000000"/>
                <w:sz w:val="18"/>
                <w:szCs w:val="18"/>
              </w:rPr>
            </w:pPr>
            <w:r w:rsidRPr="00AE379E">
              <w:rPr>
                <w:rFonts w:eastAsia="Times New Roman" w:cs="Times New Roman"/>
                <w:i/>
                <w:color w:val="000000"/>
                <w:sz w:val="18"/>
                <w:szCs w:val="18"/>
              </w:rPr>
              <w:t xml:space="preserve">Udio </w:t>
            </w:r>
          </w:p>
        </w:tc>
        <w:tc>
          <w:tcPr>
            <w:tcW w:w="1045" w:type="dxa"/>
            <w:tcBorders>
              <w:top w:val="dotted" w:sz="4" w:space="0" w:color="auto"/>
            </w:tcBorders>
            <w:shd w:val="clear" w:color="auto" w:fill="auto"/>
            <w:noWrap/>
            <w:vAlign w:val="center"/>
            <w:hideMark/>
          </w:tcPr>
          <w:p w14:paraId="1C02FFEF" w14:textId="77777777" w:rsidR="00B54E97" w:rsidRPr="00AE379E" w:rsidRDefault="00B54E97" w:rsidP="00B54E97">
            <w:pPr>
              <w:spacing w:before="0" w:after="0"/>
              <w:jc w:val="center"/>
              <w:rPr>
                <w:rFonts w:eastAsia="Times New Roman" w:cs="Times New Roman"/>
                <w:i/>
                <w:color w:val="000000"/>
                <w:sz w:val="18"/>
                <w:szCs w:val="18"/>
              </w:rPr>
            </w:pPr>
            <w:r w:rsidRPr="00AE379E">
              <w:rPr>
                <w:rFonts w:eastAsia="Times New Roman" w:cs="Times New Roman"/>
                <w:i/>
                <w:color w:val="000000"/>
                <w:sz w:val="18"/>
                <w:szCs w:val="18"/>
              </w:rPr>
              <w:t>5%</w:t>
            </w:r>
          </w:p>
        </w:tc>
        <w:tc>
          <w:tcPr>
            <w:tcW w:w="1214" w:type="dxa"/>
            <w:tcBorders>
              <w:top w:val="dotted" w:sz="4" w:space="0" w:color="auto"/>
            </w:tcBorders>
            <w:shd w:val="clear" w:color="auto" w:fill="auto"/>
            <w:noWrap/>
            <w:vAlign w:val="center"/>
            <w:hideMark/>
          </w:tcPr>
          <w:p w14:paraId="3A212820" w14:textId="77777777" w:rsidR="00B54E97" w:rsidRPr="00AE379E" w:rsidRDefault="00B54E97" w:rsidP="00B54E97">
            <w:pPr>
              <w:spacing w:before="0" w:after="0"/>
              <w:jc w:val="center"/>
              <w:rPr>
                <w:rFonts w:eastAsia="Times New Roman" w:cs="Times New Roman"/>
                <w:i/>
                <w:color w:val="000000"/>
                <w:sz w:val="18"/>
                <w:szCs w:val="18"/>
              </w:rPr>
            </w:pPr>
            <w:r w:rsidRPr="00AE379E">
              <w:rPr>
                <w:rFonts w:eastAsia="Times New Roman" w:cs="Times New Roman"/>
                <w:i/>
                <w:color w:val="000000"/>
                <w:sz w:val="18"/>
                <w:szCs w:val="18"/>
              </w:rPr>
              <w:t>58%</w:t>
            </w:r>
          </w:p>
        </w:tc>
        <w:tc>
          <w:tcPr>
            <w:tcW w:w="1214" w:type="dxa"/>
            <w:tcBorders>
              <w:top w:val="dotted" w:sz="4" w:space="0" w:color="auto"/>
            </w:tcBorders>
            <w:shd w:val="clear" w:color="auto" w:fill="auto"/>
            <w:noWrap/>
            <w:vAlign w:val="center"/>
            <w:hideMark/>
          </w:tcPr>
          <w:p w14:paraId="250D2539" w14:textId="77777777" w:rsidR="00B54E97" w:rsidRPr="00AE379E" w:rsidRDefault="00B54E97" w:rsidP="00B54E97">
            <w:pPr>
              <w:spacing w:before="0" w:after="0"/>
              <w:jc w:val="center"/>
              <w:rPr>
                <w:rFonts w:eastAsia="Times New Roman" w:cs="Times New Roman"/>
                <w:i/>
                <w:color w:val="000000"/>
                <w:sz w:val="18"/>
                <w:szCs w:val="18"/>
              </w:rPr>
            </w:pPr>
            <w:r w:rsidRPr="00AE379E">
              <w:rPr>
                <w:rFonts w:eastAsia="Times New Roman" w:cs="Times New Roman"/>
                <w:i/>
                <w:color w:val="000000"/>
                <w:sz w:val="18"/>
                <w:szCs w:val="18"/>
              </w:rPr>
              <w:t>20%</w:t>
            </w:r>
          </w:p>
        </w:tc>
        <w:tc>
          <w:tcPr>
            <w:tcW w:w="1214" w:type="dxa"/>
            <w:tcBorders>
              <w:top w:val="dotted" w:sz="4" w:space="0" w:color="auto"/>
            </w:tcBorders>
            <w:shd w:val="clear" w:color="auto" w:fill="auto"/>
            <w:noWrap/>
            <w:vAlign w:val="center"/>
            <w:hideMark/>
          </w:tcPr>
          <w:p w14:paraId="0459CE22" w14:textId="77777777" w:rsidR="00B54E97" w:rsidRPr="00AE379E" w:rsidRDefault="00B54E97" w:rsidP="00B54E97">
            <w:pPr>
              <w:spacing w:before="0" w:after="0"/>
              <w:jc w:val="center"/>
              <w:rPr>
                <w:rFonts w:eastAsia="Times New Roman" w:cs="Times New Roman"/>
                <w:i/>
                <w:color w:val="000000"/>
                <w:sz w:val="18"/>
                <w:szCs w:val="18"/>
              </w:rPr>
            </w:pPr>
            <w:r w:rsidRPr="00AE379E">
              <w:rPr>
                <w:rFonts w:eastAsia="Times New Roman" w:cs="Times New Roman"/>
                <w:i/>
                <w:color w:val="000000"/>
                <w:sz w:val="18"/>
                <w:szCs w:val="18"/>
              </w:rPr>
              <w:t>11%</w:t>
            </w:r>
          </w:p>
        </w:tc>
        <w:tc>
          <w:tcPr>
            <w:tcW w:w="1214" w:type="dxa"/>
            <w:tcBorders>
              <w:top w:val="dotted" w:sz="4" w:space="0" w:color="auto"/>
            </w:tcBorders>
            <w:shd w:val="clear" w:color="auto" w:fill="auto"/>
            <w:noWrap/>
            <w:vAlign w:val="center"/>
            <w:hideMark/>
          </w:tcPr>
          <w:p w14:paraId="04459A57" w14:textId="77777777" w:rsidR="00B54E97" w:rsidRPr="00AE379E" w:rsidRDefault="00B54E97" w:rsidP="00B54E97">
            <w:pPr>
              <w:spacing w:before="0" w:after="0"/>
              <w:jc w:val="center"/>
              <w:rPr>
                <w:rFonts w:eastAsia="Times New Roman" w:cs="Times New Roman"/>
                <w:i/>
                <w:color w:val="000000"/>
                <w:sz w:val="18"/>
                <w:szCs w:val="18"/>
              </w:rPr>
            </w:pPr>
            <w:r w:rsidRPr="00AE379E">
              <w:rPr>
                <w:rFonts w:eastAsia="Times New Roman" w:cs="Times New Roman"/>
                <w:i/>
                <w:color w:val="000000"/>
                <w:sz w:val="18"/>
                <w:szCs w:val="18"/>
              </w:rPr>
              <w:t>5%</w:t>
            </w:r>
          </w:p>
        </w:tc>
        <w:tc>
          <w:tcPr>
            <w:tcW w:w="1214" w:type="dxa"/>
            <w:tcBorders>
              <w:top w:val="dotted" w:sz="4" w:space="0" w:color="auto"/>
            </w:tcBorders>
            <w:shd w:val="clear" w:color="auto" w:fill="auto"/>
            <w:noWrap/>
            <w:vAlign w:val="center"/>
            <w:hideMark/>
          </w:tcPr>
          <w:p w14:paraId="7D3EA09E" w14:textId="77777777" w:rsidR="00B54E97" w:rsidRPr="00AE379E" w:rsidRDefault="00B54E97" w:rsidP="00B54E97">
            <w:pPr>
              <w:spacing w:before="0" w:after="0"/>
              <w:jc w:val="center"/>
              <w:rPr>
                <w:rFonts w:eastAsia="Times New Roman" w:cs="Times New Roman"/>
                <w:i/>
                <w:color w:val="000000"/>
                <w:sz w:val="18"/>
                <w:szCs w:val="18"/>
              </w:rPr>
            </w:pPr>
            <w:r w:rsidRPr="00AE379E">
              <w:rPr>
                <w:rFonts w:eastAsia="Times New Roman" w:cs="Times New Roman"/>
                <w:i/>
                <w:color w:val="000000"/>
                <w:sz w:val="18"/>
                <w:szCs w:val="18"/>
              </w:rPr>
              <w:t>1%</w:t>
            </w:r>
          </w:p>
        </w:tc>
        <w:tc>
          <w:tcPr>
            <w:tcW w:w="1214" w:type="dxa"/>
            <w:tcBorders>
              <w:top w:val="dotted" w:sz="4" w:space="0" w:color="auto"/>
            </w:tcBorders>
            <w:shd w:val="clear" w:color="auto" w:fill="auto"/>
            <w:noWrap/>
            <w:vAlign w:val="center"/>
            <w:hideMark/>
          </w:tcPr>
          <w:p w14:paraId="66A4C342" w14:textId="77777777" w:rsidR="00B54E97" w:rsidRPr="00AE379E" w:rsidRDefault="00B54E97" w:rsidP="00B54E97">
            <w:pPr>
              <w:spacing w:before="0" w:after="0"/>
              <w:jc w:val="center"/>
              <w:rPr>
                <w:rFonts w:eastAsia="Times New Roman" w:cs="Times New Roman"/>
                <w:i/>
                <w:color w:val="000000"/>
                <w:sz w:val="18"/>
                <w:szCs w:val="18"/>
              </w:rPr>
            </w:pPr>
            <w:r w:rsidRPr="00AE379E">
              <w:rPr>
                <w:rFonts w:eastAsia="Times New Roman" w:cs="Times New Roman"/>
                <w:i/>
                <w:color w:val="000000"/>
                <w:sz w:val="18"/>
                <w:szCs w:val="18"/>
              </w:rPr>
              <w:t>1%</w:t>
            </w:r>
          </w:p>
        </w:tc>
      </w:tr>
      <w:tr w:rsidR="00B54E97" w:rsidRPr="00DC0F9A" w14:paraId="21CF2472" w14:textId="77777777" w:rsidTr="00B54E97">
        <w:trPr>
          <w:trHeight w:val="280"/>
        </w:trPr>
        <w:tc>
          <w:tcPr>
            <w:tcW w:w="866" w:type="dxa"/>
            <w:tcBorders>
              <w:bottom w:val="dotted" w:sz="4" w:space="0" w:color="auto"/>
            </w:tcBorders>
          </w:tcPr>
          <w:p w14:paraId="0EF877C0" w14:textId="77777777" w:rsidR="00B54E97" w:rsidRPr="00DC0F9A" w:rsidRDefault="00B54E97" w:rsidP="00B54E97">
            <w:pPr>
              <w:spacing w:before="0" w:after="0"/>
              <w:jc w:val="left"/>
              <w:rPr>
                <w:rFonts w:eastAsia="Times New Roman" w:cs="Times New Roman"/>
                <w:color w:val="000000"/>
                <w:sz w:val="18"/>
                <w:szCs w:val="18"/>
              </w:rPr>
            </w:pPr>
            <w:r>
              <w:rPr>
                <w:rFonts w:eastAsia="Times New Roman" w:cs="Times New Roman"/>
                <w:color w:val="000000"/>
                <w:sz w:val="18"/>
                <w:szCs w:val="18"/>
              </w:rPr>
              <w:t>Broj stan.</w:t>
            </w:r>
          </w:p>
        </w:tc>
        <w:tc>
          <w:tcPr>
            <w:tcW w:w="1045" w:type="dxa"/>
            <w:tcBorders>
              <w:bottom w:val="dotted" w:sz="4" w:space="0" w:color="auto"/>
            </w:tcBorders>
            <w:shd w:val="clear" w:color="auto" w:fill="auto"/>
            <w:noWrap/>
            <w:vAlign w:val="center"/>
          </w:tcPr>
          <w:p w14:paraId="6D16BD84" w14:textId="77777777" w:rsidR="00B54E97" w:rsidRPr="00DC0F9A" w:rsidRDefault="00B54E97" w:rsidP="00B54E97">
            <w:pPr>
              <w:spacing w:before="0" w:after="0"/>
              <w:jc w:val="center"/>
              <w:rPr>
                <w:rFonts w:eastAsia="Times New Roman" w:cs="Times New Roman"/>
                <w:color w:val="000000"/>
                <w:sz w:val="18"/>
                <w:szCs w:val="18"/>
              </w:rPr>
            </w:pPr>
            <w:r>
              <w:rPr>
                <w:rFonts w:eastAsia="Times New Roman" w:cs="Times New Roman"/>
                <w:color w:val="000000"/>
                <w:sz w:val="18"/>
                <w:szCs w:val="18"/>
              </w:rPr>
              <w:t>0</w:t>
            </w:r>
          </w:p>
        </w:tc>
        <w:tc>
          <w:tcPr>
            <w:tcW w:w="1214" w:type="dxa"/>
            <w:tcBorders>
              <w:bottom w:val="dotted" w:sz="4" w:space="0" w:color="auto"/>
            </w:tcBorders>
            <w:shd w:val="clear" w:color="auto" w:fill="auto"/>
            <w:noWrap/>
            <w:vAlign w:val="center"/>
          </w:tcPr>
          <w:p w14:paraId="1C7156B5" w14:textId="77777777" w:rsidR="00B54E97" w:rsidRPr="00DC0F9A" w:rsidRDefault="00B54E97" w:rsidP="00B54E97">
            <w:pPr>
              <w:spacing w:before="0" w:after="0"/>
              <w:jc w:val="center"/>
              <w:rPr>
                <w:rFonts w:eastAsia="Times New Roman" w:cs="Times New Roman"/>
                <w:color w:val="000000"/>
                <w:sz w:val="18"/>
                <w:szCs w:val="18"/>
              </w:rPr>
            </w:pPr>
            <w:r>
              <w:rPr>
                <w:rFonts w:eastAsia="Times New Roman" w:cs="Times New Roman"/>
                <w:color w:val="000000"/>
                <w:sz w:val="18"/>
                <w:szCs w:val="18"/>
              </w:rPr>
              <w:t>3,671</w:t>
            </w:r>
          </w:p>
        </w:tc>
        <w:tc>
          <w:tcPr>
            <w:tcW w:w="1214" w:type="dxa"/>
            <w:tcBorders>
              <w:bottom w:val="dotted" w:sz="4" w:space="0" w:color="auto"/>
            </w:tcBorders>
            <w:shd w:val="clear" w:color="auto" w:fill="auto"/>
            <w:noWrap/>
            <w:vAlign w:val="center"/>
          </w:tcPr>
          <w:p w14:paraId="43182B01" w14:textId="77777777" w:rsidR="00B54E97" w:rsidRPr="00DC0F9A" w:rsidRDefault="00B54E97" w:rsidP="00B54E97">
            <w:pPr>
              <w:spacing w:before="0" w:after="0"/>
              <w:jc w:val="center"/>
              <w:rPr>
                <w:rFonts w:eastAsia="Times New Roman" w:cs="Times New Roman"/>
                <w:color w:val="000000"/>
                <w:sz w:val="18"/>
                <w:szCs w:val="18"/>
              </w:rPr>
            </w:pPr>
            <w:r>
              <w:rPr>
                <w:rFonts w:eastAsia="Times New Roman" w:cs="Times New Roman"/>
                <w:color w:val="000000"/>
                <w:sz w:val="18"/>
                <w:szCs w:val="18"/>
              </w:rPr>
              <w:t>5,138</w:t>
            </w:r>
          </w:p>
        </w:tc>
        <w:tc>
          <w:tcPr>
            <w:tcW w:w="1214" w:type="dxa"/>
            <w:tcBorders>
              <w:bottom w:val="dotted" w:sz="4" w:space="0" w:color="auto"/>
            </w:tcBorders>
            <w:shd w:val="clear" w:color="auto" w:fill="auto"/>
            <w:noWrap/>
            <w:vAlign w:val="center"/>
          </w:tcPr>
          <w:p w14:paraId="1136A99F" w14:textId="77777777" w:rsidR="00B54E97" w:rsidRPr="00DC0F9A" w:rsidRDefault="00B54E97" w:rsidP="00B54E97">
            <w:pPr>
              <w:spacing w:before="0" w:after="0"/>
              <w:jc w:val="center"/>
              <w:rPr>
                <w:rFonts w:eastAsia="Times New Roman" w:cs="Times New Roman"/>
                <w:color w:val="000000"/>
                <w:sz w:val="18"/>
                <w:szCs w:val="18"/>
              </w:rPr>
            </w:pPr>
            <w:r>
              <w:rPr>
                <w:rFonts w:eastAsia="Times New Roman" w:cs="Times New Roman"/>
                <w:color w:val="000000"/>
                <w:sz w:val="18"/>
                <w:szCs w:val="18"/>
              </w:rPr>
              <w:t>5,738</w:t>
            </w:r>
          </w:p>
        </w:tc>
        <w:tc>
          <w:tcPr>
            <w:tcW w:w="1214" w:type="dxa"/>
            <w:tcBorders>
              <w:bottom w:val="dotted" w:sz="4" w:space="0" w:color="auto"/>
            </w:tcBorders>
            <w:shd w:val="clear" w:color="auto" w:fill="auto"/>
            <w:noWrap/>
            <w:vAlign w:val="center"/>
          </w:tcPr>
          <w:p w14:paraId="7915ED95" w14:textId="77777777" w:rsidR="00B54E97" w:rsidRPr="00DC0F9A" w:rsidRDefault="00B54E97" w:rsidP="00B54E97">
            <w:pPr>
              <w:spacing w:before="0" w:after="0"/>
              <w:jc w:val="center"/>
              <w:rPr>
                <w:rFonts w:eastAsia="Times New Roman" w:cs="Times New Roman"/>
                <w:color w:val="000000"/>
                <w:sz w:val="18"/>
                <w:szCs w:val="18"/>
              </w:rPr>
            </w:pPr>
            <w:r>
              <w:rPr>
                <w:rFonts w:eastAsia="Times New Roman" w:cs="Times New Roman"/>
                <w:color w:val="000000"/>
                <w:sz w:val="18"/>
                <w:szCs w:val="18"/>
              </w:rPr>
              <w:t>5,130</w:t>
            </w:r>
          </w:p>
        </w:tc>
        <w:tc>
          <w:tcPr>
            <w:tcW w:w="1214" w:type="dxa"/>
            <w:tcBorders>
              <w:bottom w:val="dotted" w:sz="4" w:space="0" w:color="auto"/>
            </w:tcBorders>
            <w:shd w:val="clear" w:color="auto" w:fill="auto"/>
            <w:noWrap/>
            <w:vAlign w:val="center"/>
          </w:tcPr>
          <w:p w14:paraId="59486F81" w14:textId="77777777" w:rsidR="00B54E97" w:rsidRPr="00DC0F9A" w:rsidRDefault="00B54E97" w:rsidP="00B54E97">
            <w:pPr>
              <w:spacing w:before="0" w:after="0"/>
              <w:jc w:val="center"/>
              <w:rPr>
                <w:rFonts w:eastAsia="Times New Roman" w:cs="Times New Roman"/>
                <w:color w:val="000000"/>
                <w:sz w:val="18"/>
                <w:szCs w:val="18"/>
              </w:rPr>
            </w:pPr>
            <w:r>
              <w:rPr>
                <w:rFonts w:eastAsia="Times New Roman" w:cs="Times New Roman"/>
                <w:color w:val="000000"/>
                <w:sz w:val="18"/>
                <w:szCs w:val="18"/>
              </w:rPr>
              <w:t>7,192</w:t>
            </w:r>
          </w:p>
        </w:tc>
        <w:tc>
          <w:tcPr>
            <w:tcW w:w="1214" w:type="dxa"/>
            <w:tcBorders>
              <w:bottom w:val="dotted" w:sz="4" w:space="0" w:color="auto"/>
            </w:tcBorders>
            <w:shd w:val="clear" w:color="auto" w:fill="auto"/>
            <w:noWrap/>
            <w:vAlign w:val="center"/>
          </w:tcPr>
          <w:p w14:paraId="4AEA83CD" w14:textId="77777777" w:rsidR="00B54E97" w:rsidRPr="00DC0F9A" w:rsidRDefault="00B54E97" w:rsidP="00B54E97">
            <w:pPr>
              <w:spacing w:before="0" w:after="0"/>
              <w:jc w:val="center"/>
              <w:rPr>
                <w:rFonts w:eastAsia="Times New Roman" w:cs="Times New Roman"/>
                <w:color w:val="000000"/>
                <w:sz w:val="18"/>
                <w:szCs w:val="18"/>
              </w:rPr>
            </w:pPr>
            <w:r>
              <w:rPr>
                <w:rFonts w:eastAsia="Times New Roman" w:cs="Times New Roman"/>
                <w:color w:val="000000"/>
                <w:sz w:val="18"/>
                <w:szCs w:val="18"/>
              </w:rPr>
              <w:t>46,833</w:t>
            </w:r>
          </w:p>
        </w:tc>
      </w:tr>
      <w:tr w:rsidR="00B54E97" w:rsidRPr="00AE379E" w14:paraId="286E15FD" w14:textId="77777777" w:rsidTr="00B54E97">
        <w:trPr>
          <w:trHeight w:val="280"/>
        </w:trPr>
        <w:tc>
          <w:tcPr>
            <w:tcW w:w="866" w:type="dxa"/>
            <w:tcBorders>
              <w:top w:val="dotted" w:sz="4" w:space="0" w:color="auto"/>
            </w:tcBorders>
          </w:tcPr>
          <w:p w14:paraId="22B5DC25" w14:textId="77777777" w:rsidR="00B54E97" w:rsidRDefault="00B54E97" w:rsidP="00B54E97">
            <w:pPr>
              <w:spacing w:before="0" w:after="0"/>
              <w:jc w:val="left"/>
              <w:rPr>
                <w:rFonts w:eastAsia="Times New Roman" w:cs="Times New Roman"/>
                <w:i/>
                <w:color w:val="000000"/>
                <w:sz w:val="18"/>
                <w:szCs w:val="18"/>
              </w:rPr>
            </w:pPr>
            <w:r>
              <w:rPr>
                <w:rFonts w:eastAsia="Times New Roman" w:cs="Times New Roman"/>
                <w:i/>
                <w:color w:val="000000"/>
                <w:sz w:val="18"/>
                <w:szCs w:val="18"/>
              </w:rPr>
              <w:t>Udio</w:t>
            </w:r>
          </w:p>
        </w:tc>
        <w:tc>
          <w:tcPr>
            <w:tcW w:w="1045" w:type="dxa"/>
            <w:tcBorders>
              <w:top w:val="dotted" w:sz="4" w:space="0" w:color="auto"/>
            </w:tcBorders>
            <w:shd w:val="clear" w:color="auto" w:fill="auto"/>
            <w:noWrap/>
            <w:vAlign w:val="center"/>
          </w:tcPr>
          <w:p w14:paraId="35CB29CB" w14:textId="77777777" w:rsidR="00B54E97" w:rsidRPr="00AE379E" w:rsidRDefault="00B54E97" w:rsidP="00B54E97">
            <w:pPr>
              <w:spacing w:before="0" w:after="0"/>
              <w:jc w:val="center"/>
              <w:rPr>
                <w:rFonts w:eastAsia="Times New Roman" w:cs="Times New Roman"/>
                <w:i/>
                <w:color w:val="000000"/>
                <w:sz w:val="18"/>
                <w:szCs w:val="18"/>
              </w:rPr>
            </w:pPr>
            <w:r>
              <w:rPr>
                <w:rFonts w:eastAsia="Times New Roman" w:cs="Times New Roman"/>
                <w:i/>
                <w:color w:val="000000"/>
                <w:sz w:val="18"/>
                <w:szCs w:val="18"/>
              </w:rPr>
              <w:t>0</w:t>
            </w:r>
          </w:p>
        </w:tc>
        <w:tc>
          <w:tcPr>
            <w:tcW w:w="1214" w:type="dxa"/>
            <w:tcBorders>
              <w:top w:val="dotted" w:sz="4" w:space="0" w:color="auto"/>
            </w:tcBorders>
            <w:shd w:val="clear" w:color="auto" w:fill="auto"/>
            <w:noWrap/>
            <w:vAlign w:val="center"/>
          </w:tcPr>
          <w:p w14:paraId="4E0F2CFB" w14:textId="77777777" w:rsidR="00B54E97" w:rsidRPr="00AE379E" w:rsidRDefault="00B54E97" w:rsidP="00B54E97">
            <w:pPr>
              <w:spacing w:before="0" w:after="0"/>
              <w:jc w:val="center"/>
              <w:rPr>
                <w:rFonts w:eastAsia="Times New Roman" w:cs="Times New Roman"/>
                <w:i/>
                <w:color w:val="000000"/>
                <w:sz w:val="18"/>
                <w:szCs w:val="18"/>
              </w:rPr>
            </w:pPr>
            <w:r>
              <w:rPr>
                <w:rFonts w:eastAsia="Times New Roman" w:cs="Times New Roman"/>
                <w:i/>
                <w:color w:val="000000"/>
                <w:sz w:val="18"/>
                <w:szCs w:val="18"/>
              </w:rPr>
              <w:t>5%</w:t>
            </w:r>
          </w:p>
        </w:tc>
        <w:tc>
          <w:tcPr>
            <w:tcW w:w="1214" w:type="dxa"/>
            <w:tcBorders>
              <w:top w:val="dotted" w:sz="4" w:space="0" w:color="auto"/>
            </w:tcBorders>
            <w:shd w:val="clear" w:color="auto" w:fill="auto"/>
            <w:noWrap/>
            <w:vAlign w:val="center"/>
          </w:tcPr>
          <w:p w14:paraId="373D8A07" w14:textId="77777777" w:rsidR="00B54E97" w:rsidRPr="00AE379E" w:rsidRDefault="00B54E97" w:rsidP="00B54E97">
            <w:pPr>
              <w:spacing w:before="0" w:after="0"/>
              <w:jc w:val="center"/>
              <w:rPr>
                <w:rFonts w:eastAsia="Times New Roman" w:cs="Times New Roman"/>
                <w:i/>
                <w:color w:val="000000"/>
                <w:sz w:val="18"/>
                <w:szCs w:val="18"/>
              </w:rPr>
            </w:pPr>
            <w:r>
              <w:rPr>
                <w:rFonts w:eastAsia="Times New Roman" w:cs="Times New Roman"/>
                <w:i/>
                <w:color w:val="000000"/>
                <w:sz w:val="18"/>
                <w:szCs w:val="18"/>
              </w:rPr>
              <w:t>7%</w:t>
            </w:r>
          </w:p>
        </w:tc>
        <w:tc>
          <w:tcPr>
            <w:tcW w:w="1214" w:type="dxa"/>
            <w:tcBorders>
              <w:top w:val="dotted" w:sz="4" w:space="0" w:color="auto"/>
            </w:tcBorders>
            <w:shd w:val="clear" w:color="auto" w:fill="auto"/>
            <w:noWrap/>
            <w:vAlign w:val="center"/>
          </w:tcPr>
          <w:p w14:paraId="4EE4F726" w14:textId="77777777" w:rsidR="00B54E97" w:rsidRPr="00AE379E" w:rsidRDefault="00B54E97" w:rsidP="00B54E97">
            <w:pPr>
              <w:spacing w:before="0" w:after="0"/>
              <w:jc w:val="center"/>
              <w:rPr>
                <w:rFonts w:eastAsia="Times New Roman" w:cs="Times New Roman"/>
                <w:i/>
                <w:color w:val="000000"/>
                <w:sz w:val="18"/>
                <w:szCs w:val="18"/>
              </w:rPr>
            </w:pPr>
            <w:r>
              <w:rPr>
                <w:rFonts w:eastAsia="Times New Roman" w:cs="Times New Roman"/>
                <w:i/>
                <w:color w:val="000000"/>
                <w:sz w:val="18"/>
                <w:szCs w:val="18"/>
              </w:rPr>
              <w:t>8%</w:t>
            </w:r>
          </w:p>
        </w:tc>
        <w:tc>
          <w:tcPr>
            <w:tcW w:w="1214" w:type="dxa"/>
            <w:tcBorders>
              <w:top w:val="dotted" w:sz="4" w:space="0" w:color="auto"/>
            </w:tcBorders>
            <w:shd w:val="clear" w:color="auto" w:fill="auto"/>
            <w:noWrap/>
            <w:vAlign w:val="center"/>
          </w:tcPr>
          <w:p w14:paraId="40EA4705" w14:textId="77777777" w:rsidR="00B54E97" w:rsidRPr="00AE379E" w:rsidRDefault="00B54E97" w:rsidP="00B54E97">
            <w:pPr>
              <w:spacing w:before="0" w:after="0"/>
              <w:jc w:val="center"/>
              <w:rPr>
                <w:rFonts w:eastAsia="Times New Roman" w:cs="Times New Roman"/>
                <w:i/>
                <w:color w:val="000000"/>
                <w:sz w:val="18"/>
                <w:szCs w:val="18"/>
              </w:rPr>
            </w:pPr>
            <w:r>
              <w:rPr>
                <w:rFonts w:eastAsia="Times New Roman" w:cs="Times New Roman"/>
                <w:i/>
                <w:color w:val="000000"/>
                <w:sz w:val="18"/>
                <w:szCs w:val="18"/>
              </w:rPr>
              <w:t>7%</w:t>
            </w:r>
          </w:p>
        </w:tc>
        <w:tc>
          <w:tcPr>
            <w:tcW w:w="1214" w:type="dxa"/>
            <w:tcBorders>
              <w:top w:val="dotted" w:sz="4" w:space="0" w:color="auto"/>
            </w:tcBorders>
            <w:shd w:val="clear" w:color="auto" w:fill="auto"/>
            <w:noWrap/>
            <w:vAlign w:val="center"/>
          </w:tcPr>
          <w:p w14:paraId="76B358F7" w14:textId="77777777" w:rsidR="00B54E97" w:rsidRPr="00AE379E" w:rsidRDefault="00B54E97" w:rsidP="00B54E97">
            <w:pPr>
              <w:spacing w:before="0" w:after="0"/>
              <w:jc w:val="center"/>
              <w:rPr>
                <w:rFonts w:eastAsia="Times New Roman" w:cs="Times New Roman"/>
                <w:i/>
                <w:color w:val="000000"/>
                <w:sz w:val="18"/>
                <w:szCs w:val="18"/>
              </w:rPr>
            </w:pPr>
            <w:r>
              <w:rPr>
                <w:rFonts w:eastAsia="Times New Roman" w:cs="Times New Roman"/>
                <w:i/>
                <w:color w:val="000000"/>
                <w:sz w:val="18"/>
                <w:szCs w:val="18"/>
              </w:rPr>
              <w:t>10%</w:t>
            </w:r>
          </w:p>
        </w:tc>
        <w:tc>
          <w:tcPr>
            <w:tcW w:w="1214" w:type="dxa"/>
            <w:tcBorders>
              <w:top w:val="dotted" w:sz="4" w:space="0" w:color="auto"/>
            </w:tcBorders>
            <w:shd w:val="clear" w:color="auto" w:fill="auto"/>
            <w:noWrap/>
            <w:vAlign w:val="center"/>
          </w:tcPr>
          <w:p w14:paraId="5968E6E0" w14:textId="77777777" w:rsidR="00B54E97" w:rsidRPr="00AE379E" w:rsidRDefault="00B54E97" w:rsidP="00B54E97">
            <w:pPr>
              <w:spacing w:before="0" w:after="0"/>
              <w:jc w:val="center"/>
              <w:rPr>
                <w:rFonts w:eastAsia="Times New Roman" w:cs="Times New Roman"/>
                <w:i/>
                <w:color w:val="000000"/>
                <w:sz w:val="18"/>
                <w:szCs w:val="18"/>
              </w:rPr>
            </w:pPr>
            <w:r>
              <w:rPr>
                <w:rFonts w:eastAsia="Times New Roman" w:cs="Times New Roman"/>
                <w:i/>
                <w:color w:val="000000"/>
                <w:sz w:val="18"/>
                <w:szCs w:val="18"/>
              </w:rPr>
              <w:t>63%</w:t>
            </w:r>
          </w:p>
        </w:tc>
      </w:tr>
    </w:tbl>
    <w:p w14:paraId="6BC39C78" w14:textId="77777777" w:rsidR="00814558" w:rsidRDefault="00814558" w:rsidP="00814558">
      <w:pPr>
        <w:pStyle w:val="Izvor"/>
      </w:pPr>
      <w:r>
        <w:t>Izvor: DZS, Popis 2011, obrada autora</w:t>
      </w:r>
    </w:p>
    <w:p w14:paraId="363161CB" w14:textId="77777777" w:rsidR="00D404BE" w:rsidRDefault="00D404BE" w:rsidP="00B54E97"/>
    <w:p w14:paraId="700E2F75" w14:textId="0D11EF6E" w:rsidR="00BC2D60" w:rsidRDefault="00B54E97" w:rsidP="00B54E97">
      <w:r>
        <w:t xml:space="preserve">Iako je </w:t>
      </w:r>
      <w:r w:rsidRPr="007147C3">
        <w:rPr>
          <w:b/>
        </w:rPr>
        <w:t>disperziranost naseljenosti i velik</w:t>
      </w:r>
      <w:r w:rsidR="004771A2">
        <w:rPr>
          <w:b/>
        </w:rPr>
        <w:t>i</w:t>
      </w:r>
      <w:r w:rsidRPr="007147C3">
        <w:rPr>
          <w:b/>
        </w:rPr>
        <w:t xml:space="preserve"> broj malih naselja nepovoljna karakteristika urbane strukture VUPKA</w:t>
      </w:r>
      <w:r>
        <w:t xml:space="preserve"> koja podrazumijeva uobičajene negativne efekte (suvišni pritisci na okoliš, opterećenje komunalne infrastrukture i sl.), </w:t>
      </w:r>
      <w:r w:rsidRPr="007147C3">
        <w:rPr>
          <w:b/>
        </w:rPr>
        <w:t>postojeća kon</w:t>
      </w:r>
      <w:r w:rsidR="004771A2">
        <w:rPr>
          <w:b/>
        </w:rPr>
        <w:t>centracija stanovništva i socio</w:t>
      </w:r>
      <w:r w:rsidRPr="007147C3">
        <w:rPr>
          <w:b/>
        </w:rPr>
        <w:t>ekonomskog života u ova tri centra je povoljno zatečeno stanje koje je dobar temelj za održivu prostornu organizaciju i policentrični razvoj</w:t>
      </w:r>
      <w:r>
        <w:t xml:space="preserve">. Prema planiranim stupnjevima centraliteta središnjih naselja koji su nužni za uravnoteženi prostorni razvoj države kako ga definira Strategija prostornog razvoja Republike Hrvatske, </w:t>
      </w:r>
      <w:r w:rsidRPr="00DE6514">
        <w:rPr>
          <w:b/>
        </w:rPr>
        <w:t>gradovi Karlovac, Duga Resa i</w:t>
      </w:r>
      <w:r w:rsidR="004771A2">
        <w:rPr>
          <w:b/>
        </w:rPr>
        <w:t xml:space="preserve"> Ozalj su regionalni (Karlovac) </w:t>
      </w:r>
      <w:r w:rsidRPr="00DE6514">
        <w:rPr>
          <w:b/>
        </w:rPr>
        <w:t>odnosno subregionalni centri (Ozalj, Duga Resa), čije je jačanje funkcija od presudne važnosti za ublažavanje negativnih razvojnih i demografskih procesa, izbjegavanje polarizacije između glavnog grada, metropolitanskih područja i srednje velikih gradova na nacionalnoj razini te općenito, generiranje općeg regionalnog razvoja Republike Hrvatske</w:t>
      </w:r>
      <w:r w:rsidR="00786429">
        <w:rPr>
          <w:rStyle w:val="FootnoteReference"/>
          <w:b/>
        </w:rPr>
        <w:footnoteReference w:id="14"/>
      </w:r>
      <w:r w:rsidR="004771A2">
        <w:t>. Pri</w:t>
      </w:r>
      <w:r w:rsidR="0051752E">
        <w:t xml:space="preserve"> </w:t>
      </w:r>
      <w:r w:rsidR="004771A2">
        <w:t>tom</w:t>
      </w:r>
      <w:r w:rsidR="0051752E">
        <w:t>e,</w:t>
      </w:r>
      <w:r>
        <w:t xml:space="preserve"> u</w:t>
      </w:r>
      <w:r w:rsidRPr="00B54E97">
        <w:t xml:space="preserve"> planiranoj policentričnoj strukturi naselja </w:t>
      </w:r>
      <w:r>
        <w:t xml:space="preserve">– kako na razini Republike Hrvatske, tako i na razini Karlovačke županije i VUPKA - </w:t>
      </w:r>
      <w:r w:rsidRPr="00B54E97">
        <w:t>potrebno je sačuvati vrijednosti prirodnih</w:t>
      </w:r>
      <w:r>
        <w:t xml:space="preserve"> okružja gradova i identitet ma</w:t>
      </w:r>
      <w:r w:rsidRPr="00B54E97">
        <w:t xml:space="preserve">njih naselja, </w:t>
      </w:r>
      <w:r>
        <w:t>uz prepoznavanje i planiranje stupnjeva centraliteta i određivanje funkcija, odnosno društvenih sadržaja, bez kojih pojedino naselje ne bi smjelo ostati.</w:t>
      </w:r>
    </w:p>
    <w:p w14:paraId="072FD76B" w14:textId="77777777" w:rsidR="00814558" w:rsidRDefault="00814558" w:rsidP="00B54E97"/>
    <w:p w14:paraId="5B0CF3B7" w14:textId="3D4F439C" w:rsidR="000E2CBC" w:rsidRDefault="004611F7" w:rsidP="004611F7">
      <w:pPr>
        <w:pStyle w:val="Caption"/>
      </w:pPr>
      <w:bookmarkStart w:id="11" w:name="_Toc437387458"/>
      <w:r>
        <w:lastRenderedPageBreak/>
        <w:t xml:space="preserve">Slika </w:t>
      </w:r>
      <w:r>
        <w:fldChar w:fldCharType="begin"/>
      </w:r>
      <w:r>
        <w:instrText xml:space="preserve"> SEQ Slika \* ARABIC </w:instrText>
      </w:r>
      <w:r>
        <w:fldChar w:fldCharType="separate"/>
      </w:r>
      <w:r w:rsidR="001358A9">
        <w:rPr>
          <w:noProof/>
        </w:rPr>
        <w:t>2</w:t>
      </w:r>
      <w:r>
        <w:fldChar w:fldCharType="end"/>
      </w:r>
      <w:r w:rsidR="000E2CBC">
        <w:t>. Planirani sustav središnjih naselja, Strategija prostornog razvoja Republike Hrvatske</w:t>
      </w:r>
      <w:bookmarkEnd w:id="11"/>
    </w:p>
    <w:p w14:paraId="2B93AEDE" w14:textId="1AC9EB46" w:rsidR="00B54E97" w:rsidRPr="00BA42CF" w:rsidRDefault="000E2CBC" w:rsidP="005F6B6B">
      <w:r>
        <w:rPr>
          <w:noProof/>
          <w:lang w:val="en-US"/>
        </w:rPr>
        <w:drawing>
          <wp:anchor distT="0" distB="0" distL="114300" distR="114300" simplePos="0" relativeHeight="251666432" behindDoc="0" locked="0" layoutInCell="1" allowOverlap="1" wp14:anchorId="28858ED4" wp14:editId="563FCC5F">
            <wp:simplePos x="0" y="0"/>
            <wp:positionH relativeFrom="column">
              <wp:posOffset>0</wp:posOffset>
            </wp:positionH>
            <wp:positionV relativeFrom="paragraph">
              <wp:posOffset>4655820</wp:posOffset>
            </wp:positionV>
            <wp:extent cx="1438275" cy="981075"/>
            <wp:effectExtent l="0" t="0" r="9525"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stavNaselja-legenda.png"/>
                    <pic:cNvPicPr/>
                  </pic:nvPicPr>
                  <pic:blipFill>
                    <a:blip r:embed="rId24">
                      <a:extLst>
                        <a:ext uri="{28A0092B-C50C-407E-A947-70E740481C1C}">
                          <a14:useLocalDpi xmlns:a14="http://schemas.microsoft.com/office/drawing/2010/main" val="0"/>
                        </a:ext>
                      </a:extLst>
                    </a:blip>
                    <a:stretch>
                      <a:fillRect/>
                    </a:stretch>
                  </pic:blipFill>
                  <pic:spPr>
                    <a:xfrm>
                      <a:off x="0" y="0"/>
                      <a:ext cx="1438275" cy="981075"/>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354120B7" wp14:editId="4F53A077">
            <wp:extent cx="5760720" cy="564769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stavNaselja.png"/>
                    <pic:cNvPicPr/>
                  </pic:nvPicPr>
                  <pic:blipFill>
                    <a:blip r:embed="rId25">
                      <a:extLst>
                        <a:ext uri="{28A0092B-C50C-407E-A947-70E740481C1C}">
                          <a14:useLocalDpi xmlns:a14="http://schemas.microsoft.com/office/drawing/2010/main" val="0"/>
                        </a:ext>
                      </a:extLst>
                    </a:blip>
                    <a:stretch>
                      <a:fillRect/>
                    </a:stretch>
                  </pic:blipFill>
                  <pic:spPr>
                    <a:xfrm>
                      <a:off x="0" y="0"/>
                      <a:ext cx="5760720" cy="5647690"/>
                    </a:xfrm>
                    <a:prstGeom prst="rect">
                      <a:avLst/>
                    </a:prstGeom>
                  </pic:spPr>
                </pic:pic>
              </a:graphicData>
            </a:graphic>
          </wp:inline>
        </w:drawing>
      </w:r>
    </w:p>
    <w:p w14:paraId="167C0B3E" w14:textId="77777777" w:rsidR="00985D6B" w:rsidRDefault="00985D6B" w:rsidP="001A5F94"/>
    <w:p w14:paraId="2B7787EC" w14:textId="79D0234E" w:rsidR="004832D0" w:rsidRPr="004832D0" w:rsidRDefault="004832D0" w:rsidP="004832D0">
      <w:r>
        <w:t>Drugim riječima, ovo je područje pre</w:t>
      </w:r>
      <w:r w:rsidRPr="004832D0">
        <w:t xml:space="preserve">poznato kao područje veće koncentracije stanovništva, koje predstavlja posebnu prostorno problemsku cjelinu složenih odnosa. </w:t>
      </w:r>
      <w:r>
        <w:t>Sukladno Programu prostornog uređenja Republike Hrvatske, p</w:t>
      </w:r>
      <w:r w:rsidRPr="004832D0">
        <w:t>osebnu pažnju treba pokloniti prostor</w:t>
      </w:r>
      <w:r>
        <w:t>nom razvoju i uređenju prostor</w:t>
      </w:r>
      <w:r w:rsidRPr="004832D0">
        <w:t>a JLS</w:t>
      </w:r>
      <w:r>
        <w:t xml:space="preserve"> kao prostorno povezanih</w:t>
      </w:r>
      <w:r w:rsidRPr="004832D0">
        <w:t xml:space="preserve"> </w:t>
      </w:r>
      <w:r>
        <w:t>područj</w:t>
      </w:r>
      <w:r w:rsidRPr="004832D0">
        <w:t xml:space="preserve">a koncentracije stanovništva i razmatrati </w:t>
      </w:r>
      <w:r>
        <w:t xml:space="preserve">ih </w:t>
      </w:r>
      <w:r w:rsidRPr="004832D0">
        <w:t xml:space="preserve">kao posebnu plansko-razvojnu i programsku cjelinu u </w:t>
      </w:r>
      <w:r>
        <w:t>sklopu koje ć</w:t>
      </w:r>
      <w:r w:rsidRPr="004832D0">
        <w:t xml:space="preserve">e se pratiti i istraživati procesi i odnosi, te </w:t>
      </w:r>
      <w:r>
        <w:t>donositi odgovarajuć</w:t>
      </w:r>
      <w:r w:rsidR="0051752E">
        <w:t>i dokumenti prostornog uređ</w:t>
      </w:r>
      <w:r w:rsidRPr="004832D0">
        <w:t>enja i razvojne politike radi sagledavanja složenosti razvoja. Razvojni ciljevi odnose se prvenstveno na uravnoteženi razmještaj funkcija, uspostavu funkcionalnih veza izmedu urbanih središta i rubnih naselja, te poboljšanje uvjeta življenja i opremljenosti u perifernim zonama.</w:t>
      </w:r>
      <w:r>
        <w:t xml:space="preserve"> Ovo podrazumijeva valorizaciju uloge većih urbanih cjelina, velike infrastrukture i prometnih tokova, </w:t>
      </w:r>
      <w:r w:rsidRPr="004832D0">
        <w:t xml:space="preserve">kretanje stanovništva (stalne i dnevne migracije), </w:t>
      </w:r>
      <w:r>
        <w:t xml:space="preserve">kao i </w:t>
      </w:r>
      <w:r w:rsidR="00AA3329">
        <w:t xml:space="preserve">sagledavanje odnosa urbano – ruralno, tj. </w:t>
      </w:r>
      <w:r w:rsidRPr="004832D0">
        <w:t>p</w:t>
      </w:r>
      <w:r w:rsidR="00AA3329">
        <w:t>rirodne okolice</w:t>
      </w:r>
      <w:r>
        <w:t xml:space="preserve"> gradova kao važ</w:t>
      </w:r>
      <w:r w:rsidRPr="004832D0">
        <w:t>n</w:t>
      </w:r>
      <w:r>
        <w:t>og ekološkog</w:t>
      </w:r>
      <w:r w:rsidR="00AA3329">
        <w:t>, gospodarskog</w:t>
      </w:r>
      <w:r>
        <w:t xml:space="preserve"> i rekreacijskog</w:t>
      </w:r>
      <w:r w:rsidRPr="004832D0">
        <w:t xml:space="preserve"> prostor</w:t>
      </w:r>
      <w:r w:rsidR="00AA3329">
        <w:t>a</w:t>
      </w:r>
      <w:r w:rsidRPr="004832D0">
        <w:t xml:space="preserve">, </w:t>
      </w:r>
      <w:r w:rsidR="00AA3329">
        <w:t xml:space="preserve">obilježja izgrađenog-neizgrađenog i </w:t>
      </w:r>
      <w:r w:rsidRPr="004832D0">
        <w:t>racionalno</w:t>
      </w:r>
      <w:r w:rsidR="00AA3329">
        <w:t>g iskorištenja</w:t>
      </w:r>
      <w:r w:rsidRPr="004832D0">
        <w:t xml:space="preserve"> </w:t>
      </w:r>
      <w:r w:rsidR="00BC7715">
        <w:t>već zauzetog prostora, sadržajne</w:t>
      </w:r>
      <w:r w:rsidRPr="004832D0">
        <w:t xml:space="preserve"> i infrast</w:t>
      </w:r>
      <w:r w:rsidR="00BC7715">
        <w:t xml:space="preserve">rukturne nedostatke </w:t>
      </w:r>
      <w:r w:rsidRPr="004832D0">
        <w:t>prigradskih zona</w:t>
      </w:r>
      <w:r w:rsidR="00BC7715">
        <w:t xml:space="preserve"> i slično. </w:t>
      </w:r>
    </w:p>
    <w:p w14:paraId="18EFDA99" w14:textId="0FEC7F1E" w:rsidR="00BA42CF" w:rsidRPr="001A5F94" w:rsidRDefault="00BA42CF" w:rsidP="001A5F94">
      <w:r w:rsidRPr="004832D0">
        <w:br w:type="page"/>
      </w:r>
    </w:p>
    <w:p w14:paraId="0C1CA15B" w14:textId="65B98FFB" w:rsidR="003C7C29" w:rsidRDefault="006201F7" w:rsidP="001A5F94">
      <w:pPr>
        <w:pStyle w:val="Heading1"/>
        <w:rPr>
          <w:noProof/>
        </w:rPr>
      </w:pPr>
      <w:bookmarkStart w:id="12" w:name="_Toc437390575"/>
      <w:r>
        <w:rPr>
          <w:noProof/>
        </w:rPr>
        <w:lastRenderedPageBreak/>
        <w:t>SAŽETAK ANALIZE</w:t>
      </w:r>
      <w:r w:rsidR="001E6948">
        <w:rPr>
          <w:noProof/>
        </w:rPr>
        <w:t xml:space="preserve"> STANJ</w:t>
      </w:r>
      <w:r w:rsidR="007D55B2">
        <w:rPr>
          <w:noProof/>
        </w:rPr>
        <w:t>A</w:t>
      </w:r>
      <w:bookmarkEnd w:id="12"/>
    </w:p>
    <w:p w14:paraId="5A5F4FFC" w14:textId="77777777" w:rsidR="00BD7C4F" w:rsidRPr="00BD7C4F" w:rsidRDefault="00BD7C4F" w:rsidP="00BD7C4F"/>
    <w:p w14:paraId="4166D6AE" w14:textId="6B1F375F" w:rsidR="003C7C29" w:rsidRPr="00DA239E" w:rsidRDefault="008D1B13" w:rsidP="001A5F94">
      <w:pPr>
        <w:pStyle w:val="Heading2"/>
        <w:rPr>
          <w:noProof/>
        </w:rPr>
      </w:pPr>
      <w:bookmarkStart w:id="13" w:name="_Toc437390576"/>
      <w:r w:rsidRPr="00DA239E">
        <w:rPr>
          <w:noProof/>
        </w:rPr>
        <w:t>Društvo</w:t>
      </w:r>
      <w:bookmarkEnd w:id="13"/>
    </w:p>
    <w:p w14:paraId="743B7C14" w14:textId="77777777" w:rsidR="00F57086" w:rsidRDefault="00F57086" w:rsidP="00F57086">
      <w:pPr>
        <w:pStyle w:val="Heading3"/>
      </w:pPr>
      <w:bookmarkStart w:id="14" w:name="_Toc437390577"/>
      <w:r>
        <w:t>Demografija</w:t>
      </w:r>
      <w:bookmarkEnd w:id="14"/>
    </w:p>
    <w:p w14:paraId="1D95ABEB" w14:textId="6CAE9049" w:rsidR="00EA3AB9" w:rsidRPr="00FD510D" w:rsidRDefault="00FD325D" w:rsidP="00EA3AB9">
      <w:pPr>
        <w:rPr>
          <w:sz w:val="20"/>
          <w:szCs w:val="20"/>
        </w:rPr>
      </w:pPr>
      <w:r>
        <w:t xml:space="preserve">Veće urbano područje Karlovac </w:t>
      </w:r>
      <w:r w:rsidR="00F57086" w:rsidRPr="00FD325D">
        <w:t xml:space="preserve">zauzima oko 20% površine Karlovačke županije, </w:t>
      </w:r>
      <w:r>
        <w:t xml:space="preserve">a na njemu prema zadnjem popisu stanovništva iz 2011. </w:t>
      </w:r>
      <w:r w:rsidR="0051752E">
        <w:t xml:space="preserve">godine </w:t>
      </w:r>
      <w:r>
        <w:t xml:space="preserve">živi </w:t>
      </w:r>
      <w:r w:rsidR="0051752E">
        <w:t>gotovo</w:t>
      </w:r>
      <w:r>
        <w:t xml:space="preserve"> 74 tisuće stanovnika, ili </w:t>
      </w:r>
      <w:r w:rsidR="00F57086" w:rsidRPr="00FD325D">
        <w:t>57% županijskog stanovništva</w:t>
      </w:r>
      <w:r>
        <w:t xml:space="preserve">. </w:t>
      </w:r>
      <w:r w:rsidR="00814558">
        <w:t>Ostali veći urbani centri Karlovačke županije su Ogulin s 13.915 stanovnika (11% stanovnika Županije), te Slunj (5.076 st</w:t>
      </w:r>
      <w:r w:rsidR="0051752E">
        <w:t>anovnika</w:t>
      </w:r>
      <w:r w:rsidR="00814558">
        <w:t>, ili 4%), dok preostalih 28% županijskog stanovništva živi u 17 općina.</w:t>
      </w:r>
    </w:p>
    <w:p w14:paraId="2177704F" w14:textId="6B868E3E" w:rsidR="00CB7BF4" w:rsidRDefault="00FD325D" w:rsidP="004611F7">
      <w:r w:rsidRPr="00FD510D">
        <w:t xml:space="preserve">Grad Karlovac s 55.705 </w:t>
      </w:r>
      <w:r w:rsidR="00EA3AB9">
        <w:t>stanovnika je najveći grad VUPKA</w:t>
      </w:r>
      <w:r w:rsidRPr="00FD510D">
        <w:t xml:space="preserve"> (75,6% stanovništva </w:t>
      </w:r>
      <w:r w:rsidR="00EA3AB9">
        <w:t>VUPKA</w:t>
      </w:r>
      <w:r w:rsidRPr="00FD510D">
        <w:t xml:space="preserve">), zatim slijedi Grad Duga Resa </w:t>
      </w:r>
      <w:r w:rsidR="00814558">
        <w:t xml:space="preserve">s 11.180 stanovnika </w:t>
      </w:r>
      <w:r w:rsidRPr="00FD510D">
        <w:t xml:space="preserve">(15,2%) te Grad Ozalj </w:t>
      </w:r>
      <w:r w:rsidR="00814558">
        <w:t xml:space="preserve">s 6.817 stanovnika </w:t>
      </w:r>
      <w:r w:rsidRPr="00FD510D">
        <w:t>(9,2%</w:t>
      </w:r>
      <w:r w:rsidR="00814558">
        <w:t xml:space="preserve"> stanovnika VUPKA</w:t>
      </w:r>
      <w:r w:rsidRPr="00FD510D">
        <w:t xml:space="preserve">). Na cijelom je području prisutan </w:t>
      </w:r>
      <w:r w:rsidRPr="00C91427">
        <w:rPr>
          <w:b/>
        </w:rPr>
        <w:t>negativan demografski trend</w:t>
      </w:r>
      <w:r w:rsidRPr="00FD510D">
        <w:t xml:space="preserve"> pa je tako na području VUP</w:t>
      </w:r>
      <w:r w:rsidR="0051752E">
        <w:t>KA</w:t>
      </w:r>
      <w:r w:rsidRPr="00FD510D">
        <w:t xml:space="preserve"> broj stanovnika u odnosu na prethodno popisno razdoblje (2001.</w:t>
      </w:r>
      <w:r w:rsidR="0051752E">
        <w:t xml:space="preserve"> g.</w:t>
      </w:r>
      <w:r w:rsidRPr="00FD510D">
        <w:t>) smanjen za 7,2%, a u odnosu na 1971.</w:t>
      </w:r>
      <w:r w:rsidR="0051752E">
        <w:t xml:space="preserve"> godinu</w:t>
      </w:r>
      <w:r w:rsidRPr="00FD510D">
        <w:t xml:space="preserve"> za 15,5%. </w:t>
      </w:r>
      <w:r w:rsidR="004611F7">
        <w:t xml:space="preserve">Udio ženskog stanovništva VUPKA je </w:t>
      </w:r>
      <w:r w:rsidR="00EA3AB9" w:rsidRPr="004611F7">
        <w:t xml:space="preserve">52,6%, a </w:t>
      </w:r>
      <w:r w:rsidR="004611F7">
        <w:t>sličan</w:t>
      </w:r>
      <w:r w:rsidR="0051752E">
        <w:t xml:space="preserve"> je omjer prisutan i na razini Karlovačke  ž</w:t>
      </w:r>
      <w:r w:rsidR="00EA3AB9" w:rsidRPr="004611F7">
        <w:t xml:space="preserve">upanije gdje žene čine 51,6%, a muškarci 48,4% </w:t>
      </w:r>
      <w:r w:rsidR="004611F7">
        <w:t>stanovništva</w:t>
      </w:r>
      <w:r w:rsidR="00EA3AB9" w:rsidRPr="004611F7">
        <w:t>.</w:t>
      </w:r>
    </w:p>
    <w:p w14:paraId="6FEA0BE1" w14:textId="04C8FFC6" w:rsidR="008F38BD" w:rsidRDefault="008F38BD" w:rsidP="008F38BD">
      <w:pPr>
        <w:pStyle w:val="Caption"/>
      </w:pPr>
      <w:r>
        <w:t xml:space="preserve">Grafikon </w:t>
      </w:r>
      <w:r>
        <w:fldChar w:fldCharType="begin"/>
      </w:r>
      <w:r>
        <w:instrText xml:space="preserve"> SEQ Grafikon \* ARABIC </w:instrText>
      </w:r>
      <w:r>
        <w:fldChar w:fldCharType="separate"/>
      </w:r>
      <w:r w:rsidR="001358A9">
        <w:rPr>
          <w:noProof/>
        </w:rPr>
        <w:t>1</w:t>
      </w:r>
      <w:r>
        <w:fldChar w:fldCharType="end"/>
      </w:r>
      <w:r>
        <w:t xml:space="preserve"> Kretanje </w:t>
      </w:r>
      <w:r w:rsidR="00C13E8C">
        <w:t xml:space="preserve">ukupnog </w:t>
      </w:r>
      <w:r>
        <w:t>broja stanovnika na području VUPKA, 1971.-2011.</w:t>
      </w:r>
    </w:p>
    <w:p w14:paraId="7368B90A" w14:textId="5BF9F5A5" w:rsidR="00DD5E02" w:rsidRDefault="008F38BD" w:rsidP="00814558">
      <w:pPr>
        <w:pStyle w:val="Izvor"/>
      </w:pPr>
      <w:r w:rsidRPr="00814558">
        <w:t>Izvor</w:t>
      </w:r>
      <w:r w:rsidRPr="00FD510D">
        <w:t>: DZS</w:t>
      </w:r>
      <w:r>
        <w:rPr>
          <w:noProof/>
          <w:lang w:val="en-US"/>
        </w:rPr>
        <w:t xml:space="preserve"> </w:t>
      </w:r>
      <w:r w:rsidR="00DD5E02">
        <w:rPr>
          <w:noProof/>
          <w:lang w:val="en-US"/>
        </w:rPr>
        <w:drawing>
          <wp:anchor distT="0" distB="0" distL="114300" distR="114300" simplePos="0" relativeHeight="251703296" behindDoc="0" locked="0" layoutInCell="1" allowOverlap="1" wp14:anchorId="56FADEF3" wp14:editId="54B6730D">
            <wp:simplePos x="0" y="0"/>
            <wp:positionH relativeFrom="column">
              <wp:posOffset>1905</wp:posOffset>
            </wp:positionH>
            <wp:positionV relativeFrom="paragraph">
              <wp:posOffset>36195</wp:posOffset>
            </wp:positionV>
            <wp:extent cx="4556760" cy="2748280"/>
            <wp:effectExtent l="0" t="0" r="15240" b="20320"/>
            <wp:wrapTopAndBottom/>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730A257A" w14:textId="15288A4A" w:rsidR="00EA3AB9" w:rsidRPr="00FD510D" w:rsidRDefault="00EA3AB9" w:rsidP="00EA3AB9">
      <w:r w:rsidRPr="004611F7">
        <w:t xml:space="preserve">U 2017. godini na </w:t>
      </w:r>
      <w:r w:rsidR="0051752E">
        <w:t xml:space="preserve">području </w:t>
      </w:r>
      <w:r w:rsidRPr="004611F7">
        <w:t>VUP</w:t>
      </w:r>
      <w:r w:rsidR="0051752E">
        <w:t>-a</w:t>
      </w:r>
      <w:r w:rsidRPr="004611F7">
        <w:t xml:space="preserve"> Karlovac zabilježen je </w:t>
      </w:r>
      <w:r w:rsidR="0051752E">
        <w:rPr>
          <w:b/>
        </w:rPr>
        <w:t>negativan prirod</w:t>
      </w:r>
      <w:r w:rsidRPr="00C91427">
        <w:rPr>
          <w:b/>
        </w:rPr>
        <w:t>n</w:t>
      </w:r>
      <w:r w:rsidR="0051752E">
        <w:rPr>
          <w:b/>
        </w:rPr>
        <w:t>i</w:t>
      </w:r>
      <w:r w:rsidRPr="00C91427">
        <w:rPr>
          <w:b/>
        </w:rPr>
        <w:t xml:space="preserve"> prirast</w:t>
      </w:r>
      <w:r w:rsidRPr="004611F7">
        <w:t xml:space="preserve"> od -415 stanovnika što je negativan porast od 2,5% u odnosu na prethodnu 2016. godinu kada je prirodni pad iznosio -405 stanovnika. U promatranom petogodišnjem razdoblju (2013.-2017.) broj se živorođenih osoba kontinuirano smanjivao po prosječnoj godišnjoj stopi od -1,0%</w:t>
      </w:r>
      <w:r w:rsidR="00CB7BF4">
        <w:t xml:space="preserve">, dok je prosječna godišnja stopa pada </w:t>
      </w:r>
      <w:r w:rsidR="00C91427">
        <w:t xml:space="preserve">broja stanovnika </w:t>
      </w:r>
      <w:r w:rsidR="00CB7BF4">
        <w:t xml:space="preserve">na razini županije </w:t>
      </w:r>
      <w:r w:rsidRPr="004611F7">
        <w:t>-2,5%.</w:t>
      </w:r>
    </w:p>
    <w:p w14:paraId="19AB2BB9" w14:textId="1A4963B0" w:rsidR="008665B5" w:rsidRDefault="008665B5" w:rsidP="008665B5">
      <w:r>
        <w:t>P</w:t>
      </w:r>
      <w:r w:rsidRPr="008665B5">
        <w:t>otpunija slika o kretanju stanovništva</w:t>
      </w:r>
      <w:r w:rsidR="0051752E">
        <w:t xml:space="preserve"> dobiv</w:t>
      </w:r>
      <w:r>
        <w:t>a se kro</w:t>
      </w:r>
      <w:r w:rsidRPr="008665B5">
        <w:t xml:space="preserve">z </w:t>
      </w:r>
      <w:r>
        <w:t>podatke o migracijskim kretanjima</w:t>
      </w:r>
      <w:r w:rsidRPr="008665B5">
        <w:t xml:space="preserve">. </w:t>
      </w:r>
      <w:r>
        <w:t>T</w:t>
      </w:r>
      <w:r w:rsidRPr="008665B5">
        <w:t xml:space="preserve">ijekom 2017. godine na urbano područje </w:t>
      </w:r>
      <w:r>
        <w:t xml:space="preserve">se </w:t>
      </w:r>
      <w:r w:rsidRPr="008665B5">
        <w:t xml:space="preserve">doselilo 925, a odselilo 1.309 osoba, pri čemu se </w:t>
      </w:r>
      <w:r w:rsidR="0051752E">
        <w:t xml:space="preserve">u </w:t>
      </w:r>
      <w:r w:rsidRPr="008665B5">
        <w:t xml:space="preserve">inozemstvo odselilo 563 osoba što znači da je vanjskom migracijom izgubljeno -384 stanovnika, odnosno 1/3 odseljenog stanovništva Karlovačke županije. Uzmemo li u obzir i </w:t>
      </w:r>
      <w:r>
        <w:t>navedeni</w:t>
      </w:r>
      <w:r w:rsidRPr="008665B5">
        <w:t xml:space="preserve"> negativan prirodni prirast (-415) možemo zaključiti kako je na urbanom području u 2017. godini </w:t>
      </w:r>
      <w:r w:rsidR="004D08CE">
        <w:t>broj stanovnika smanjen za</w:t>
      </w:r>
      <w:r w:rsidRPr="008665B5">
        <w:t xml:space="preserve"> 799 osoba. </w:t>
      </w:r>
      <w:r>
        <w:t>U razdoblju</w:t>
      </w:r>
      <w:r w:rsidRPr="008665B5">
        <w:t xml:space="preserve"> 2013.-2017. broj odseljenog stanovništva povećavao </w:t>
      </w:r>
      <w:r w:rsidR="0051752E">
        <w:t xml:space="preserve">se </w:t>
      </w:r>
      <w:r w:rsidRPr="008665B5">
        <w:t>po prosječnoj godišnjoj stopi od 10,9%, a slična su kretanj</w:t>
      </w:r>
      <w:r w:rsidR="004D08CE">
        <w:t>a prisutna i na razini Županije.</w:t>
      </w:r>
    </w:p>
    <w:p w14:paraId="1F51A052" w14:textId="1AD1FC4E" w:rsidR="008F38BD" w:rsidRDefault="00C13E8C" w:rsidP="00C13E8C">
      <w:pPr>
        <w:pStyle w:val="Caption"/>
      </w:pPr>
      <w:r>
        <w:t xml:space="preserve">Grafikon </w:t>
      </w:r>
      <w:r>
        <w:fldChar w:fldCharType="begin"/>
      </w:r>
      <w:r>
        <w:instrText xml:space="preserve"> SEQ Grafikon \* ARABIC </w:instrText>
      </w:r>
      <w:r>
        <w:fldChar w:fldCharType="separate"/>
      </w:r>
      <w:r w:rsidR="001358A9">
        <w:rPr>
          <w:noProof/>
        </w:rPr>
        <w:t>2</w:t>
      </w:r>
      <w:r>
        <w:fldChar w:fldCharType="end"/>
      </w:r>
      <w:r>
        <w:t xml:space="preserve"> Pad broja stanovnika na području VUPKA usljed migracija i negativnog prirodnog prirasta 2013.-2017.</w:t>
      </w:r>
    </w:p>
    <w:p w14:paraId="0F4C5313" w14:textId="2B83C599" w:rsidR="00C13E8C" w:rsidRDefault="00C13E8C" w:rsidP="004D08CE">
      <w:r>
        <w:rPr>
          <w:noProof/>
          <w:lang w:val="en-US"/>
        </w:rPr>
        <w:lastRenderedPageBreak/>
        <w:drawing>
          <wp:inline distT="0" distB="0" distL="0" distR="0" wp14:anchorId="79403C65" wp14:editId="7668AFBB">
            <wp:extent cx="4572000" cy="2743200"/>
            <wp:effectExtent l="0" t="0" r="25400" b="2540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E89C3A9" w14:textId="1623FD6B" w:rsidR="00C13E8C" w:rsidRDefault="00C13E8C" w:rsidP="004D08CE">
      <w:r w:rsidRPr="00FD510D">
        <w:rPr>
          <w:rFonts w:cs="Tahoma"/>
          <w:color w:val="39617A"/>
          <w:sz w:val="18"/>
          <w:szCs w:val="18"/>
        </w:rPr>
        <w:t>Izvor: DZS</w:t>
      </w:r>
    </w:p>
    <w:p w14:paraId="7763E720" w14:textId="0A75208E" w:rsidR="004D08CE" w:rsidRPr="0007585E" w:rsidRDefault="004D08CE" w:rsidP="004D08CE">
      <w:r w:rsidRPr="004D08CE">
        <w:t xml:space="preserve">Karlovačka županija pripada skupini hrvatskih županija s najstarijom strukturom stanovništva, a uz indeks starenja 149,0 (omjer osoba starijih od 60 godina u odnosu na osobe mlađe od 20 godina) i koeficijent starosti 27,3 (udio osoba starijih od 60 godina u ukupnom stanovništvu) može se potvrditi izražen proces demografskog starenja stanovništva, odnosno faza duboke starosti. Stanje na području VUP Karlovac također odgovara dobnoj strukturi na županijskoj razini. Unatoč </w:t>
      </w:r>
      <w:r w:rsidR="00C91427">
        <w:t>nominalno</w:t>
      </w:r>
      <w:r w:rsidRPr="004D08CE">
        <w:t xml:space="preserve"> povoljnijim starosnim pokazateljima </w:t>
      </w:r>
      <w:r w:rsidR="0051752E">
        <w:t>u odnosu na Ž</w:t>
      </w:r>
      <w:r w:rsidR="00C91427">
        <w:t xml:space="preserve">upaniju </w:t>
      </w:r>
      <w:r w:rsidRPr="004D08CE">
        <w:t>(indeks starenja 146,5, koeficijent starosti 26,4)</w:t>
      </w:r>
      <w:r w:rsidR="00C91427">
        <w:t>,</w:t>
      </w:r>
      <w:r w:rsidRPr="004D08CE">
        <w:t xml:space="preserve"> riječ je o području na kojem </w:t>
      </w:r>
      <w:r w:rsidRPr="004D76C1">
        <w:rPr>
          <w:b/>
        </w:rPr>
        <w:t>više od četvrtine stanovništva čine osobe starije od 60 godina</w:t>
      </w:r>
      <w:r w:rsidRPr="004D08CE">
        <w:t xml:space="preserve"> što je situacija </w:t>
      </w:r>
      <w:r w:rsidR="00C91427">
        <w:t>lošija</w:t>
      </w:r>
      <w:r w:rsidRPr="004D08CE">
        <w:t xml:space="preserve"> od one na nacionalnoj razini</w:t>
      </w:r>
      <w:r>
        <w:t xml:space="preserve"> (koeficijent starosti 24,1)</w:t>
      </w:r>
      <w:r w:rsidRPr="004D08CE">
        <w:t>.</w:t>
      </w:r>
      <w:r w:rsidR="0007585E">
        <w:t xml:space="preserve"> Očekivano trajanje života pri rođenju </w:t>
      </w:r>
      <w:r w:rsidR="00BB6B3C" w:rsidRPr="0007585E">
        <w:t xml:space="preserve">u Karlovačkoj županiji </w:t>
      </w:r>
      <w:r w:rsidR="00BB6B3C">
        <w:t xml:space="preserve">je, </w:t>
      </w:r>
      <w:r w:rsidR="0007585E">
        <w:t>p</w:t>
      </w:r>
      <w:r w:rsidR="0007585E" w:rsidRPr="0007585E">
        <w:t xml:space="preserve">rema projekcijama Državnog zavoda za </w:t>
      </w:r>
      <w:r w:rsidR="0007585E">
        <w:t>statistiku</w:t>
      </w:r>
      <w:r w:rsidR="0007585E" w:rsidRPr="00BB6B3C">
        <w:rPr>
          <w:rStyle w:val="FootnoteReference"/>
        </w:rPr>
        <w:footnoteReference w:id="15"/>
      </w:r>
      <w:r w:rsidR="00BB6B3C">
        <w:t xml:space="preserve">, u godini </w:t>
      </w:r>
      <w:r w:rsidR="0007585E" w:rsidRPr="0007585E">
        <w:t xml:space="preserve">2008./2009. </w:t>
      </w:r>
      <w:r w:rsidR="00BB6B3C">
        <w:t>iznosilo</w:t>
      </w:r>
      <w:r w:rsidR="0007585E" w:rsidRPr="0007585E">
        <w:t xml:space="preserve"> 71,8 godina za muškarce i 79,02 godina za žene, </w:t>
      </w:r>
      <w:r w:rsidR="00BB6B3C">
        <w:t>što je nešto niže od</w:t>
      </w:r>
      <w:r w:rsidR="0007585E" w:rsidRPr="0007585E">
        <w:t xml:space="preserve"> </w:t>
      </w:r>
      <w:r w:rsidR="0051752E">
        <w:t>nacionalnog prosjeka koji iznosi 72,7 (m)</w:t>
      </w:r>
      <w:r w:rsidR="0007585E" w:rsidRPr="0007585E">
        <w:t xml:space="preserve"> odnosno 79,44 (ž).</w:t>
      </w:r>
    </w:p>
    <w:p w14:paraId="334EBC27" w14:textId="0E4E485D" w:rsidR="00C91427" w:rsidRDefault="00C91427" w:rsidP="00C91427">
      <w:r w:rsidRPr="00C91427">
        <w:t xml:space="preserve">Starenje stanovništva izravno je povezano i s brojem osoba kojima je potrebna pomoć, odnosno koriste pomoć druge osobe za obavljanje svakodnevnih aktivnosti. Prema </w:t>
      </w:r>
      <w:r>
        <w:t>Popisu iz 2011. g</w:t>
      </w:r>
      <w:r w:rsidR="0051752E">
        <w:t>odine</w:t>
      </w:r>
      <w:r w:rsidRPr="00C91427">
        <w:t xml:space="preserve"> na području </w:t>
      </w:r>
      <w:r>
        <w:t xml:space="preserve">VUPKA je </w:t>
      </w:r>
      <w:r w:rsidRPr="00C91427">
        <w:t xml:space="preserve">zabilježeno </w:t>
      </w:r>
      <w:r w:rsidRPr="004D76C1">
        <w:rPr>
          <w:b/>
        </w:rPr>
        <w:t xml:space="preserve">13.887 osoba s teškoćama u obavljanju svakodnevnih aktivnosti što čini 16,0% </w:t>
      </w:r>
      <w:r w:rsidRPr="00C91427">
        <w:t xml:space="preserve">sveukupnog broja stanovnika VUP-a Karlovac, a gotovo 80% čine osobe starosti 50 i više godina. Udio stanovništva s teškoćama u obavljanju svakodnevnih aktivnosti u ukupnom stanovništvu na županijskoj razini iznosi 21,8%, dok na nacionalnoj razini iznosi 17,7%. Od ukupno 13.887 osoba s teškoćama u obavljanju svakodnevnih aktivnosti </w:t>
      </w:r>
      <w:r w:rsidR="00310D48">
        <w:t>na području VUPKA,</w:t>
      </w:r>
      <w:r w:rsidRPr="00C91427">
        <w:t xml:space="preserve"> njih 32,5% treba pomoć druge osobe, dok 28,1% njih koristi pomoć druge osobe što odgovara i situaciji na županijskoj razini.</w:t>
      </w:r>
    </w:p>
    <w:p w14:paraId="607B3B23" w14:textId="286AD45A" w:rsidR="004D76C1" w:rsidRPr="00C91427" w:rsidRDefault="004D76C1" w:rsidP="004D76C1">
      <w:pPr>
        <w:pStyle w:val="Caption"/>
      </w:pPr>
      <w:bookmarkStart w:id="15" w:name="_Toc437387479"/>
      <w:r>
        <w:t xml:space="preserve">Tablica </w:t>
      </w:r>
      <w:r>
        <w:fldChar w:fldCharType="begin"/>
      </w:r>
      <w:r>
        <w:instrText xml:space="preserve"> SEQ Tablica \* ARABIC </w:instrText>
      </w:r>
      <w:r>
        <w:fldChar w:fldCharType="separate"/>
      </w:r>
      <w:r w:rsidR="001358A9">
        <w:rPr>
          <w:noProof/>
        </w:rPr>
        <w:t>6</w:t>
      </w:r>
      <w:r>
        <w:fldChar w:fldCharType="end"/>
      </w:r>
      <w:r>
        <w:t xml:space="preserve">. </w:t>
      </w:r>
      <w:r w:rsidRPr="00FD510D">
        <w:t>Stanovništvo s teškoćama u oba</w:t>
      </w:r>
      <w:r>
        <w:t xml:space="preserve">vljanju svakodnevnih aktivnosti, </w:t>
      </w:r>
      <w:r w:rsidRPr="00FD510D">
        <w:t>VUP Karlovac</w:t>
      </w:r>
      <w:r>
        <w:t>, KŽ i RH</w:t>
      </w:r>
      <w:r w:rsidRPr="00FD510D">
        <w:t xml:space="preserve"> (2011.)</w:t>
      </w:r>
      <w:bookmarkEnd w:id="15"/>
    </w:p>
    <w:tbl>
      <w:tblP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675"/>
        <w:gridCol w:w="2853"/>
        <w:gridCol w:w="1856"/>
        <w:gridCol w:w="1960"/>
      </w:tblGrid>
      <w:tr w:rsidR="00310D48" w:rsidRPr="00FD510D" w14:paraId="2A2F2ABA" w14:textId="77777777" w:rsidTr="004D76C1">
        <w:trPr>
          <w:trHeight w:val="170"/>
          <w:tblHeader/>
        </w:trPr>
        <w:tc>
          <w:tcPr>
            <w:tcW w:w="1431" w:type="pct"/>
            <w:shd w:val="clear" w:color="auto" w:fill="39617A"/>
            <w:vAlign w:val="center"/>
            <w:hideMark/>
          </w:tcPr>
          <w:p w14:paraId="4084F503" w14:textId="77777777" w:rsidR="00C91427" w:rsidRPr="00FD510D" w:rsidRDefault="00C91427" w:rsidP="00C91427">
            <w:pPr>
              <w:jc w:val="center"/>
              <w:rPr>
                <w:rFonts w:eastAsia="Times New Roman" w:cs="Tahoma"/>
                <w:color w:val="FFFFFF"/>
                <w:sz w:val="18"/>
                <w:szCs w:val="18"/>
              </w:rPr>
            </w:pPr>
            <w:r w:rsidRPr="00FD510D">
              <w:rPr>
                <w:rFonts w:eastAsia="Times New Roman" w:cs="Tahoma"/>
                <w:color w:val="FFFFFF"/>
                <w:sz w:val="18"/>
                <w:szCs w:val="18"/>
              </w:rPr>
              <w:t>Prostorna jedinica</w:t>
            </w:r>
          </w:p>
        </w:tc>
        <w:tc>
          <w:tcPr>
            <w:tcW w:w="1526" w:type="pct"/>
            <w:shd w:val="clear" w:color="auto" w:fill="39617A"/>
            <w:vAlign w:val="center"/>
            <w:hideMark/>
          </w:tcPr>
          <w:p w14:paraId="47B83FB1" w14:textId="77777777" w:rsidR="00C91427" w:rsidRPr="00FD510D" w:rsidRDefault="00C91427" w:rsidP="00C91427">
            <w:pPr>
              <w:jc w:val="center"/>
              <w:rPr>
                <w:rFonts w:eastAsia="Times New Roman" w:cs="Tahoma"/>
                <w:color w:val="FFFFFF"/>
                <w:sz w:val="18"/>
                <w:szCs w:val="18"/>
              </w:rPr>
            </w:pPr>
            <w:r w:rsidRPr="00FD510D">
              <w:rPr>
                <w:rFonts w:eastAsia="Times New Roman" w:cs="Tahoma"/>
                <w:color w:val="FFFFFF"/>
                <w:sz w:val="18"/>
                <w:szCs w:val="18"/>
              </w:rPr>
              <w:t>Br. osoba s teškoćama u obavljanju svakodnevnih aktivnosti</w:t>
            </w:r>
          </w:p>
        </w:tc>
        <w:tc>
          <w:tcPr>
            <w:tcW w:w="993" w:type="pct"/>
            <w:shd w:val="clear" w:color="auto" w:fill="39617A"/>
            <w:vAlign w:val="center"/>
            <w:hideMark/>
          </w:tcPr>
          <w:p w14:paraId="02704DB5" w14:textId="77777777" w:rsidR="00C91427" w:rsidRPr="00FD510D" w:rsidRDefault="00C91427" w:rsidP="00C91427">
            <w:pPr>
              <w:jc w:val="center"/>
              <w:rPr>
                <w:rFonts w:eastAsia="Times New Roman" w:cs="Tahoma"/>
                <w:color w:val="FFFFFF"/>
                <w:sz w:val="18"/>
                <w:szCs w:val="18"/>
              </w:rPr>
            </w:pPr>
            <w:r w:rsidRPr="00FD510D">
              <w:rPr>
                <w:rFonts w:eastAsia="Times New Roman" w:cs="Tahoma"/>
                <w:color w:val="FFFFFF"/>
                <w:sz w:val="18"/>
                <w:szCs w:val="18"/>
              </w:rPr>
              <w:t>Br. osoba koje trebaju pomoć druge osobe</w:t>
            </w:r>
          </w:p>
        </w:tc>
        <w:tc>
          <w:tcPr>
            <w:tcW w:w="1049" w:type="pct"/>
            <w:shd w:val="clear" w:color="auto" w:fill="39617A"/>
            <w:vAlign w:val="center"/>
            <w:hideMark/>
          </w:tcPr>
          <w:p w14:paraId="2961DB84" w14:textId="77777777" w:rsidR="00C91427" w:rsidRPr="00FD510D" w:rsidRDefault="00C91427" w:rsidP="00C91427">
            <w:pPr>
              <w:jc w:val="center"/>
              <w:rPr>
                <w:rFonts w:eastAsia="Times New Roman" w:cs="Tahoma"/>
                <w:color w:val="FFFFFF"/>
                <w:sz w:val="18"/>
                <w:szCs w:val="18"/>
              </w:rPr>
            </w:pPr>
            <w:r w:rsidRPr="00FD510D">
              <w:rPr>
                <w:rFonts w:eastAsia="Times New Roman" w:cs="Tahoma"/>
                <w:color w:val="FFFFFF"/>
                <w:sz w:val="18"/>
                <w:szCs w:val="18"/>
              </w:rPr>
              <w:t>Br. osoba koje koriste pomoć druge osobe</w:t>
            </w:r>
          </w:p>
        </w:tc>
      </w:tr>
      <w:tr w:rsidR="00310D48" w:rsidRPr="00FD510D" w14:paraId="40A8B9D7" w14:textId="77777777" w:rsidTr="004D76C1">
        <w:trPr>
          <w:trHeight w:val="170"/>
        </w:trPr>
        <w:tc>
          <w:tcPr>
            <w:tcW w:w="1431" w:type="pct"/>
            <w:shd w:val="clear" w:color="auto" w:fill="auto"/>
            <w:vAlign w:val="center"/>
            <w:hideMark/>
          </w:tcPr>
          <w:p w14:paraId="6E86EEE5" w14:textId="77777777" w:rsidR="00C91427" w:rsidRPr="00FD510D" w:rsidRDefault="00C91427" w:rsidP="00C91427">
            <w:pPr>
              <w:rPr>
                <w:rFonts w:eastAsia="Times New Roman" w:cs="Tahoma"/>
                <w:color w:val="000000"/>
                <w:sz w:val="18"/>
                <w:szCs w:val="18"/>
              </w:rPr>
            </w:pPr>
            <w:r w:rsidRPr="00FD510D">
              <w:rPr>
                <w:rFonts w:eastAsia="Times New Roman" w:cs="Tahoma"/>
                <w:color w:val="000000"/>
                <w:sz w:val="18"/>
                <w:szCs w:val="18"/>
              </w:rPr>
              <w:t>Grad Karlovac</w:t>
            </w:r>
          </w:p>
        </w:tc>
        <w:tc>
          <w:tcPr>
            <w:tcW w:w="1526" w:type="pct"/>
            <w:shd w:val="clear" w:color="auto" w:fill="auto"/>
          </w:tcPr>
          <w:p w14:paraId="4987B26A" w14:textId="77777777" w:rsidR="00C91427" w:rsidRPr="00FD510D" w:rsidRDefault="00C91427" w:rsidP="00C91427">
            <w:pPr>
              <w:jc w:val="center"/>
              <w:rPr>
                <w:rFonts w:eastAsia="Times New Roman" w:cs="Tahoma"/>
                <w:color w:val="000000"/>
                <w:sz w:val="18"/>
                <w:szCs w:val="18"/>
              </w:rPr>
            </w:pPr>
            <w:r w:rsidRPr="00FD510D">
              <w:rPr>
                <w:rFonts w:eastAsia="Times New Roman" w:cs="Tahoma"/>
                <w:color w:val="000000"/>
                <w:sz w:val="18"/>
                <w:szCs w:val="18"/>
              </w:rPr>
              <w:t>10.319</w:t>
            </w:r>
          </w:p>
        </w:tc>
        <w:tc>
          <w:tcPr>
            <w:tcW w:w="993" w:type="pct"/>
            <w:shd w:val="clear" w:color="auto" w:fill="auto"/>
          </w:tcPr>
          <w:p w14:paraId="75D463A5" w14:textId="77777777" w:rsidR="00C91427" w:rsidRPr="00FD510D" w:rsidRDefault="00C91427" w:rsidP="00C91427">
            <w:pPr>
              <w:jc w:val="center"/>
              <w:rPr>
                <w:rFonts w:eastAsia="Times New Roman" w:cs="Tahoma"/>
                <w:color w:val="000000"/>
                <w:sz w:val="18"/>
                <w:szCs w:val="18"/>
              </w:rPr>
            </w:pPr>
            <w:r w:rsidRPr="00FD510D">
              <w:rPr>
                <w:rFonts w:eastAsia="Times New Roman" w:cs="Tahoma"/>
                <w:color w:val="000000"/>
                <w:sz w:val="18"/>
                <w:szCs w:val="18"/>
              </w:rPr>
              <w:t>3.222</w:t>
            </w:r>
          </w:p>
        </w:tc>
        <w:tc>
          <w:tcPr>
            <w:tcW w:w="1049" w:type="pct"/>
            <w:shd w:val="clear" w:color="auto" w:fill="auto"/>
          </w:tcPr>
          <w:p w14:paraId="6FFFBAA8" w14:textId="77777777" w:rsidR="00C91427" w:rsidRPr="00FD510D" w:rsidRDefault="00C91427" w:rsidP="00C91427">
            <w:pPr>
              <w:jc w:val="center"/>
              <w:rPr>
                <w:rFonts w:eastAsia="Times New Roman" w:cs="Tahoma"/>
                <w:color w:val="000000"/>
                <w:sz w:val="18"/>
                <w:szCs w:val="18"/>
              </w:rPr>
            </w:pPr>
            <w:r w:rsidRPr="00FD510D">
              <w:rPr>
                <w:rFonts w:eastAsia="Times New Roman" w:cs="Tahoma"/>
                <w:color w:val="000000"/>
                <w:sz w:val="18"/>
                <w:szCs w:val="18"/>
              </w:rPr>
              <w:t>2.769</w:t>
            </w:r>
          </w:p>
        </w:tc>
      </w:tr>
      <w:tr w:rsidR="00310D48" w:rsidRPr="00FD510D" w14:paraId="06AB15A9" w14:textId="77777777" w:rsidTr="004D76C1">
        <w:trPr>
          <w:trHeight w:val="170"/>
        </w:trPr>
        <w:tc>
          <w:tcPr>
            <w:tcW w:w="1431" w:type="pct"/>
            <w:shd w:val="clear" w:color="auto" w:fill="auto"/>
            <w:vAlign w:val="center"/>
          </w:tcPr>
          <w:p w14:paraId="23EE3BDB" w14:textId="77777777" w:rsidR="00C91427" w:rsidRPr="00FD510D" w:rsidRDefault="00C91427" w:rsidP="00C91427">
            <w:pPr>
              <w:rPr>
                <w:rFonts w:eastAsia="Times New Roman" w:cs="Tahoma"/>
                <w:color w:val="000000"/>
                <w:sz w:val="18"/>
                <w:szCs w:val="18"/>
              </w:rPr>
            </w:pPr>
            <w:r w:rsidRPr="00FD510D">
              <w:rPr>
                <w:rFonts w:eastAsia="Times New Roman" w:cs="Tahoma"/>
                <w:color w:val="000000"/>
                <w:sz w:val="18"/>
                <w:szCs w:val="18"/>
              </w:rPr>
              <w:t>Grad Duga Resa</w:t>
            </w:r>
          </w:p>
        </w:tc>
        <w:tc>
          <w:tcPr>
            <w:tcW w:w="1526" w:type="pct"/>
            <w:shd w:val="clear" w:color="auto" w:fill="auto"/>
          </w:tcPr>
          <w:p w14:paraId="057B16BB" w14:textId="77777777" w:rsidR="00C91427" w:rsidRPr="00FD510D" w:rsidRDefault="00C91427" w:rsidP="00C91427">
            <w:pPr>
              <w:jc w:val="center"/>
              <w:rPr>
                <w:rFonts w:eastAsia="Times New Roman" w:cs="Tahoma"/>
                <w:color w:val="000000"/>
                <w:sz w:val="18"/>
                <w:szCs w:val="18"/>
              </w:rPr>
            </w:pPr>
            <w:r w:rsidRPr="00FD510D">
              <w:rPr>
                <w:rFonts w:eastAsia="Times New Roman" w:cs="Tahoma"/>
                <w:color w:val="000000"/>
                <w:sz w:val="18"/>
                <w:szCs w:val="18"/>
              </w:rPr>
              <w:t>2.074</w:t>
            </w:r>
          </w:p>
        </w:tc>
        <w:tc>
          <w:tcPr>
            <w:tcW w:w="993" w:type="pct"/>
            <w:shd w:val="clear" w:color="auto" w:fill="auto"/>
          </w:tcPr>
          <w:p w14:paraId="5E23B310" w14:textId="77777777" w:rsidR="00C91427" w:rsidRPr="00FD510D" w:rsidRDefault="00C91427" w:rsidP="00C91427">
            <w:pPr>
              <w:jc w:val="center"/>
              <w:rPr>
                <w:rFonts w:eastAsia="Times New Roman" w:cs="Tahoma"/>
                <w:color w:val="000000"/>
                <w:sz w:val="18"/>
                <w:szCs w:val="18"/>
              </w:rPr>
            </w:pPr>
            <w:r w:rsidRPr="00FD510D">
              <w:rPr>
                <w:rFonts w:eastAsia="Times New Roman" w:cs="Tahoma"/>
                <w:color w:val="000000"/>
                <w:sz w:val="18"/>
                <w:szCs w:val="18"/>
              </w:rPr>
              <w:t>692</w:t>
            </w:r>
          </w:p>
        </w:tc>
        <w:tc>
          <w:tcPr>
            <w:tcW w:w="1049" w:type="pct"/>
            <w:shd w:val="clear" w:color="auto" w:fill="auto"/>
          </w:tcPr>
          <w:p w14:paraId="1A995052" w14:textId="77777777" w:rsidR="00C91427" w:rsidRPr="00FD510D" w:rsidRDefault="00C91427" w:rsidP="00C91427">
            <w:pPr>
              <w:jc w:val="center"/>
              <w:rPr>
                <w:rFonts w:eastAsia="Times New Roman" w:cs="Tahoma"/>
                <w:color w:val="000000"/>
                <w:sz w:val="18"/>
                <w:szCs w:val="18"/>
              </w:rPr>
            </w:pPr>
            <w:r w:rsidRPr="00FD510D">
              <w:rPr>
                <w:rFonts w:eastAsia="Times New Roman" w:cs="Tahoma"/>
                <w:color w:val="000000"/>
                <w:sz w:val="18"/>
                <w:szCs w:val="18"/>
              </w:rPr>
              <w:t>595</w:t>
            </w:r>
          </w:p>
        </w:tc>
      </w:tr>
      <w:tr w:rsidR="00310D48" w:rsidRPr="00FD510D" w14:paraId="0AB0DC60" w14:textId="77777777" w:rsidTr="004D76C1">
        <w:trPr>
          <w:trHeight w:val="170"/>
        </w:trPr>
        <w:tc>
          <w:tcPr>
            <w:tcW w:w="1431" w:type="pct"/>
            <w:shd w:val="clear" w:color="auto" w:fill="auto"/>
            <w:vAlign w:val="center"/>
          </w:tcPr>
          <w:p w14:paraId="6C6AACE3" w14:textId="77777777" w:rsidR="00C91427" w:rsidRPr="00FD510D" w:rsidRDefault="00C91427" w:rsidP="00C91427">
            <w:pPr>
              <w:rPr>
                <w:rFonts w:eastAsia="Times New Roman" w:cs="Tahoma"/>
                <w:color w:val="000000"/>
                <w:sz w:val="18"/>
                <w:szCs w:val="18"/>
              </w:rPr>
            </w:pPr>
            <w:r w:rsidRPr="00FD510D">
              <w:rPr>
                <w:rFonts w:eastAsia="Times New Roman" w:cs="Tahoma"/>
                <w:color w:val="000000"/>
                <w:sz w:val="18"/>
                <w:szCs w:val="18"/>
              </w:rPr>
              <w:t>Grad Ozalj</w:t>
            </w:r>
          </w:p>
        </w:tc>
        <w:tc>
          <w:tcPr>
            <w:tcW w:w="1526" w:type="pct"/>
            <w:shd w:val="clear" w:color="auto" w:fill="auto"/>
          </w:tcPr>
          <w:p w14:paraId="53777F05" w14:textId="77777777" w:rsidR="00C91427" w:rsidRPr="00FD510D" w:rsidRDefault="00C91427" w:rsidP="00C91427">
            <w:pPr>
              <w:jc w:val="center"/>
              <w:rPr>
                <w:rFonts w:eastAsia="Times New Roman" w:cs="Tahoma"/>
                <w:color w:val="000000"/>
                <w:sz w:val="18"/>
                <w:szCs w:val="18"/>
              </w:rPr>
            </w:pPr>
            <w:r w:rsidRPr="00FD510D">
              <w:rPr>
                <w:rFonts w:eastAsia="Times New Roman" w:cs="Tahoma"/>
                <w:color w:val="000000"/>
                <w:sz w:val="18"/>
                <w:szCs w:val="18"/>
              </w:rPr>
              <w:t>1.494</w:t>
            </w:r>
          </w:p>
        </w:tc>
        <w:tc>
          <w:tcPr>
            <w:tcW w:w="993" w:type="pct"/>
            <w:shd w:val="clear" w:color="auto" w:fill="auto"/>
          </w:tcPr>
          <w:p w14:paraId="2A50B4B7" w14:textId="77777777" w:rsidR="00C91427" w:rsidRPr="00FD510D" w:rsidRDefault="00C91427" w:rsidP="00C91427">
            <w:pPr>
              <w:jc w:val="center"/>
              <w:rPr>
                <w:rFonts w:eastAsia="Times New Roman" w:cs="Tahoma"/>
                <w:color w:val="000000"/>
                <w:sz w:val="18"/>
                <w:szCs w:val="18"/>
              </w:rPr>
            </w:pPr>
            <w:r w:rsidRPr="00FD510D">
              <w:rPr>
                <w:rFonts w:eastAsia="Times New Roman" w:cs="Tahoma"/>
                <w:color w:val="000000"/>
                <w:sz w:val="18"/>
                <w:szCs w:val="18"/>
              </w:rPr>
              <w:t>596</w:t>
            </w:r>
          </w:p>
        </w:tc>
        <w:tc>
          <w:tcPr>
            <w:tcW w:w="1049" w:type="pct"/>
            <w:shd w:val="clear" w:color="auto" w:fill="auto"/>
          </w:tcPr>
          <w:p w14:paraId="75319869" w14:textId="77777777" w:rsidR="00C91427" w:rsidRPr="00FD510D" w:rsidRDefault="00C91427" w:rsidP="00C91427">
            <w:pPr>
              <w:jc w:val="center"/>
              <w:rPr>
                <w:rFonts w:eastAsia="Times New Roman" w:cs="Tahoma"/>
                <w:color w:val="000000"/>
                <w:sz w:val="18"/>
                <w:szCs w:val="18"/>
              </w:rPr>
            </w:pPr>
            <w:r w:rsidRPr="00FD510D">
              <w:rPr>
                <w:rFonts w:eastAsia="Times New Roman" w:cs="Tahoma"/>
                <w:color w:val="000000"/>
                <w:sz w:val="18"/>
                <w:szCs w:val="18"/>
              </w:rPr>
              <w:t>532</w:t>
            </w:r>
          </w:p>
        </w:tc>
      </w:tr>
      <w:tr w:rsidR="00310D48" w:rsidRPr="00FD510D" w14:paraId="6AEABCB4" w14:textId="77777777" w:rsidTr="004D76C1">
        <w:trPr>
          <w:trHeight w:val="170"/>
        </w:trPr>
        <w:tc>
          <w:tcPr>
            <w:tcW w:w="1431" w:type="pct"/>
            <w:shd w:val="clear" w:color="auto" w:fill="auto"/>
          </w:tcPr>
          <w:p w14:paraId="3E02F577" w14:textId="298C39CF" w:rsidR="00C91427" w:rsidRPr="00FD510D" w:rsidRDefault="00C91427" w:rsidP="00310D48">
            <w:pPr>
              <w:jc w:val="left"/>
              <w:rPr>
                <w:rFonts w:eastAsia="Times New Roman" w:cs="Tahoma"/>
                <w:b/>
                <w:color w:val="000000"/>
                <w:sz w:val="18"/>
                <w:szCs w:val="18"/>
              </w:rPr>
            </w:pPr>
            <w:r w:rsidRPr="00FD510D">
              <w:rPr>
                <w:rFonts w:eastAsia="Times New Roman" w:cs="Tahoma"/>
                <w:b/>
                <w:color w:val="000000"/>
                <w:sz w:val="18"/>
                <w:szCs w:val="18"/>
              </w:rPr>
              <w:t>Ukupno</w:t>
            </w:r>
            <w:r w:rsidR="00310D48">
              <w:rPr>
                <w:rFonts w:eastAsia="Times New Roman" w:cs="Tahoma"/>
                <w:b/>
                <w:color w:val="000000"/>
                <w:sz w:val="18"/>
                <w:szCs w:val="18"/>
              </w:rPr>
              <w:t xml:space="preserve"> br. </w:t>
            </w:r>
            <w:r w:rsidR="00814558">
              <w:rPr>
                <w:rFonts w:eastAsia="Times New Roman" w:cs="Tahoma"/>
                <w:b/>
                <w:color w:val="000000"/>
                <w:sz w:val="18"/>
                <w:szCs w:val="18"/>
              </w:rPr>
              <w:t>o</w:t>
            </w:r>
            <w:r w:rsidR="00310D48">
              <w:rPr>
                <w:rFonts w:eastAsia="Times New Roman" w:cs="Tahoma"/>
                <w:b/>
                <w:color w:val="000000"/>
                <w:sz w:val="18"/>
                <w:szCs w:val="18"/>
              </w:rPr>
              <w:t>soba</w:t>
            </w:r>
            <w:r w:rsidR="002D777A">
              <w:rPr>
                <w:rFonts w:eastAsia="Times New Roman" w:cs="Tahoma"/>
                <w:b/>
                <w:color w:val="000000"/>
                <w:sz w:val="18"/>
                <w:szCs w:val="18"/>
              </w:rPr>
              <w:t xml:space="preserve"> VUPKA</w:t>
            </w:r>
          </w:p>
        </w:tc>
        <w:tc>
          <w:tcPr>
            <w:tcW w:w="1526" w:type="pct"/>
            <w:shd w:val="clear" w:color="auto" w:fill="auto"/>
          </w:tcPr>
          <w:p w14:paraId="128F9E9D" w14:textId="65C79787" w:rsidR="00C91427" w:rsidRPr="00FD510D" w:rsidRDefault="00C91427" w:rsidP="00C91427">
            <w:pPr>
              <w:jc w:val="center"/>
              <w:rPr>
                <w:rFonts w:eastAsia="Times New Roman" w:cs="Tahoma"/>
                <w:b/>
                <w:color w:val="000000"/>
                <w:sz w:val="18"/>
                <w:szCs w:val="18"/>
              </w:rPr>
            </w:pPr>
            <w:r w:rsidRPr="00FD510D">
              <w:rPr>
                <w:rFonts w:eastAsia="Times New Roman" w:cs="Tahoma"/>
                <w:b/>
                <w:color w:val="000000"/>
                <w:sz w:val="18"/>
                <w:szCs w:val="18"/>
              </w:rPr>
              <w:t>13.887</w:t>
            </w:r>
          </w:p>
        </w:tc>
        <w:tc>
          <w:tcPr>
            <w:tcW w:w="993" w:type="pct"/>
            <w:shd w:val="clear" w:color="auto" w:fill="auto"/>
          </w:tcPr>
          <w:p w14:paraId="2AC4B258" w14:textId="756F6CAE" w:rsidR="00C91427" w:rsidRPr="00FD510D" w:rsidRDefault="00C91427" w:rsidP="00310D48">
            <w:pPr>
              <w:jc w:val="center"/>
              <w:rPr>
                <w:rFonts w:eastAsia="Times New Roman" w:cs="Tahoma"/>
                <w:b/>
                <w:color w:val="000000"/>
                <w:sz w:val="18"/>
                <w:szCs w:val="18"/>
              </w:rPr>
            </w:pPr>
            <w:r w:rsidRPr="00FD510D">
              <w:rPr>
                <w:rFonts w:eastAsia="Times New Roman" w:cs="Tahoma"/>
                <w:b/>
                <w:color w:val="000000"/>
                <w:sz w:val="18"/>
                <w:szCs w:val="18"/>
              </w:rPr>
              <w:t>4.510</w:t>
            </w:r>
            <w:r w:rsidR="00310D48">
              <w:rPr>
                <w:rFonts w:eastAsia="Times New Roman" w:cs="Tahoma"/>
                <w:b/>
                <w:color w:val="000000"/>
                <w:sz w:val="18"/>
                <w:szCs w:val="18"/>
              </w:rPr>
              <w:t xml:space="preserve"> </w:t>
            </w:r>
          </w:p>
        </w:tc>
        <w:tc>
          <w:tcPr>
            <w:tcW w:w="1049" w:type="pct"/>
            <w:shd w:val="clear" w:color="auto" w:fill="auto"/>
          </w:tcPr>
          <w:p w14:paraId="56FAB47B" w14:textId="4D4A8A6E" w:rsidR="00C91427" w:rsidRPr="00FD510D" w:rsidRDefault="00C91427" w:rsidP="00310D48">
            <w:pPr>
              <w:jc w:val="center"/>
              <w:rPr>
                <w:rFonts w:eastAsia="Times New Roman" w:cs="Tahoma"/>
                <w:b/>
                <w:color w:val="000000"/>
                <w:sz w:val="18"/>
                <w:szCs w:val="18"/>
              </w:rPr>
            </w:pPr>
            <w:r w:rsidRPr="00FD510D">
              <w:rPr>
                <w:rFonts w:eastAsia="Times New Roman" w:cs="Tahoma"/>
                <w:b/>
                <w:color w:val="000000"/>
                <w:sz w:val="18"/>
                <w:szCs w:val="18"/>
              </w:rPr>
              <w:t>3.896</w:t>
            </w:r>
            <w:r w:rsidR="00310D48">
              <w:rPr>
                <w:rFonts w:eastAsia="Times New Roman" w:cs="Tahoma"/>
                <w:b/>
                <w:color w:val="000000"/>
                <w:sz w:val="18"/>
                <w:szCs w:val="18"/>
              </w:rPr>
              <w:t xml:space="preserve"> </w:t>
            </w:r>
          </w:p>
        </w:tc>
      </w:tr>
      <w:tr w:rsidR="00310D48" w:rsidRPr="00FD510D" w14:paraId="154AE900" w14:textId="77777777" w:rsidTr="004D76C1">
        <w:trPr>
          <w:trHeight w:val="170"/>
        </w:trPr>
        <w:tc>
          <w:tcPr>
            <w:tcW w:w="1431" w:type="pct"/>
            <w:shd w:val="clear" w:color="auto" w:fill="auto"/>
          </w:tcPr>
          <w:p w14:paraId="4A56466B" w14:textId="02294614" w:rsidR="00C91427" w:rsidRPr="00FD510D" w:rsidRDefault="00C91427" w:rsidP="00310D48">
            <w:pPr>
              <w:rPr>
                <w:rFonts w:eastAsia="Times New Roman" w:cs="Tahoma"/>
                <w:color w:val="000000"/>
                <w:sz w:val="18"/>
                <w:szCs w:val="18"/>
              </w:rPr>
            </w:pPr>
            <w:r w:rsidRPr="00FD510D">
              <w:rPr>
                <w:rFonts w:eastAsia="Times New Roman" w:cs="Tahoma"/>
                <w:color w:val="000000"/>
                <w:sz w:val="18"/>
                <w:szCs w:val="18"/>
              </w:rPr>
              <w:lastRenderedPageBreak/>
              <w:t>KŽ</w:t>
            </w:r>
            <w:r w:rsidR="00310D48">
              <w:rPr>
                <w:rFonts w:eastAsia="Times New Roman" w:cs="Tahoma"/>
                <w:color w:val="000000"/>
                <w:sz w:val="18"/>
                <w:szCs w:val="18"/>
              </w:rPr>
              <w:t xml:space="preserve"> </w:t>
            </w:r>
          </w:p>
        </w:tc>
        <w:tc>
          <w:tcPr>
            <w:tcW w:w="1526" w:type="pct"/>
            <w:shd w:val="clear" w:color="auto" w:fill="auto"/>
          </w:tcPr>
          <w:p w14:paraId="6AD8489E" w14:textId="350CF5CD" w:rsidR="00C91427" w:rsidRPr="00FD510D" w:rsidRDefault="00C91427" w:rsidP="00310D48">
            <w:pPr>
              <w:jc w:val="center"/>
              <w:rPr>
                <w:rFonts w:eastAsia="Times New Roman" w:cs="Tahoma"/>
                <w:color w:val="000000"/>
                <w:sz w:val="18"/>
                <w:szCs w:val="18"/>
              </w:rPr>
            </w:pPr>
            <w:r w:rsidRPr="00FD510D">
              <w:rPr>
                <w:rFonts w:eastAsia="Times New Roman" w:cs="Tahoma"/>
                <w:color w:val="000000"/>
                <w:sz w:val="18"/>
                <w:szCs w:val="18"/>
              </w:rPr>
              <w:t>28.087</w:t>
            </w:r>
            <w:r w:rsidR="00310D48">
              <w:rPr>
                <w:rFonts w:eastAsia="Times New Roman" w:cs="Tahoma"/>
                <w:color w:val="000000"/>
                <w:sz w:val="18"/>
                <w:szCs w:val="18"/>
              </w:rPr>
              <w:t xml:space="preserve"> </w:t>
            </w:r>
          </w:p>
        </w:tc>
        <w:tc>
          <w:tcPr>
            <w:tcW w:w="993" w:type="pct"/>
            <w:shd w:val="clear" w:color="auto" w:fill="auto"/>
          </w:tcPr>
          <w:p w14:paraId="0666B5C3" w14:textId="77777777" w:rsidR="00C91427" w:rsidRPr="00FD510D" w:rsidRDefault="00C91427" w:rsidP="00C91427">
            <w:pPr>
              <w:jc w:val="center"/>
              <w:rPr>
                <w:rFonts w:eastAsia="Times New Roman" w:cs="Tahoma"/>
                <w:color w:val="000000"/>
                <w:sz w:val="18"/>
                <w:szCs w:val="18"/>
              </w:rPr>
            </w:pPr>
            <w:r w:rsidRPr="00FD510D">
              <w:rPr>
                <w:rFonts w:eastAsia="Times New Roman" w:cs="Tahoma"/>
                <w:color w:val="000000"/>
                <w:sz w:val="18"/>
                <w:szCs w:val="18"/>
              </w:rPr>
              <w:t>9.307</w:t>
            </w:r>
          </w:p>
        </w:tc>
        <w:tc>
          <w:tcPr>
            <w:tcW w:w="1049" w:type="pct"/>
            <w:shd w:val="clear" w:color="auto" w:fill="auto"/>
          </w:tcPr>
          <w:p w14:paraId="2D579DBB" w14:textId="77777777" w:rsidR="00C91427" w:rsidRPr="00FD510D" w:rsidRDefault="00C91427" w:rsidP="00C91427">
            <w:pPr>
              <w:jc w:val="center"/>
              <w:rPr>
                <w:rFonts w:eastAsia="Times New Roman" w:cs="Tahoma"/>
                <w:color w:val="000000"/>
                <w:sz w:val="18"/>
                <w:szCs w:val="18"/>
              </w:rPr>
            </w:pPr>
            <w:r w:rsidRPr="00FD510D">
              <w:rPr>
                <w:rFonts w:eastAsia="Times New Roman" w:cs="Tahoma"/>
                <w:color w:val="000000"/>
                <w:sz w:val="18"/>
                <w:szCs w:val="18"/>
              </w:rPr>
              <w:t>7.850</w:t>
            </w:r>
          </w:p>
        </w:tc>
      </w:tr>
      <w:tr w:rsidR="00310D48" w:rsidRPr="00FD510D" w14:paraId="6C6DA52D" w14:textId="77777777" w:rsidTr="004D76C1">
        <w:trPr>
          <w:trHeight w:val="170"/>
        </w:trPr>
        <w:tc>
          <w:tcPr>
            <w:tcW w:w="1431" w:type="pct"/>
            <w:shd w:val="clear" w:color="auto" w:fill="auto"/>
          </w:tcPr>
          <w:p w14:paraId="75D96536" w14:textId="7F15CB68" w:rsidR="00C91427" w:rsidRPr="00FD510D" w:rsidRDefault="00C91427" w:rsidP="00310D48">
            <w:pPr>
              <w:rPr>
                <w:rFonts w:eastAsia="Times New Roman" w:cs="Tahoma"/>
                <w:color w:val="000000"/>
                <w:sz w:val="18"/>
                <w:szCs w:val="18"/>
              </w:rPr>
            </w:pPr>
            <w:r w:rsidRPr="00FD510D">
              <w:rPr>
                <w:rFonts w:eastAsia="Times New Roman" w:cs="Tahoma"/>
                <w:color w:val="000000"/>
                <w:sz w:val="18"/>
                <w:szCs w:val="18"/>
              </w:rPr>
              <w:t>RH</w:t>
            </w:r>
            <w:r w:rsidR="00310D48">
              <w:rPr>
                <w:rFonts w:eastAsia="Times New Roman" w:cs="Tahoma"/>
                <w:color w:val="000000"/>
                <w:sz w:val="18"/>
                <w:szCs w:val="18"/>
              </w:rPr>
              <w:t xml:space="preserve"> </w:t>
            </w:r>
          </w:p>
        </w:tc>
        <w:tc>
          <w:tcPr>
            <w:tcW w:w="1526" w:type="pct"/>
            <w:shd w:val="clear" w:color="auto" w:fill="auto"/>
          </w:tcPr>
          <w:p w14:paraId="300CBC02" w14:textId="4D3E988E" w:rsidR="00C91427" w:rsidRPr="00FD510D" w:rsidRDefault="00C91427" w:rsidP="00310D48">
            <w:pPr>
              <w:jc w:val="center"/>
              <w:rPr>
                <w:rFonts w:eastAsia="Times New Roman" w:cs="Tahoma"/>
                <w:color w:val="000000"/>
                <w:sz w:val="18"/>
                <w:szCs w:val="18"/>
              </w:rPr>
            </w:pPr>
            <w:r w:rsidRPr="00FD510D">
              <w:rPr>
                <w:rFonts w:eastAsia="Times New Roman" w:cs="Tahoma"/>
                <w:color w:val="000000"/>
                <w:sz w:val="18"/>
                <w:szCs w:val="18"/>
              </w:rPr>
              <w:t>759.908</w:t>
            </w:r>
            <w:r w:rsidR="00310D48">
              <w:rPr>
                <w:rFonts w:eastAsia="Times New Roman" w:cs="Tahoma"/>
                <w:color w:val="000000"/>
                <w:sz w:val="18"/>
                <w:szCs w:val="18"/>
              </w:rPr>
              <w:t xml:space="preserve"> </w:t>
            </w:r>
          </w:p>
        </w:tc>
        <w:tc>
          <w:tcPr>
            <w:tcW w:w="993" w:type="pct"/>
            <w:shd w:val="clear" w:color="auto" w:fill="auto"/>
          </w:tcPr>
          <w:p w14:paraId="73956813" w14:textId="4EA93B08" w:rsidR="00C91427" w:rsidRPr="00FD510D" w:rsidRDefault="00C91427" w:rsidP="00310D48">
            <w:pPr>
              <w:jc w:val="center"/>
              <w:rPr>
                <w:rFonts w:eastAsia="Times New Roman" w:cs="Tahoma"/>
                <w:color w:val="000000"/>
                <w:sz w:val="18"/>
                <w:szCs w:val="18"/>
              </w:rPr>
            </w:pPr>
            <w:r w:rsidRPr="00FD510D">
              <w:rPr>
                <w:rFonts w:eastAsia="Times New Roman" w:cs="Tahoma"/>
                <w:color w:val="000000"/>
                <w:sz w:val="18"/>
                <w:szCs w:val="18"/>
              </w:rPr>
              <w:t>233.327</w:t>
            </w:r>
            <w:r w:rsidR="00310D48">
              <w:rPr>
                <w:rFonts w:eastAsia="Times New Roman" w:cs="Tahoma"/>
                <w:color w:val="000000"/>
                <w:sz w:val="18"/>
                <w:szCs w:val="18"/>
              </w:rPr>
              <w:t xml:space="preserve"> </w:t>
            </w:r>
          </w:p>
        </w:tc>
        <w:tc>
          <w:tcPr>
            <w:tcW w:w="1049" w:type="pct"/>
            <w:shd w:val="clear" w:color="auto" w:fill="auto"/>
          </w:tcPr>
          <w:p w14:paraId="45C68874" w14:textId="3FAD86B6" w:rsidR="00C91427" w:rsidRPr="00FD510D" w:rsidRDefault="00C91427" w:rsidP="00310D48">
            <w:pPr>
              <w:jc w:val="center"/>
              <w:rPr>
                <w:rFonts w:eastAsia="Times New Roman" w:cs="Tahoma"/>
                <w:color w:val="000000"/>
                <w:sz w:val="18"/>
                <w:szCs w:val="18"/>
              </w:rPr>
            </w:pPr>
            <w:r w:rsidRPr="00FD510D">
              <w:rPr>
                <w:rFonts w:eastAsia="Times New Roman" w:cs="Tahoma"/>
                <w:color w:val="000000"/>
                <w:sz w:val="18"/>
                <w:szCs w:val="18"/>
              </w:rPr>
              <w:t>202.407</w:t>
            </w:r>
            <w:r w:rsidR="00310D48">
              <w:rPr>
                <w:rFonts w:eastAsia="Times New Roman" w:cs="Tahoma"/>
                <w:color w:val="000000"/>
                <w:sz w:val="18"/>
                <w:szCs w:val="18"/>
              </w:rPr>
              <w:t xml:space="preserve"> </w:t>
            </w:r>
          </w:p>
        </w:tc>
      </w:tr>
    </w:tbl>
    <w:p w14:paraId="1DF105DD" w14:textId="77777777" w:rsidR="00EB0A90" w:rsidRPr="00FD510D" w:rsidRDefault="00EB0A90" w:rsidP="00EB0A90">
      <w:pPr>
        <w:jc w:val="left"/>
        <w:rPr>
          <w:rFonts w:cs="Tahoma"/>
          <w:color w:val="39617A"/>
          <w:sz w:val="18"/>
          <w:szCs w:val="18"/>
        </w:rPr>
      </w:pPr>
      <w:r w:rsidRPr="00FD510D">
        <w:rPr>
          <w:rFonts w:cs="Tahoma"/>
          <w:color w:val="39617A"/>
          <w:sz w:val="18"/>
          <w:szCs w:val="18"/>
        </w:rPr>
        <w:t>Izvor: DZS, Popis stanovništva 2011.</w:t>
      </w:r>
    </w:p>
    <w:p w14:paraId="7E91D884" w14:textId="4BCF45CD" w:rsidR="00921AE8" w:rsidRDefault="0051752E" w:rsidP="00921AE8">
      <w:r>
        <w:t xml:space="preserve">Prema nacionalnoj strukturi, na području Karlovačke županije i na Većem urbanom području Karlovac </w:t>
      </w:r>
      <w:r w:rsidR="004D76C1" w:rsidRPr="004D76C1">
        <w:t xml:space="preserve">većinsko stanovništvo čine Hrvati s 90,4%, zatim slijede Srbi s 6,4% dok ostale nacionalne manjine pojedinačno sudjeluju s manje od 1% </w:t>
      </w:r>
      <w:r w:rsidR="004D76C1">
        <w:t>udjela</w:t>
      </w:r>
      <w:r w:rsidR="004D76C1" w:rsidRPr="004D76C1">
        <w:t xml:space="preserve">. Najveći udio srpske nacionalne manjine zabilježen je u samom Gradu Karlovcu (8,0%) dok primjerice u Ozlju isti čine oko 1%. </w:t>
      </w:r>
    </w:p>
    <w:p w14:paraId="5EA1F783" w14:textId="56C4D330" w:rsidR="002D777A" w:rsidRDefault="002D777A" w:rsidP="00921AE8">
      <w:r>
        <w:t xml:space="preserve">Što se </w:t>
      </w:r>
      <w:r w:rsidR="0051752E">
        <w:t xml:space="preserve">tiče </w:t>
      </w:r>
      <w:r>
        <w:t xml:space="preserve">obrazovne strukture stanovništva, očekivano, na urbanom području </w:t>
      </w:r>
      <w:r w:rsidR="0051752E">
        <w:t xml:space="preserve">je </w:t>
      </w:r>
      <w:r>
        <w:t xml:space="preserve">zamjetna koncentracija bolje obrazovnog stanovništva </w:t>
      </w:r>
      <w:r w:rsidR="004C2E5B">
        <w:t xml:space="preserve">te je obrazovna struktura odraslog stanovništva nešto </w:t>
      </w:r>
      <w:r>
        <w:t xml:space="preserve">povoljnija </w:t>
      </w:r>
      <w:r w:rsidR="004C2E5B">
        <w:t>u odnosu na županijsku razinu</w:t>
      </w:r>
      <w:r>
        <w:t xml:space="preserve"> i u odnosu na </w:t>
      </w:r>
      <w:r w:rsidR="0051752E">
        <w:t>nacionalni</w:t>
      </w:r>
      <w:r>
        <w:t xml:space="preserve"> prosjek</w:t>
      </w:r>
      <w:r w:rsidR="004C2E5B">
        <w:t xml:space="preserve">. Udio nisko obrazovanog stanovništva iznosi 29%, a visokoobrazovanog </w:t>
      </w:r>
      <w:r w:rsidR="0051752E">
        <w:t>gotovo</w:t>
      </w:r>
      <w:r w:rsidR="004C2E5B">
        <w:t xml:space="preserve"> 17%</w:t>
      </w:r>
      <w:r>
        <w:t>:</w:t>
      </w:r>
    </w:p>
    <w:p w14:paraId="5F7F94D5" w14:textId="4122372E" w:rsidR="00F57086" w:rsidRDefault="002D777A" w:rsidP="002D777A">
      <w:pPr>
        <w:pStyle w:val="Caption"/>
      </w:pPr>
      <w:bookmarkStart w:id="16" w:name="_Toc437387480"/>
      <w:r>
        <w:t xml:space="preserve">Tablica </w:t>
      </w:r>
      <w:r>
        <w:fldChar w:fldCharType="begin"/>
      </w:r>
      <w:r>
        <w:instrText xml:space="preserve"> SEQ Tablica \* ARABIC </w:instrText>
      </w:r>
      <w:r>
        <w:fldChar w:fldCharType="separate"/>
      </w:r>
      <w:r w:rsidR="001358A9">
        <w:rPr>
          <w:noProof/>
        </w:rPr>
        <w:t>7</w:t>
      </w:r>
      <w:r>
        <w:fldChar w:fldCharType="end"/>
      </w:r>
      <w:r>
        <w:t xml:space="preserve"> Obrazovna struktura stanovništva</w:t>
      </w:r>
      <w:r w:rsidR="002F6FFD">
        <w:t xml:space="preserve"> starijeg od 15 godina</w:t>
      </w:r>
      <w:r>
        <w:t>, VUP Karlovac, KŽ i RH (2011.)</w:t>
      </w:r>
      <w:bookmarkEnd w:id="16"/>
    </w:p>
    <w:tbl>
      <w:tblPr>
        <w:tblW w:w="9229" w:type="dxa"/>
        <w:tblInd w:w="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634"/>
        <w:gridCol w:w="1075"/>
        <w:gridCol w:w="850"/>
        <w:gridCol w:w="1276"/>
        <w:gridCol w:w="850"/>
        <w:gridCol w:w="993"/>
        <w:gridCol w:w="850"/>
        <w:gridCol w:w="851"/>
        <w:gridCol w:w="850"/>
      </w:tblGrid>
      <w:tr w:rsidR="005F6CB6" w:rsidRPr="005F6CB6" w14:paraId="6ADFB1AE" w14:textId="77777777" w:rsidTr="005F6CB6">
        <w:trPr>
          <w:trHeight w:val="300"/>
        </w:trPr>
        <w:tc>
          <w:tcPr>
            <w:tcW w:w="1634" w:type="dxa"/>
            <w:shd w:val="clear" w:color="000000" w:fill="39617A"/>
            <w:noWrap/>
            <w:vAlign w:val="bottom"/>
            <w:hideMark/>
          </w:tcPr>
          <w:p w14:paraId="50F8A67F" w14:textId="77777777" w:rsidR="005F6CB6" w:rsidRPr="005F6CB6" w:rsidRDefault="005F6CB6" w:rsidP="005F6CB6">
            <w:pPr>
              <w:pStyle w:val="tabletxt"/>
              <w:rPr>
                <w:color w:val="FFFFFF" w:themeColor="background1"/>
                <w:lang w:val="en-GB"/>
              </w:rPr>
            </w:pPr>
            <w:r w:rsidRPr="005F6CB6">
              <w:rPr>
                <w:color w:val="FFFFFF" w:themeColor="background1"/>
                <w:lang w:val="en-GB"/>
              </w:rPr>
              <w:t> </w:t>
            </w:r>
          </w:p>
        </w:tc>
        <w:tc>
          <w:tcPr>
            <w:tcW w:w="1925" w:type="dxa"/>
            <w:gridSpan w:val="2"/>
            <w:shd w:val="clear" w:color="000000" w:fill="39617A"/>
            <w:noWrap/>
            <w:vAlign w:val="bottom"/>
            <w:hideMark/>
          </w:tcPr>
          <w:p w14:paraId="315CD6D6" w14:textId="1159F0E9" w:rsidR="005F6CB6" w:rsidRPr="005F6CB6" w:rsidRDefault="005F6CB6" w:rsidP="005F6CB6">
            <w:pPr>
              <w:pStyle w:val="tabletxt"/>
              <w:jc w:val="center"/>
              <w:rPr>
                <w:b/>
                <w:color w:val="FFFFFF" w:themeColor="background1"/>
                <w:lang w:val="en-GB"/>
              </w:rPr>
            </w:pPr>
            <w:r w:rsidRPr="005F6CB6">
              <w:rPr>
                <w:b/>
                <w:color w:val="FFFFFF" w:themeColor="background1"/>
                <w:lang w:val="en-GB"/>
              </w:rPr>
              <w:t>Bez škole/OŠ</w:t>
            </w:r>
            <w:r w:rsidR="0004567C">
              <w:rPr>
                <w:b/>
                <w:color w:val="FFFFFF" w:themeColor="background1"/>
                <w:lang w:val="en-GB"/>
              </w:rPr>
              <w:t>*</w:t>
            </w:r>
          </w:p>
        </w:tc>
        <w:tc>
          <w:tcPr>
            <w:tcW w:w="2126" w:type="dxa"/>
            <w:gridSpan w:val="2"/>
            <w:shd w:val="clear" w:color="000000" w:fill="39617A"/>
            <w:noWrap/>
            <w:vAlign w:val="bottom"/>
            <w:hideMark/>
          </w:tcPr>
          <w:p w14:paraId="1BF08287" w14:textId="427BDB62" w:rsidR="005F6CB6" w:rsidRPr="005F6CB6" w:rsidRDefault="005F6CB6" w:rsidP="005F6CB6">
            <w:pPr>
              <w:pStyle w:val="tabletxt"/>
              <w:jc w:val="center"/>
              <w:rPr>
                <w:b/>
                <w:color w:val="FFFFFF" w:themeColor="background1"/>
                <w:lang w:val="en-GB"/>
              </w:rPr>
            </w:pPr>
            <w:r w:rsidRPr="005F6CB6">
              <w:rPr>
                <w:b/>
                <w:color w:val="FFFFFF" w:themeColor="background1"/>
                <w:lang w:val="en-GB"/>
              </w:rPr>
              <w:t>Srednja škola</w:t>
            </w:r>
            <w:r w:rsidR="0004567C">
              <w:rPr>
                <w:b/>
                <w:color w:val="FFFFFF" w:themeColor="background1"/>
                <w:lang w:val="en-GB"/>
              </w:rPr>
              <w:t>**</w:t>
            </w:r>
          </w:p>
        </w:tc>
        <w:tc>
          <w:tcPr>
            <w:tcW w:w="1843" w:type="dxa"/>
            <w:gridSpan w:val="2"/>
            <w:shd w:val="clear" w:color="000000" w:fill="39617A"/>
            <w:noWrap/>
            <w:vAlign w:val="bottom"/>
            <w:hideMark/>
          </w:tcPr>
          <w:p w14:paraId="57E2007C" w14:textId="249C160B" w:rsidR="005F6CB6" w:rsidRPr="005F6CB6" w:rsidRDefault="005F6CB6" w:rsidP="005F6CB6">
            <w:pPr>
              <w:pStyle w:val="tabletxt"/>
              <w:jc w:val="center"/>
              <w:rPr>
                <w:b/>
                <w:color w:val="FFFFFF" w:themeColor="background1"/>
                <w:lang w:val="en-GB"/>
              </w:rPr>
            </w:pPr>
            <w:r w:rsidRPr="005F6CB6">
              <w:rPr>
                <w:b/>
                <w:color w:val="FFFFFF" w:themeColor="background1"/>
                <w:lang w:val="en-GB"/>
              </w:rPr>
              <w:t>Visoko obrazovanje</w:t>
            </w:r>
            <w:r w:rsidR="0004567C">
              <w:rPr>
                <w:b/>
                <w:color w:val="FFFFFF" w:themeColor="background1"/>
                <w:lang w:val="en-GB"/>
              </w:rPr>
              <w:t>***</w:t>
            </w:r>
          </w:p>
        </w:tc>
        <w:tc>
          <w:tcPr>
            <w:tcW w:w="1701" w:type="dxa"/>
            <w:gridSpan w:val="2"/>
            <w:shd w:val="clear" w:color="000000" w:fill="39617A"/>
            <w:noWrap/>
            <w:vAlign w:val="bottom"/>
            <w:hideMark/>
          </w:tcPr>
          <w:p w14:paraId="7EBB19F4" w14:textId="24038078" w:rsidR="005F6CB6" w:rsidRPr="005F6CB6" w:rsidRDefault="005F6CB6" w:rsidP="005F6CB6">
            <w:pPr>
              <w:pStyle w:val="tabletxt"/>
              <w:jc w:val="center"/>
              <w:rPr>
                <w:b/>
                <w:color w:val="FFFFFF" w:themeColor="background1"/>
                <w:lang w:val="en-GB"/>
              </w:rPr>
            </w:pPr>
            <w:r w:rsidRPr="005F6CB6">
              <w:rPr>
                <w:b/>
                <w:color w:val="FFFFFF" w:themeColor="background1"/>
                <w:lang w:val="en-GB"/>
              </w:rPr>
              <w:t>Nepoznato</w:t>
            </w:r>
          </w:p>
        </w:tc>
      </w:tr>
      <w:tr w:rsidR="005F6CB6" w:rsidRPr="005F6CB6" w14:paraId="73C53A0F" w14:textId="77777777" w:rsidTr="005F6CB6">
        <w:trPr>
          <w:trHeight w:val="300"/>
        </w:trPr>
        <w:tc>
          <w:tcPr>
            <w:tcW w:w="1634" w:type="dxa"/>
            <w:shd w:val="clear" w:color="000000" w:fill="39617A"/>
            <w:noWrap/>
            <w:vAlign w:val="bottom"/>
          </w:tcPr>
          <w:p w14:paraId="32E39B43" w14:textId="77777777" w:rsidR="005F6CB6" w:rsidRPr="005F6CB6" w:rsidRDefault="005F6CB6" w:rsidP="005F6CB6">
            <w:pPr>
              <w:pStyle w:val="tabletxt"/>
              <w:rPr>
                <w:color w:val="FFFFFF" w:themeColor="background1"/>
                <w:lang w:val="en-GB"/>
              </w:rPr>
            </w:pPr>
          </w:p>
        </w:tc>
        <w:tc>
          <w:tcPr>
            <w:tcW w:w="1075" w:type="dxa"/>
            <w:shd w:val="clear" w:color="000000" w:fill="39617A"/>
            <w:noWrap/>
            <w:vAlign w:val="bottom"/>
          </w:tcPr>
          <w:p w14:paraId="60C837F9" w14:textId="7677D2C0" w:rsidR="005F6CB6" w:rsidRPr="005F6CB6" w:rsidRDefault="005F6CB6" w:rsidP="005F6CB6">
            <w:pPr>
              <w:pStyle w:val="tabletxt"/>
              <w:rPr>
                <w:color w:val="FFFFFF" w:themeColor="background1"/>
                <w:lang w:val="en-GB"/>
              </w:rPr>
            </w:pPr>
            <w:r w:rsidRPr="005F6CB6">
              <w:rPr>
                <w:color w:val="FFFFFF" w:themeColor="background1"/>
                <w:lang w:val="en-GB"/>
              </w:rPr>
              <w:t>Broj</w:t>
            </w:r>
          </w:p>
        </w:tc>
        <w:tc>
          <w:tcPr>
            <w:tcW w:w="850" w:type="dxa"/>
            <w:shd w:val="clear" w:color="000000" w:fill="39617A"/>
            <w:noWrap/>
            <w:vAlign w:val="bottom"/>
          </w:tcPr>
          <w:p w14:paraId="7C18351A" w14:textId="681B8B7A" w:rsidR="005F6CB6" w:rsidRPr="005F6CB6" w:rsidRDefault="005F6CB6" w:rsidP="005F6CB6">
            <w:pPr>
              <w:pStyle w:val="tabletxt"/>
              <w:rPr>
                <w:color w:val="FFFFFF" w:themeColor="background1"/>
                <w:lang w:val="en-GB"/>
              </w:rPr>
            </w:pPr>
            <w:r w:rsidRPr="005F6CB6">
              <w:rPr>
                <w:color w:val="FFFFFF" w:themeColor="background1"/>
                <w:lang w:val="en-GB"/>
              </w:rPr>
              <w:t>Udio (%)</w:t>
            </w:r>
          </w:p>
        </w:tc>
        <w:tc>
          <w:tcPr>
            <w:tcW w:w="1276" w:type="dxa"/>
            <w:shd w:val="clear" w:color="000000" w:fill="39617A"/>
            <w:noWrap/>
            <w:vAlign w:val="bottom"/>
          </w:tcPr>
          <w:p w14:paraId="47BA2AFE" w14:textId="70478FD5" w:rsidR="005F6CB6" w:rsidRPr="005F6CB6" w:rsidRDefault="005F6CB6" w:rsidP="005F6CB6">
            <w:pPr>
              <w:pStyle w:val="tabletxt"/>
              <w:rPr>
                <w:color w:val="FFFFFF" w:themeColor="background1"/>
                <w:lang w:val="en-GB"/>
              </w:rPr>
            </w:pPr>
            <w:r w:rsidRPr="005F6CB6">
              <w:rPr>
                <w:color w:val="FFFFFF" w:themeColor="background1"/>
                <w:lang w:val="en-GB"/>
              </w:rPr>
              <w:t>Broj</w:t>
            </w:r>
          </w:p>
        </w:tc>
        <w:tc>
          <w:tcPr>
            <w:tcW w:w="850" w:type="dxa"/>
            <w:shd w:val="clear" w:color="000000" w:fill="39617A"/>
            <w:noWrap/>
            <w:vAlign w:val="bottom"/>
          </w:tcPr>
          <w:p w14:paraId="4C10388D" w14:textId="0465D837" w:rsidR="005F6CB6" w:rsidRPr="005F6CB6" w:rsidRDefault="005F6CB6" w:rsidP="005F6CB6">
            <w:pPr>
              <w:pStyle w:val="tabletxt"/>
              <w:rPr>
                <w:color w:val="FFFFFF" w:themeColor="background1"/>
                <w:lang w:val="en-GB"/>
              </w:rPr>
            </w:pPr>
            <w:r w:rsidRPr="005F6CB6">
              <w:rPr>
                <w:color w:val="FFFFFF" w:themeColor="background1"/>
                <w:lang w:val="en-GB"/>
              </w:rPr>
              <w:t>Udio (%)</w:t>
            </w:r>
          </w:p>
        </w:tc>
        <w:tc>
          <w:tcPr>
            <w:tcW w:w="993" w:type="dxa"/>
            <w:shd w:val="clear" w:color="000000" w:fill="39617A"/>
            <w:noWrap/>
            <w:vAlign w:val="bottom"/>
          </w:tcPr>
          <w:p w14:paraId="255650BE" w14:textId="7EECCF57" w:rsidR="005F6CB6" w:rsidRPr="005F6CB6" w:rsidRDefault="005F6CB6" w:rsidP="005F6CB6">
            <w:pPr>
              <w:pStyle w:val="tabletxt"/>
              <w:rPr>
                <w:color w:val="FFFFFF" w:themeColor="background1"/>
                <w:lang w:val="en-GB"/>
              </w:rPr>
            </w:pPr>
            <w:r w:rsidRPr="005F6CB6">
              <w:rPr>
                <w:color w:val="FFFFFF" w:themeColor="background1"/>
                <w:lang w:val="en-GB"/>
              </w:rPr>
              <w:t>Broj</w:t>
            </w:r>
          </w:p>
        </w:tc>
        <w:tc>
          <w:tcPr>
            <w:tcW w:w="850" w:type="dxa"/>
            <w:shd w:val="clear" w:color="000000" w:fill="39617A"/>
            <w:noWrap/>
            <w:vAlign w:val="bottom"/>
          </w:tcPr>
          <w:p w14:paraId="7B64427D" w14:textId="5DDB2A73" w:rsidR="005F6CB6" w:rsidRPr="005F6CB6" w:rsidRDefault="005F6CB6" w:rsidP="005F6CB6">
            <w:pPr>
              <w:pStyle w:val="tabletxt"/>
              <w:rPr>
                <w:color w:val="FFFFFF" w:themeColor="background1"/>
                <w:lang w:val="en-GB"/>
              </w:rPr>
            </w:pPr>
            <w:r w:rsidRPr="005F6CB6">
              <w:rPr>
                <w:color w:val="FFFFFF" w:themeColor="background1"/>
                <w:lang w:val="en-GB"/>
              </w:rPr>
              <w:t>Udio (%)</w:t>
            </w:r>
          </w:p>
        </w:tc>
        <w:tc>
          <w:tcPr>
            <w:tcW w:w="851" w:type="dxa"/>
            <w:shd w:val="clear" w:color="000000" w:fill="39617A"/>
            <w:noWrap/>
            <w:vAlign w:val="bottom"/>
          </w:tcPr>
          <w:p w14:paraId="5057C1D3" w14:textId="31DD87C8" w:rsidR="005F6CB6" w:rsidRPr="005F6CB6" w:rsidRDefault="005F6CB6" w:rsidP="005F6CB6">
            <w:pPr>
              <w:pStyle w:val="tabletxt"/>
              <w:rPr>
                <w:color w:val="FFFFFF" w:themeColor="background1"/>
                <w:lang w:val="en-GB"/>
              </w:rPr>
            </w:pPr>
            <w:r w:rsidRPr="005F6CB6">
              <w:rPr>
                <w:color w:val="FFFFFF" w:themeColor="background1"/>
                <w:lang w:val="en-GB"/>
              </w:rPr>
              <w:t>Broj</w:t>
            </w:r>
          </w:p>
        </w:tc>
        <w:tc>
          <w:tcPr>
            <w:tcW w:w="850" w:type="dxa"/>
            <w:shd w:val="clear" w:color="000000" w:fill="39617A"/>
            <w:noWrap/>
            <w:vAlign w:val="bottom"/>
          </w:tcPr>
          <w:p w14:paraId="51B3A4C7" w14:textId="1AAEE298" w:rsidR="005F6CB6" w:rsidRPr="005F6CB6" w:rsidRDefault="005F6CB6" w:rsidP="005F6CB6">
            <w:pPr>
              <w:pStyle w:val="tabletxt"/>
              <w:rPr>
                <w:color w:val="FFFFFF" w:themeColor="background1"/>
                <w:lang w:val="en-GB"/>
              </w:rPr>
            </w:pPr>
            <w:r w:rsidRPr="005F6CB6">
              <w:rPr>
                <w:color w:val="FFFFFF" w:themeColor="background1"/>
                <w:lang w:val="en-GB"/>
              </w:rPr>
              <w:t>Udio (%)</w:t>
            </w:r>
          </w:p>
        </w:tc>
      </w:tr>
      <w:tr w:rsidR="005F6CB6" w:rsidRPr="002D777A" w14:paraId="135A3CA9" w14:textId="77777777" w:rsidTr="005F6CB6">
        <w:trPr>
          <w:trHeight w:val="300"/>
        </w:trPr>
        <w:tc>
          <w:tcPr>
            <w:tcW w:w="1634" w:type="dxa"/>
            <w:shd w:val="clear" w:color="auto" w:fill="auto"/>
            <w:noWrap/>
            <w:vAlign w:val="center"/>
            <w:hideMark/>
          </w:tcPr>
          <w:p w14:paraId="22B04CC9" w14:textId="63590D88" w:rsidR="002D777A" w:rsidRPr="002D777A" w:rsidRDefault="002D777A" w:rsidP="005F6CB6">
            <w:pPr>
              <w:pStyle w:val="tabletxt"/>
              <w:rPr>
                <w:lang w:val="en-GB"/>
              </w:rPr>
            </w:pPr>
            <w:r>
              <w:rPr>
                <w:lang w:val="en-GB"/>
              </w:rPr>
              <w:t xml:space="preserve">Grad </w:t>
            </w:r>
            <w:r w:rsidRPr="002D777A">
              <w:rPr>
                <w:lang w:val="en-GB"/>
              </w:rPr>
              <w:t>Karlovac</w:t>
            </w:r>
          </w:p>
        </w:tc>
        <w:tc>
          <w:tcPr>
            <w:tcW w:w="1075" w:type="dxa"/>
            <w:shd w:val="clear" w:color="auto" w:fill="auto"/>
            <w:noWrap/>
            <w:vAlign w:val="bottom"/>
            <w:hideMark/>
          </w:tcPr>
          <w:p w14:paraId="607E7623" w14:textId="77777777" w:rsidR="002D777A" w:rsidRPr="002D777A" w:rsidRDefault="002D777A" w:rsidP="005F6CB6">
            <w:pPr>
              <w:pStyle w:val="tabletxt"/>
              <w:rPr>
                <w:lang w:val="en-GB"/>
              </w:rPr>
            </w:pPr>
            <w:r w:rsidRPr="002D777A">
              <w:rPr>
                <w:lang w:val="en-GB"/>
              </w:rPr>
              <w:t xml:space="preserve"> 13,003 </w:t>
            </w:r>
          </w:p>
        </w:tc>
        <w:tc>
          <w:tcPr>
            <w:tcW w:w="850" w:type="dxa"/>
            <w:shd w:val="clear" w:color="auto" w:fill="auto"/>
            <w:noWrap/>
            <w:vAlign w:val="bottom"/>
            <w:hideMark/>
          </w:tcPr>
          <w:p w14:paraId="6E87029D" w14:textId="77777777" w:rsidR="002D777A" w:rsidRPr="005F6CB6" w:rsidRDefault="002D777A" w:rsidP="005F6CB6">
            <w:pPr>
              <w:pStyle w:val="tabletxt"/>
              <w:rPr>
                <w:i/>
                <w:lang w:val="en-GB"/>
              </w:rPr>
            </w:pPr>
            <w:r w:rsidRPr="005F6CB6">
              <w:rPr>
                <w:i/>
                <w:lang w:val="en-GB"/>
              </w:rPr>
              <w:t>27.0%</w:t>
            </w:r>
          </w:p>
        </w:tc>
        <w:tc>
          <w:tcPr>
            <w:tcW w:w="1276" w:type="dxa"/>
            <w:shd w:val="clear" w:color="auto" w:fill="auto"/>
            <w:noWrap/>
            <w:vAlign w:val="bottom"/>
            <w:hideMark/>
          </w:tcPr>
          <w:p w14:paraId="4C7C4270" w14:textId="77777777" w:rsidR="002D777A" w:rsidRPr="002D777A" w:rsidRDefault="002D777A" w:rsidP="005F6CB6">
            <w:pPr>
              <w:pStyle w:val="tabletxt"/>
              <w:rPr>
                <w:lang w:val="en-GB"/>
              </w:rPr>
            </w:pPr>
            <w:r w:rsidRPr="002D777A">
              <w:rPr>
                <w:lang w:val="en-GB"/>
              </w:rPr>
              <w:t xml:space="preserve"> 25,969 </w:t>
            </w:r>
          </w:p>
        </w:tc>
        <w:tc>
          <w:tcPr>
            <w:tcW w:w="850" w:type="dxa"/>
            <w:shd w:val="clear" w:color="auto" w:fill="auto"/>
            <w:noWrap/>
            <w:vAlign w:val="bottom"/>
            <w:hideMark/>
          </w:tcPr>
          <w:p w14:paraId="560D90D6" w14:textId="77777777" w:rsidR="002D777A" w:rsidRPr="005F6CB6" w:rsidRDefault="002D777A" w:rsidP="005F6CB6">
            <w:pPr>
              <w:pStyle w:val="tabletxt"/>
              <w:rPr>
                <w:i/>
                <w:lang w:val="en-GB"/>
              </w:rPr>
            </w:pPr>
            <w:r w:rsidRPr="005F6CB6">
              <w:rPr>
                <w:i/>
                <w:lang w:val="en-GB"/>
              </w:rPr>
              <w:t>53.9%</w:t>
            </w:r>
          </w:p>
        </w:tc>
        <w:tc>
          <w:tcPr>
            <w:tcW w:w="993" w:type="dxa"/>
            <w:shd w:val="clear" w:color="auto" w:fill="auto"/>
            <w:noWrap/>
            <w:vAlign w:val="bottom"/>
            <w:hideMark/>
          </w:tcPr>
          <w:p w14:paraId="617A4CE3" w14:textId="77777777" w:rsidR="002D777A" w:rsidRPr="002D777A" w:rsidRDefault="002D777A" w:rsidP="005F6CB6">
            <w:pPr>
              <w:pStyle w:val="tabletxt"/>
              <w:rPr>
                <w:lang w:val="en-GB"/>
              </w:rPr>
            </w:pPr>
            <w:r w:rsidRPr="002D777A">
              <w:rPr>
                <w:lang w:val="en-GB"/>
              </w:rPr>
              <w:t xml:space="preserve"> 8,947 </w:t>
            </w:r>
          </w:p>
        </w:tc>
        <w:tc>
          <w:tcPr>
            <w:tcW w:w="850" w:type="dxa"/>
            <w:shd w:val="clear" w:color="auto" w:fill="auto"/>
            <w:noWrap/>
            <w:vAlign w:val="bottom"/>
            <w:hideMark/>
          </w:tcPr>
          <w:p w14:paraId="2BE496EE" w14:textId="77777777" w:rsidR="002D777A" w:rsidRPr="005F6CB6" w:rsidRDefault="002D777A" w:rsidP="005F6CB6">
            <w:pPr>
              <w:pStyle w:val="tabletxt"/>
              <w:rPr>
                <w:i/>
                <w:lang w:val="en-GB"/>
              </w:rPr>
            </w:pPr>
            <w:r w:rsidRPr="005F6CB6">
              <w:rPr>
                <w:i/>
                <w:lang w:val="en-GB"/>
              </w:rPr>
              <w:t>18.6%</w:t>
            </w:r>
          </w:p>
        </w:tc>
        <w:tc>
          <w:tcPr>
            <w:tcW w:w="851" w:type="dxa"/>
            <w:shd w:val="clear" w:color="auto" w:fill="auto"/>
            <w:noWrap/>
            <w:vAlign w:val="bottom"/>
            <w:hideMark/>
          </w:tcPr>
          <w:p w14:paraId="7B7EE29A" w14:textId="77777777" w:rsidR="002D777A" w:rsidRPr="002D777A" w:rsidRDefault="002D777A" w:rsidP="005F6CB6">
            <w:pPr>
              <w:pStyle w:val="tabletxt"/>
              <w:rPr>
                <w:lang w:val="en-GB"/>
              </w:rPr>
            </w:pPr>
            <w:r w:rsidRPr="002D777A">
              <w:rPr>
                <w:lang w:val="en-GB"/>
              </w:rPr>
              <w:t xml:space="preserve"> 274 </w:t>
            </w:r>
          </w:p>
        </w:tc>
        <w:tc>
          <w:tcPr>
            <w:tcW w:w="850" w:type="dxa"/>
            <w:shd w:val="clear" w:color="auto" w:fill="auto"/>
            <w:noWrap/>
            <w:vAlign w:val="bottom"/>
            <w:hideMark/>
          </w:tcPr>
          <w:p w14:paraId="4DC82C59" w14:textId="77777777" w:rsidR="002D777A" w:rsidRPr="005F6CB6" w:rsidRDefault="002D777A" w:rsidP="005F6CB6">
            <w:pPr>
              <w:pStyle w:val="tabletxt"/>
              <w:rPr>
                <w:i/>
                <w:lang w:val="en-GB"/>
              </w:rPr>
            </w:pPr>
            <w:r w:rsidRPr="005F6CB6">
              <w:rPr>
                <w:i/>
                <w:lang w:val="en-GB"/>
              </w:rPr>
              <w:t>0.6%</w:t>
            </w:r>
          </w:p>
        </w:tc>
      </w:tr>
      <w:tr w:rsidR="005F6CB6" w:rsidRPr="002D777A" w14:paraId="0B33ED25" w14:textId="77777777" w:rsidTr="005F6CB6">
        <w:trPr>
          <w:trHeight w:val="300"/>
        </w:trPr>
        <w:tc>
          <w:tcPr>
            <w:tcW w:w="1634" w:type="dxa"/>
            <w:shd w:val="clear" w:color="auto" w:fill="auto"/>
            <w:noWrap/>
            <w:vAlign w:val="center"/>
            <w:hideMark/>
          </w:tcPr>
          <w:p w14:paraId="07D5C935" w14:textId="6A6917FC" w:rsidR="002D777A" w:rsidRPr="002D777A" w:rsidRDefault="002D777A" w:rsidP="005F6CB6">
            <w:pPr>
              <w:pStyle w:val="tabletxt"/>
              <w:rPr>
                <w:lang w:val="en-GB"/>
              </w:rPr>
            </w:pPr>
            <w:r>
              <w:rPr>
                <w:lang w:val="en-GB"/>
              </w:rPr>
              <w:t xml:space="preserve">Grad </w:t>
            </w:r>
            <w:r w:rsidRPr="002D777A">
              <w:rPr>
                <w:lang w:val="en-GB"/>
              </w:rPr>
              <w:t>Duga Resa</w:t>
            </w:r>
          </w:p>
        </w:tc>
        <w:tc>
          <w:tcPr>
            <w:tcW w:w="1075" w:type="dxa"/>
            <w:shd w:val="clear" w:color="auto" w:fill="auto"/>
            <w:noWrap/>
            <w:vAlign w:val="bottom"/>
            <w:hideMark/>
          </w:tcPr>
          <w:p w14:paraId="2F94B75E" w14:textId="77777777" w:rsidR="002D777A" w:rsidRPr="002D777A" w:rsidRDefault="002D777A" w:rsidP="005F6CB6">
            <w:pPr>
              <w:pStyle w:val="tabletxt"/>
              <w:rPr>
                <w:lang w:val="en-GB"/>
              </w:rPr>
            </w:pPr>
            <w:r w:rsidRPr="002D777A">
              <w:rPr>
                <w:lang w:val="en-GB"/>
              </w:rPr>
              <w:t xml:space="preserve"> 3,003 </w:t>
            </w:r>
          </w:p>
        </w:tc>
        <w:tc>
          <w:tcPr>
            <w:tcW w:w="850" w:type="dxa"/>
            <w:shd w:val="clear" w:color="auto" w:fill="auto"/>
            <w:noWrap/>
            <w:vAlign w:val="bottom"/>
            <w:hideMark/>
          </w:tcPr>
          <w:p w14:paraId="774B6511" w14:textId="77777777" w:rsidR="002D777A" w:rsidRPr="005F6CB6" w:rsidRDefault="002D777A" w:rsidP="005F6CB6">
            <w:pPr>
              <w:pStyle w:val="tabletxt"/>
              <w:rPr>
                <w:i/>
                <w:lang w:val="en-GB"/>
              </w:rPr>
            </w:pPr>
            <w:r w:rsidRPr="005F6CB6">
              <w:rPr>
                <w:i/>
                <w:lang w:val="en-GB"/>
              </w:rPr>
              <w:t>30.8%</w:t>
            </w:r>
          </w:p>
        </w:tc>
        <w:tc>
          <w:tcPr>
            <w:tcW w:w="1276" w:type="dxa"/>
            <w:shd w:val="clear" w:color="auto" w:fill="auto"/>
            <w:noWrap/>
            <w:vAlign w:val="bottom"/>
            <w:hideMark/>
          </w:tcPr>
          <w:p w14:paraId="227127CD" w14:textId="77777777" w:rsidR="002D777A" w:rsidRPr="002D777A" w:rsidRDefault="002D777A" w:rsidP="005F6CB6">
            <w:pPr>
              <w:pStyle w:val="tabletxt"/>
              <w:rPr>
                <w:lang w:val="en-GB"/>
              </w:rPr>
            </w:pPr>
            <w:r w:rsidRPr="002D777A">
              <w:rPr>
                <w:lang w:val="en-GB"/>
              </w:rPr>
              <w:t xml:space="preserve"> 5,496 </w:t>
            </w:r>
          </w:p>
        </w:tc>
        <w:tc>
          <w:tcPr>
            <w:tcW w:w="850" w:type="dxa"/>
            <w:shd w:val="clear" w:color="auto" w:fill="auto"/>
            <w:noWrap/>
            <w:vAlign w:val="bottom"/>
            <w:hideMark/>
          </w:tcPr>
          <w:p w14:paraId="6A10A93B" w14:textId="77777777" w:rsidR="002D777A" w:rsidRPr="005F6CB6" w:rsidRDefault="002D777A" w:rsidP="005F6CB6">
            <w:pPr>
              <w:pStyle w:val="tabletxt"/>
              <w:rPr>
                <w:i/>
                <w:lang w:val="en-GB"/>
              </w:rPr>
            </w:pPr>
            <w:r w:rsidRPr="005F6CB6">
              <w:rPr>
                <w:i/>
                <w:lang w:val="en-GB"/>
              </w:rPr>
              <w:t>56.3%</w:t>
            </w:r>
          </w:p>
        </w:tc>
        <w:tc>
          <w:tcPr>
            <w:tcW w:w="993" w:type="dxa"/>
            <w:shd w:val="clear" w:color="auto" w:fill="auto"/>
            <w:noWrap/>
            <w:vAlign w:val="bottom"/>
            <w:hideMark/>
          </w:tcPr>
          <w:p w14:paraId="1C391A65" w14:textId="77777777" w:rsidR="002D777A" w:rsidRPr="002D777A" w:rsidRDefault="002D777A" w:rsidP="005F6CB6">
            <w:pPr>
              <w:pStyle w:val="tabletxt"/>
              <w:rPr>
                <w:lang w:val="en-GB"/>
              </w:rPr>
            </w:pPr>
            <w:r w:rsidRPr="002D777A">
              <w:rPr>
                <w:lang w:val="en-GB"/>
              </w:rPr>
              <w:t xml:space="preserve"> 1,261 </w:t>
            </w:r>
          </w:p>
        </w:tc>
        <w:tc>
          <w:tcPr>
            <w:tcW w:w="850" w:type="dxa"/>
            <w:shd w:val="clear" w:color="auto" w:fill="auto"/>
            <w:noWrap/>
            <w:vAlign w:val="bottom"/>
            <w:hideMark/>
          </w:tcPr>
          <w:p w14:paraId="55B665FD" w14:textId="77777777" w:rsidR="002D777A" w:rsidRPr="005F6CB6" w:rsidRDefault="002D777A" w:rsidP="005F6CB6">
            <w:pPr>
              <w:pStyle w:val="tabletxt"/>
              <w:rPr>
                <w:i/>
                <w:lang w:val="en-GB"/>
              </w:rPr>
            </w:pPr>
            <w:r w:rsidRPr="005F6CB6">
              <w:rPr>
                <w:i/>
                <w:lang w:val="en-GB"/>
              </w:rPr>
              <w:t>12.9%</w:t>
            </w:r>
          </w:p>
        </w:tc>
        <w:tc>
          <w:tcPr>
            <w:tcW w:w="851" w:type="dxa"/>
            <w:shd w:val="clear" w:color="auto" w:fill="auto"/>
            <w:noWrap/>
            <w:vAlign w:val="bottom"/>
            <w:hideMark/>
          </w:tcPr>
          <w:p w14:paraId="517377D2" w14:textId="77777777" w:rsidR="002D777A" w:rsidRPr="002D777A" w:rsidRDefault="002D777A" w:rsidP="005F6CB6">
            <w:pPr>
              <w:pStyle w:val="tabletxt"/>
              <w:rPr>
                <w:lang w:val="en-GB"/>
              </w:rPr>
            </w:pPr>
            <w:r w:rsidRPr="002D777A">
              <w:rPr>
                <w:lang w:val="en-GB"/>
              </w:rPr>
              <w:t xml:space="preserve"> 2 </w:t>
            </w:r>
          </w:p>
        </w:tc>
        <w:tc>
          <w:tcPr>
            <w:tcW w:w="850" w:type="dxa"/>
            <w:shd w:val="clear" w:color="auto" w:fill="auto"/>
            <w:noWrap/>
            <w:vAlign w:val="bottom"/>
            <w:hideMark/>
          </w:tcPr>
          <w:p w14:paraId="55C8961E" w14:textId="77777777" w:rsidR="002D777A" w:rsidRPr="005F6CB6" w:rsidRDefault="002D777A" w:rsidP="005F6CB6">
            <w:pPr>
              <w:pStyle w:val="tabletxt"/>
              <w:rPr>
                <w:i/>
                <w:lang w:val="en-GB"/>
              </w:rPr>
            </w:pPr>
            <w:r w:rsidRPr="005F6CB6">
              <w:rPr>
                <w:i/>
                <w:lang w:val="en-GB"/>
              </w:rPr>
              <w:t>0.0%</w:t>
            </w:r>
          </w:p>
        </w:tc>
      </w:tr>
      <w:tr w:rsidR="005F6CB6" w:rsidRPr="002D777A" w14:paraId="0DECBA32" w14:textId="77777777" w:rsidTr="005F6CB6">
        <w:trPr>
          <w:trHeight w:val="300"/>
        </w:trPr>
        <w:tc>
          <w:tcPr>
            <w:tcW w:w="1634" w:type="dxa"/>
            <w:shd w:val="clear" w:color="auto" w:fill="auto"/>
            <w:noWrap/>
            <w:vAlign w:val="center"/>
            <w:hideMark/>
          </w:tcPr>
          <w:p w14:paraId="621D5BA9" w14:textId="5CCA08DE" w:rsidR="002D777A" w:rsidRPr="002D777A" w:rsidRDefault="002D777A" w:rsidP="005F6CB6">
            <w:pPr>
              <w:pStyle w:val="tabletxt"/>
              <w:rPr>
                <w:lang w:val="en-GB"/>
              </w:rPr>
            </w:pPr>
            <w:r>
              <w:rPr>
                <w:lang w:val="en-GB"/>
              </w:rPr>
              <w:t xml:space="preserve">Grad </w:t>
            </w:r>
            <w:r w:rsidRPr="002D777A">
              <w:rPr>
                <w:lang w:val="en-GB"/>
              </w:rPr>
              <w:t>Ozalj</w:t>
            </w:r>
          </w:p>
        </w:tc>
        <w:tc>
          <w:tcPr>
            <w:tcW w:w="1075" w:type="dxa"/>
            <w:shd w:val="clear" w:color="auto" w:fill="auto"/>
            <w:noWrap/>
            <w:vAlign w:val="bottom"/>
            <w:hideMark/>
          </w:tcPr>
          <w:p w14:paraId="1B525D94" w14:textId="77777777" w:rsidR="002D777A" w:rsidRPr="002D777A" w:rsidRDefault="002D777A" w:rsidP="005F6CB6">
            <w:pPr>
              <w:pStyle w:val="tabletxt"/>
              <w:rPr>
                <w:lang w:val="en-GB"/>
              </w:rPr>
            </w:pPr>
            <w:r w:rsidRPr="002D777A">
              <w:rPr>
                <w:lang w:val="en-GB"/>
              </w:rPr>
              <w:t xml:space="preserve"> 2,722 </w:t>
            </w:r>
          </w:p>
        </w:tc>
        <w:tc>
          <w:tcPr>
            <w:tcW w:w="850" w:type="dxa"/>
            <w:shd w:val="clear" w:color="auto" w:fill="auto"/>
            <w:noWrap/>
            <w:vAlign w:val="bottom"/>
            <w:hideMark/>
          </w:tcPr>
          <w:p w14:paraId="41DCC1EB" w14:textId="77777777" w:rsidR="002D777A" w:rsidRPr="005F6CB6" w:rsidRDefault="002D777A" w:rsidP="005F6CB6">
            <w:pPr>
              <w:pStyle w:val="tabletxt"/>
              <w:rPr>
                <w:i/>
                <w:lang w:val="en-GB"/>
              </w:rPr>
            </w:pPr>
            <w:r w:rsidRPr="005F6CB6">
              <w:rPr>
                <w:i/>
                <w:lang w:val="en-GB"/>
              </w:rPr>
              <w:t>45.8%</w:t>
            </w:r>
          </w:p>
        </w:tc>
        <w:tc>
          <w:tcPr>
            <w:tcW w:w="1276" w:type="dxa"/>
            <w:shd w:val="clear" w:color="auto" w:fill="auto"/>
            <w:noWrap/>
            <w:vAlign w:val="bottom"/>
            <w:hideMark/>
          </w:tcPr>
          <w:p w14:paraId="4D083554" w14:textId="77777777" w:rsidR="002D777A" w:rsidRPr="002D777A" w:rsidRDefault="002D777A" w:rsidP="005F6CB6">
            <w:pPr>
              <w:pStyle w:val="tabletxt"/>
              <w:rPr>
                <w:lang w:val="en-GB"/>
              </w:rPr>
            </w:pPr>
            <w:r w:rsidRPr="002D777A">
              <w:rPr>
                <w:lang w:val="en-GB"/>
              </w:rPr>
              <w:t xml:space="preserve"> 2,762 </w:t>
            </w:r>
          </w:p>
        </w:tc>
        <w:tc>
          <w:tcPr>
            <w:tcW w:w="850" w:type="dxa"/>
            <w:shd w:val="clear" w:color="auto" w:fill="auto"/>
            <w:noWrap/>
            <w:vAlign w:val="bottom"/>
            <w:hideMark/>
          </w:tcPr>
          <w:p w14:paraId="4EF2B301" w14:textId="77777777" w:rsidR="002D777A" w:rsidRPr="005F6CB6" w:rsidRDefault="002D777A" w:rsidP="005F6CB6">
            <w:pPr>
              <w:pStyle w:val="tabletxt"/>
              <w:rPr>
                <w:i/>
                <w:lang w:val="en-GB"/>
              </w:rPr>
            </w:pPr>
            <w:r w:rsidRPr="005F6CB6">
              <w:rPr>
                <w:i/>
                <w:lang w:val="en-GB"/>
              </w:rPr>
              <w:t>46.4%</w:t>
            </w:r>
          </w:p>
        </w:tc>
        <w:tc>
          <w:tcPr>
            <w:tcW w:w="993" w:type="dxa"/>
            <w:shd w:val="clear" w:color="auto" w:fill="auto"/>
            <w:noWrap/>
            <w:vAlign w:val="bottom"/>
            <w:hideMark/>
          </w:tcPr>
          <w:p w14:paraId="4FC9FEE2" w14:textId="77777777" w:rsidR="002D777A" w:rsidRPr="002D777A" w:rsidRDefault="002D777A" w:rsidP="005F6CB6">
            <w:pPr>
              <w:pStyle w:val="tabletxt"/>
              <w:rPr>
                <w:lang w:val="en-GB"/>
              </w:rPr>
            </w:pPr>
            <w:r w:rsidRPr="002D777A">
              <w:rPr>
                <w:lang w:val="en-GB"/>
              </w:rPr>
              <w:t xml:space="preserve"> 464 </w:t>
            </w:r>
          </w:p>
        </w:tc>
        <w:tc>
          <w:tcPr>
            <w:tcW w:w="850" w:type="dxa"/>
            <w:shd w:val="clear" w:color="auto" w:fill="auto"/>
            <w:noWrap/>
            <w:vAlign w:val="bottom"/>
            <w:hideMark/>
          </w:tcPr>
          <w:p w14:paraId="134415EC" w14:textId="77777777" w:rsidR="002D777A" w:rsidRPr="005F6CB6" w:rsidRDefault="002D777A" w:rsidP="005F6CB6">
            <w:pPr>
              <w:pStyle w:val="tabletxt"/>
              <w:rPr>
                <w:i/>
                <w:lang w:val="en-GB"/>
              </w:rPr>
            </w:pPr>
            <w:r w:rsidRPr="005F6CB6">
              <w:rPr>
                <w:i/>
                <w:lang w:val="en-GB"/>
              </w:rPr>
              <w:t>7.8%</w:t>
            </w:r>
          </w:p>
        </w:tc>
        <w:tc>
          <w:tcPr>
            <w:tcW w:w="851" w:type="dxa"/>
            <w:shd w:val="clear" w:color="auto" w:fill="auto"/>
            <w:noWrap/>
            <w:vAlign w:val="bottom"/>
            <w:hideMark/>
          </w:tcPr>
          <w:p w14:paraId="3609AED7" w14:textId="77777777" w:rsidR="002D777A" w:rsidRPr="002D777A" w:rsidRDefault="002D777A" w:rsidP="005F6CB6">
            <w:pPr>
              <w:pStyle w:val="tabletxt"/>
              <w:rPr>
                <w:lang w:val="en-GB"/>
              </w:rPr>
            </w:pPr>
            <w:r w:rsidRPr="002D777A">
              <w:rPr>
                <w:lang w:val="en-GB"/>
              </w:rPr>
              <w:t xml:space="preserve"> 1 </w:t>
            </w:r>
          </w:p>
        </w:tc>
        <w:tc>
          <w:tcPr>
            <w:tcW w:w="850" w:type="dxa"/>
            <w:shd w:val="clear" w:color="auto" w:fill="auto"/>
            <w:noWrap/>
            <w:vAlign w:val="bottom"/>
            <w:hideMark/>
          </w:tcPr>
          <w:p w14:paraId="2C85391C" w14:textId="77777777" w:rsidR="002D777A" w:rsidRPr="005F6CB6" w:rsidRDefault="002D777A" w:rsidP="005F6CB6">
            <w:pPr>
              <w:pStyle w:val="tabletxt"/>
              <w:rPr>
                <w:i/>
                <w:lang w:val="en-GB"/>
              </w:rPr>
            </w:pPr>
            <w:r w:rsidRPr="005F6CB6">
              <w:rPr>
                <w:i/>
                <w:lang w:val="en-GB"/>
              </w:rPr>
              <w:t>0.0%</w:t>
            </w:r>
          </w:p>
        </w:tc>
      </w:tr>
      <w:tr w:rsidR="005F6CB6" w:rsidRPr="002D777A" w14:paraId="18906AAA" w14:textId="77777777" w:rsidTr="005F6CB6">
        <w:trPr>
          <w:trHeight w:val="300"/>
        </w:trPr>
        <w:tc>
          <w:tcPr>
            <w:tcW w:w="1634" w:type="dxa"/>
            <w:shd w:val="clear" w:color="auto" w:fill="auto"/>
            <w:noWrap/>
            <w:vAlign w:val="center"/>
            <w:hideMark/>
          </w:tcPr>
          <w:p w14:paraId="4DAFCD88" w14:textId="4DC3232F" w:rsidR="002D777A" w:rsidRPr="002D777A" w:rsidRDefault="002D777A" w:rsidP="005F6CB6">
            <w:pPr>
              <w:pStyle w:val="tabletxt"/>
              <w:rPr>
                <w:b/>
                <w:bCs/>
                <w:lang w:val="en-GB"/>
              </w:rPr>
            </w:pPr>
            <w:r w:rsidRPr="002D777A">
              <w:rPr>
                <w:b/>
                <w:bCs/>
                <w:lang w:val="en-GB"/>
              </w:rPr>
              <w:t>Ukupno</w:t>
            </w:r>
            <w:r>
              <w:rPr>
                <w:b/>
                <w:bCs/>
                <w:lang w:val="en-GB"/>
              </w:rPr>
              <w:t xml:space="preserve"> VUPKA</w:t>
            </w:r>
          </w:p>
        </w:tc>
        <w:tc>
          <w:tcPr>
            <w:tcW w:w="1075" w:type="dxa"/>
            <w:shd w:val="clear" w:color="auto" w:fill="auto"/>
            <w:noWrap/>
            <w:vAlign w:val="bottom"/>
            <w:hideMark/>
          </w:tcPr>
          <w:p w14:paraId="6C6CAB2D" w14:textId="77777777" w:rsidR="002D777A" w:rsidRPr="002D777A" w:rsidRDefault="002D777A" w:rsidP="005F6CB6">
            <w:pPr>
              <w:pStyle w:val="tabletxt"/>
              <w:rPr>
                <w:b/>
                <w:bCs/>
                <w:lang w:val="en-GB"/>
              </w:rPr>
            </w:pPr>
            <w:r w:rsidRPr="002D777A">
              <w:rPr>
                <w:b/>
                <w:bCs/>
                <w:lang w:val="en-GB"/>
              </w:rPr>
              <w:t xml:space="preserve"> 18,728 </w:t>
            </w:r>
          </w:p>
        </w:tc>
        <w:tc>
          <w:tcPr>
            <w:tcW w:w="850" w:type="dxa"/>
            <w:shd w:val="clear" w:color="auto" w:fill="auto"/>
            <w:noWrap/>
            <w:vAlign w:val="bottom"/>
            <w:hideMark/>
          </w:tcPr>
          <w:p w14:paraId="1FEFD636" w14:textId="77777777" w:rsidR="002D777A" w:rsidRPr="005F6CB6" w:rsidRDefault="002D777A" w:rsidP="005F6CB6">
            <w:pPr>
              <w:pStyle w:val="tabletxt"/>
              <w:rPr>
                <w:b/>
                <w:bCs/>
                <w:i/>
                <w:lang w:val="en-GB"/>
              </w:rPr>
            </w:pPr>
            <w:r w:rsidRPr="005F6CB6">
              <w:rPr>
                <w:b/>
                <w:bCs/>
                <w:i/>
                <w:lang w:val="en-GB"/>
              </w:rPr>
              <w:t>29.3%</w:t>
            </w:r>
          </w:p>
        </w:tc>
        <w:tc>
          <w:tcPr>
            <w:tcW w:w="1276" w:type="dxa"/>
            <w:shd w:val="clear" w:color="auto" w:fill="auto"/>
            <w:noWrap/>
            <w:vAlign w:val="bottom"/>
            <w:hideMark/>
          </w:tcPr>
          <w:p w14:paraId="4EF988A5" w14:textId="77777777" w:rsidR="002D777A" w:rsidRPr="002D777A" w:rsidRDefault="002D777A" w:rsidP="005F6CB6">
            <w:pPr>
              <w:pStyle w:val="tabletxt"/>
              <w:rPr>
                <w:b/>
                <w:bCs/>
                <w:lang w:val="en-GB"/>
              </w:rPr>
            </w:pPr>
            <w:r w:rsidRPr="002D777A">
              <w:rPr>
                <w:b/>
                <w:bCs/>
                <w:lang w:val="en-GB"/>
              </w:rPr>
              <w:t xml:space="preserve"> 34,227 </w:t>
            </w:r>
          </w:p>
        </w:tc>
        <w:tc>
          <w:tcPr>
            <w:tcW w:w="850" w:type="dxa"/>
            <w:shd w:val="clear" w:color="auto" w:fill="auto"/>
            <w:noWrap/>
            <w:vAlign w:val="bottom"/>
            <w:hideMark/>
          </w:tcPr>
          <w:p w14:paraId="55FBF02A" w14:textId="77777777" w:rsidR="002D777A" w:rsidRPr="005F6CB6" w:rsidRDefault="002D777A" w:rsidP="005F6CB6">
            <w:pPr>
              <w:pStyle w:val="tabletxt"/>
              <w:rPr>
                <w:b/>
                <w:bCs/>
                <w:i/>
                <w:lang w:val="en-GB"/>
              </w:rPr>
            </w:pPr>
            <w:r w:rsidRPr="005F6CB6">
              <w:rPr>
                <w:b/>
                <w:bCs/>
                <w:i/>
                <w:lang w:val="en-GB"/>
              </w:rPr>
              <w:t>53.6%</w:t>
            </w:r>
          </w:p>
        </w:tc>
        <w:tc>
          <w:tcPr>
            <w:tcW w:w="993" w:type="dxa"/>
            <w:shd w:val="clear" w:color="auto" w:fill="auto"/>
            <w:noWrap/>
            <w:vAlign w:val="bottom"/>
            <w:hideMark/>
          </w:tcPr>
          <w:p w14:paraId="3D396D60" w14:textId="77777777" w:rsidR="002D777A" w:rsidRPr="002D777A" w:rsidRDefault="002D777A" w:rsidP="005F6CB6">
            <w:pPr>
              <w:pStyle w:val="tabletxt"/>
              <w:rPr>
                <w:b/>
                <w:bCs/>
                <w:lang w:val="en-GB"/>
              </w:rPr>
            </w:pPr>
            <w:r w:rsidRPr="002D777A">
              <w:rPr>
                <w:b/>
                <w:bCs/>
                <w:lang w:val="en-GB"/>
              </w:rPr>
              <w:t xml:space="preserve"> 10,672 </w:t>
            </w:r>
          </w:p>
        </w:tc>
        <w:tc>
          <w:tcPr>
            <w:tcW w:w="850" w:type="dxa"/>
            <w:shd w:val="clear" w:color="auto" w:fill="auto"/>
            <w:noWrap/>
            <w:vAlign w:val="bottom"/>
            <w:hideMark/>
          </w:tcPr>
          <w:p w14:paraId="5F25C7DA" w14:textId="77777777" w:rsidR="002D777A" w:rsidRPr="005F6CB6" w:rsidRDefault="002D777A" w:rsidP="005F6CB6">
            <w:pPr>
              <w:pStyle w:val="tabletxt"/>
              <w:rPr>
                <w:b/>
                <w:bCs/>
                <w:i/>
                <w:lang w:val="en-GB"/>
              </w:rPr>
            </w:pPr>
            <w:r w:rsidRPr="005F6CB6">
              <w:rPr>
                <w:b/>
                <w:bCs/>
                <w:i/>
                <w:lang w:val="en-GB"/>
              </w:rPr>
              <w:t>16.7%</w:t>
            </w:r>
          </w:p>
        </w:tc>
        <w:tc>
          <w:tcPr>
            <w:tcW w:w="851" w:type="dxa"/>
            <w:shd w:val="clear" w:color="auto" w:fill="auto"/>
            <w:noWrap/>
            <w:vAlign w:val="bottom"/>
            <w:hideMark/>
          </w:tcPr>
          <w:p w14:paraId="4770D714" w14:textId="77777777" w:rsidR="002D777A" w:rsidRPr="002D777A" w:rsidRDefault="002D777A" w:rsidP="005F6CB6">
            <w:pPr>
              <w:pStyle w:val="tabletxt"/>
              <w:rPr>
                <w:b/>
                <w:bCs/>
                <w:lang w:val="en-GB"/>
              </w:rPr>
            </w:pPr>
            <w:r w:rsidRPr="002D777A">
              <w:rPr>
                <w:b/>
                <w:bCs/>
                <w:lang w:val="en-GB"/>
              </w:rPr>
              <w:t xml:space="preserve"> 277 </w:t>
            </w:r>
          </w:p>
        </w:tc>
        <w:tc>
          <w:tcPr>
            <w:tcW w:w="850" w:type="dxa"/>
            <w:shd w:val="clear" w:color="auto" w:fill="auto"/>
            <w:noWrap/>
            <w:vAlign w:val="bottom"/>
            <w:hideMark/>
          </w:tcPr>
          <w:p w14:paraId="4EF7EEC9" w14:textId="77777777" w:rsidR="002D777A" w:rsidRPr="005F6CB6" w:rsidRDefault="002D777A" w:rsidP="005F6CB6">
            <w:pPr>
              <w:pStyle w:val="tabletxt"/>
              <w:rPr>
                <w:b/>
                <w:bCs/>
                <w:i/>
                <w:lang w:val="en-GB"/>
              </w:rPr>
            </w:pPr>
            <w:r w:rsidRPr="005F6CB6">
              <w:rPr>
                <w:b/>
                <w:bCs/>
                <w:i/>
                <w:lang w:val="en-GB"/>
              </w:rPr>
              <w:t>0.4%</w:t>
            </w:r>
          </w:p>
        </w:tc>
      </w:tr>
      <w:tr w:rsidR="005F6CB6" w:rsidRPr="002D777A" w14:paraId="4C6ED5F2" w14:textId="77777777" w:rsidTr="005F6CB6">
        <w:trPr>
          <w:trHeight w:val="560"/>
        </w:trPr>
        <w:tc>
          <w:tcPr>
            <w:tcW w:w="1634" w:type="dxa"/>
            <w:shd w:val="clear" w:color="auto" w:fill="auto"/>
            <w:noWrap/>
            <w:vAlign w:val="center"/>
            <w:hideMark/>
          </w:tcPr>
          <w:p w14:paraId="7758C6D5" w14:textId="77777777" w:rsidR="002D777A" w:rsidRPr="002D777A" w:rsidRDefault="002D777A" w:rsidP="005F6CB6">
            <w:pPr>
              <w:pStyle w:val="tabletxt"/>
              <w:rPr>
                <w:lang w:val="en-GB"/>
              </w:rPr>
            </w:pPr>
            <w:r w:rsidRPr="002D777A">
              <w:rPr>
                <w:lang w:val="en-GB"/>
              </w:rPr>
              <w:t>Karlovačka županija</w:t>
            </w:r>
          </w:p>
        </w:tc>
        <w:tc>
          <w:tcPr>
            <w:tcW w:w="1075" w:type="dxa"/>
            <w:shd w:val="clear" w:color="auto" w:fill="auto"/>
            <w:noWrap/>
            <w:vAlign w:val="bottom"/>
            <w:hideMark/>
          </w:tcPr>
          <w:p w14:paraId="23D0D9BC" w14:textId="77777777" w:rsidR="002D777A" w:rsidRPr="002D777A" w:rsidRDefault="002D777A" w:rsidP="005F6CB6">
            <w:pPr>
              <w:pStyle w:val="tabletxt"/>
              <w:rPr>
                <w:lang w:val="en-GB"/>
              </w:rPr>
            </w:pPr>
            <w:r w:rsidRPr="002D777A">
              <w:rPr>
                <w:lang w:val="en-GB"/>
              </w:rPr>
              <w:t xml:space="preserve"> 40,241 </w:t>
            </w:r>
          </w:p>
        </w:tc>
        <w:tc>
          <w:tcPr>
            <w:tcW w:w="850" w:type="dxa"/>
            <w:shd w:val="clear" w:color="auto" w:fill="auto"/>
            <w:noWrap/>
            <w:vAlign w:val="bottom"/>
            <w:hideMark/>
          </w:tcPr>
          <w:p w14:paraId="1E3DBA9F" w14:textId="77777777" w:rsidR="002D777A" w:rsidRPr="005F6CB6" w:rsidRDefault="002D777A" w:rsidP="005F6CB6">
            <w:pPr>
              <w:pStyle w:val="tabletxt"/>
              <w:rPr>
                <w:i/>
                <w:lang w:val="en-GB"/>
              </w:rPr>
            </w:pPr>
            <w:r w:rsidRPr="005F6CB6">
              <w:rPr>
                <w:i/>
                <w:lang w:val="en-GB"/>
              </w:rPr>
              <w:t>36.1%</w:t>
            </w:r>
          </w:p>
        </w:tc>
        <w:tc>
          <w:tcPr>
            <w:tcW w:w="1276" w:type="dxa"/>
            <w:shd w:val="clear" w:color="auto" w:fill="auto"/>
            <w:noWrap/>
            <w:vAlign w:val="bottom"/>
            <w:hideMark/>
          </w:tcPr>
          <w:p w14:paraId="412D1784" w14:textId="77777777" w:rsidR="002D777A" w:rsidRPr="002D777A" w:rsidRDefault="002D777A" w:rsidP="005F6CB6">
            <w:pPr>
              <w:pStyle w:val="tabletxt"/>
              <w:rPr>
                <w:lang w:val="en-GB"/>
              </w:rPr>
            </w:pPr>
            <w:r w:rsidRPr="002D777A">
              <w:rPr>
                <w:lang w:val="en-GB"/>
              </w:rPr>
              <w:t xml:space="preserve"> 56,488 </w:t>
            </w:r>
          </w:p>
        </w:tc>
        <w:tc>
          <w:tcPr>
            <w:tcW w:w="850" w:type="dxa"/>
            <w:shd w:val="clear" w:color="auto" w:fill="auto"/>
            <w:noWrap/>
            <w:vAlign w:val="bottom"/>
            <w:hideMark/>
          </w:tcPr>
          <w:p w14:paraId="79EBEDCE" w14:textId="77777777" w:rsidR="002D777A" w:rsidRPr="005F6CB6" w:rsidRDefault="002D777A" w:rsidP="005F6CB6">
            <w:pPr>
              <w:pStyle w:val="tabletxt"/>
              <w:rPr>
                <w:i/>
                <w:lang w:val="en-GB"/>
              </w:rPr>
            </w:pPr>
            <w:r w:rsidRPr="005F6CB6">
              <w:rPr>
                <w:i/>
                <w:lang w:val="en-GB"/>
              </w:rPr>
              <w:t>50.6%</w:t>
            </w:r>
          </w:p>
        </w:tc>
        <w:tc>
          <w:tcPr>
            <w:tcW w:w="993" w:type="dxa"/>
            <w:shd w:val="clear" w:color="auto" w:fill="auto"/>
            <w:noWrap/>
            <w:vAlign w:val="bottom"/>
            <w:hideMark/>
          </w:tcPr>
          <w:p w14:paraId="6B0EE348" w14:textId="77777777" w:rsidR="002D777A" w:rsidRPr="002D777A" w:rsidRDefault="002D777A" w:rsidP="005F6CB6">
            <w:pPr>
              <w:pStyle w:val="tabletxt"/>
              <w:rPr>
                <w:lang w:val="en-GB"/>
              </w:rPr>
            </w:pPr>
            <w:r w:rsidRPr="002D777A">
              <w:rPr>
                <w:lang w:val="en-GB"/>
              </w:rPr>
              <w:t xml:space="preserve"> 14,332 </w:t>
            </w:r>
          </w:p>
        </w:tc>
        <w:tc>
          <w:tcPr>
            <w:tcW w:w="850" w:type="dxa"/>
            <w:shd w:val="clear" w:color="auto" w:fill="auto"/>
            <w:noWrap/>
            <w:vAlign w:val="bottom"/>
            <w:hideMark/>
          </w:tcPr>
          <w:p w14:paraId="35322D47" w14:textId="77777777" w:rsidR="002D777A" w:rsidRPr="005F6CB6" w:rsidRDefault="002D777A" w:rsidP="005F6CB6">
            <w:pPr>
              <w:pStyle w:val="tabletxt"/>
              <w:rPr>
                <w:i/>
                <w:lang w:val="en-GB"/>
              </w:rPr>
            </w:pPr>
            <w:r w:rsidRPr="005F6CB6">
              <w:rPr>
                <w:i/>
                <w:lang w:val="en-GB"/>
              </w:rPr>
              <w:t>12.8%</w:t>
            </w:r>
          </w:p>
        </w:tc>
        <w:tc>
          <w:tcPr>
            <w:tcW w:w="851" w:type="dxa"/>
            <w:shd w:val="clear" w:color="auto" w:fill="auto"/>
            <w:noWrap/>
            <w:vAlign w:val="bottom"/>
            <w:hideMark/>
          </w:tcPr>
          <w:p w14:paraId="60FFDAD4" w14:textId="77777777" w:rsidR="002D777A" w:rsidRPr="002D777A" w:rsidRDefault="002D777A" w:rsidP="005F6CB6">
            <w:pPr>
              <w:pStyle w:val="tabletxt"/>
              <w:rPr>
                <w:lang w:val="en-GB"/>
              </w:rPr>
            </w:pPr>
            <w:r w:rsidRPr="002D777A">
              <w:rPr>
                <w:lang w:val="en-GB"/>
              </w:rPr>
              <w:t xml:space="preserve"> 508 </w:t>
            </w:r>
          </w:p>
        </w:tc>
        <w:tc>
          <w:tcPr>
            <w:tcW w:w="850" w:type="dxa"/>
            <w:shd w:val="clear" w:color="auto" w:fill="auto"/>
            <w:noWrap/>
            <w:vAlign w:val="bottom"/>
            <w:hideMark/>
          </w:tcPr>
          <w:p w14:paraId="527ACF48" w14:textId="77777777" w:rsidR="002D777A" w:rsidRPr="005F6CB6" w:rsidRDefault="002D777A" w:rsidP="005F6CB6">
            <w:pPr>
              <w:pStyle w:val="tabletxt"/>
              <w:rPr>
                <w:i/>
                <w:lang w:val="en-GB"/>
              </w:rPr>
            </w:pPr>
            <w:r w:rsidRPr="005F6CB6">
              <w:rPr>
                <w:i/>
                <w:lang w:val="en-GB"/>
              </w:rPr>
              <w:t>0.5%</w:t>
            </w:r>
          </w:p>
        </w:tc>
      </w:tr>
      <w:tr w:rsidR="005F6CB6" w:rsidRPr="002D777A" w14:paraId="3B12F88B" w14:textId="77777777" w:rsidTr="005F6CB6">
        <w:trPr>
          <w:trHeight w:val="560"/>
        </w:trPr>
        <w:tc>
          <w:tcPr>
            <w:tcW w:w="1634" w:type="dxa"/>
            <w:shd w:val="clear" w:color="auto" w:fill="auto"/>
            <w:noWrap/>
            <w:vAlign w:val="center"/>
            <w:hideMark/>
          </w:tcPr>
          <w:p w14:paraId="5312881E" w14:textId="77777777" w:rsidR="002D777A" w:rsidRPr="002D777A" w:rsidRDefault="002D777A" w:rsidP="005F6CB6">
            <w:pPr>
              <w:pStyle w:val="tabletxt"/>
              <w:rPr>
                <w:lang w:val="en-GB"/>
              </w:rPr>
            </w:pPr>
            <w:r w:rsidRPr="002D777A">
              <w:rPr>
                <w:lang w:val="en-GB"/>
              </w:rPr>
              <w:t>Republika Hrvatska</w:t>
            </w:r>
          </w:p>
        </w:tc>
        <w:tc>
          <w:tcPr>
            <w:tcW w:w="1075" w:type="dxa"/>
            <w:shd w:val="clear" w:color="auto" w:fill="auto"/>
            <w:noWrap/>
            <w:vAlign w:val="bottom"/>
            <w:hideMark/>
          </w:tcPr>
          <w:p w14:paraId="08FCD3A0" w14:textId="77777777" w:rsidR="002D777A" w:rsidRPr="002D777A" w:rsidRDefault="002D777A" w:rsidP="005F6CB6">
            <w:pPr>
              <w:pStyle w:val="tabletxt"/>
              <w:rPr>
                <w:lang w:val="en-GB"/>
              </w:rPr>
            </w:pPr>
            <w:r w:rsidRPr="002D777A">
              <w:rPr>
                <w:lang w:val="en-GB"/>
              </w:rPr>
              <w:t xml:space="preserve"> 1,119,448 </w:t>
            </w:r>
          </w:p>
        </w:tc>
        <w:tc>
          <w:tcPr>
            <w:tcW w:w="850" w:type="dxa"/>
            <w:shd w:val="clear" w:color="auto" w:fill="auto"/>
            <w:noWrap/>
            <w:vAlign w:val="bottom"/>
            <w:hideMark/>
          </w:tcPr>
          <w:p w14:paraId="664F43BD" w14:textId="77777777" w:rsidR="002D777A" w:rsidRPr="005F6CB6" w:rsidRDefault="002D777A" w:rsidP="005F6CB6">
            <w:pPr>
              <w:pStyle w:val="tabletxt"/>
              <w:rPr>
                <w:i/>
                <w:lang w:val="en-GB"/>
              </w:rPr>
            </w:pPr>
            <w:r w:rsidRPr="005F6CB6">
              <w:rPr>
                <w:i/>
                <w:lang w:val="en-GB"/>
              </w:rPr>
              <w:t>30.8%</w:t>
            </w:r>
          </w:p>
        </w:tc>
        <w:tc>
          <w:tcPr>
            <w:tcW w:w="1276" w:type="dxa"/>
            <w:shd w:val="clear" w:color="auto" w:fill="auto"/>
            <w:noWrap/>
            <w:vAlign w:val="bottom"/>
            <w:hideMark/>
          </w:tcPr>
          <w:p w14:paraId="09E6A6B8" w14:textId="77777777" w:rsidR="002D777A" w:rsidRPr="002D777A" w:rsidRDefault="002D777A" w:rsidP="005F6CB6">
            <w:pPr>
              <w:pStyle w:val="tabletxt"/>
              <w:rPr>
                <w:lang w:val="en-GB"/>
              </w:rPr>
            </w:pPr>
            <w:r w:rsidRPr="002D777A">
              <w:rPr>
                <w:lang w:val="en-GB"/>
              </w:rPr>
              <w:t xml:space="preserve"> 1,911,815 </w:t>
            </w:r>
          </w:p>
        </w:tc>
        <w:tc>
          <w:tcPr>
            <w:tcW w:w="850" w:type="dxa"/>
            <w:shd w:val="clear" w:color="auto" w:fill="auto"/>
            <w:noWrap/>
            <w:vAlign w:val="bottom"/>
            <w:hideMark/>
          </w:tcPr>
          <w:p w14:paraId="70969A63" w14:textId="77777777" w:rsidR="002D777A" w:rsidRPr="005F6CB6" w:rsidRDefault="002D777A" w:rsidP="005F6CB6">
            <w:pPr>
              <w:pStyle w:val="tabletxt"/>
              <w:rPr>
                <w:i/>
                <w:lang w:val="en-GB"/>
              </w:rPr>
            </w:pPr>
            <w:r w:rsidRPr="005F6CB6">
              <w:rPr>
                <w:i/>
                <w:lang w:val="en-GB"/>
              </w:rPr>
              <w:t>52.6%</w:t>
            </w:r>
          </w:p>
        </w:tc>
        <w:tc>
          <w:tcPr>
            <w:tcW w:w="993" w:type="dxa"/>
            <w:shd w:val="clear" w:color="auto" w:fill="auto"/>
            <w:noWrap/>
            <w:vAlign w:val="bottom"/>
            <w:hideMark/>
          </w:tcPr>
          <w:p w14:paraId="5CADB4FC" w14:textId="77777777" w:rsidR="002D777A" w:rsidRPr="002D777A" w:rsidRDefault="002D777A" w:rsidP="005F6CB6">
            <w:pPr>
              <w:pStyle w:val="tabletxt"/>
              <w:rPr>
                <w:lang w:val="en-GB"/>
              </w:rPr>
            </w:pPr>
            <w:r w:rsidRPr="002D777A">
              <w:rPr>
                <w:lang w:val="en-GB"/>
              </w:rPr>
              <w:t xml:space="preserve"> 595,233 </w:t>
            </w:r>
          </w:p>
        </w:tc>
        <w:tc>
          <w:tcPr>
            <w:tcW w:w="850" w:type="dxa"/>
            <w:shd w:val="clear" w:color="auto" w:fill="auto"/>
            <w:noWrap/>
            <w:vAlign w:val="bottom"/>
            <w:hideMark/>
          </w:tcPr>
          <w:p w14:paraId="0F050C7B" w14:textId="77777777" w:rsidR="002D777A" w:rsidRPr="005F6CB6" w:rsidRDefault="002D777A" w:rsidP="005F6CB6">
            <w:pPr>
              <w:pStyle w:val="tabletxt"/>
              <w:rPr>
                <w:i/>
                <w:lang w:val="en-GB"/>
              </w:rPr>
            </w:pPr>
            <w:r w:rsidRPr="005F6CB6">
              <w:rPr>
                <w:i/>
                <w:lang w:val="en-GB"/>
              </w:rPr>
              <w:t>16.4%</w:t>
            </w:r>
          </w:p>
        </w:tc>
        <w:tc>
          <w:tcPr>
            <w:tcW w:w="851" w:type="dxa"/>
            <w:shd w:val="clear" w:color="auto" w:fill="auto"/>
            <w:noWrap/>
            <w:vAlign w:val="bottom"/>
            <w:hideMark/>
          </w:tcPr>
          <w:p w14:paraId="4FBC717F" w14:textId="77777777" w:rsidR="002D777A" w:rsidRPr="002D777A" w:rsidRDefault="002D777A" w:rsidP="005F6CB6">
            <w:pPr>
              <w:pStyle w:val="tabletxt"/>
              <w:rPr>
                <w:lang w:val="en-GB"/>
              </w:rPr>
            </w:pPr>
            <w:r w:rsidRPr="002D777A">
              <w:rPr>
                <w:lang w:val="en-GB"/>
              </w:rPr>
              <w:t xml:space="preserve"> 5,965 </w:t>
            </w:r>
          </w:p>
        </w:tc>
        <w:tc>
          <w:tcPr>
            <w:tcW w:w="850" w:type="dxa"/>
            <w:shd w:val="clear" w:color="auto" w:fill="auto"/>
            <w:noWrap/>
            <w:vAlign w:val="bottom"/>
            <w:hideMark/>
          </w:tcPr>
          <w:p w14:paraId="0B5AF26D" w14:textId="77777777" w:rsidR="002D777A" w:rsidRPr="005F6CB6" w:rsidRDefault="002D777A" w:rsidP="005F6CB6">
            <w:pPr>
              <w:pStyle w:val="tabletxt"/>
              <w:rPr>
                <w:i/>
                <w:lang w:val="en-GB"/>
              </w:rPr>
            </w:pPr>
            <w:r w:rsidRPr="005F6CB6">
              <w:rPr>
                <w:i/>
                <w:lang w:val="en-GB"/>
              </w:rPr>
              <w:t>0.2%</w:t>
            </w:r>
          </w:p>
        </w:tc>
      </w:tr>
    </w:tbl>
    <w:p w14:paraId="34548E32" w14:textId="75D37022" w:rsidR="002D777A" w:rsidRPr="00FD510D" w:rsidRDefault="002D777A" w:rsidP="002D777A">
      <w:pPr>
        <w:jc w:val="left"/>
        <w:rPr>
          <w:rFonts w:cs="Tahoma"/>
          <w:color w:val="39617A"/>
          <w:sz w:val="18"/>
          <w:szCs w:val="18"/>
        </w:rPr>
      </w:pPr>
      <w:r w:rsidRPr="00FD510D">
        <w:rPr>
          <w:rFonts w:cs="Tahoma"/>
          <w:color w:val="39617A"/>
          <w:sz w:val="18"/>
          <w:szCs w:val="18"/>
        </w:rPr>
        <w:t>Izvor: DZS, Popis stanovništva 2011.</w:t>
      </w:r>
      <w:r w:rsidR="0004567C">
        <w:rPr>
          <w:rFonts w:cs="Tahoma"/>
          <w:color w:val="39617A"/>
          <w:sz w:val="18"/>
          <w:szCs w:val="18"/>
        </w:rPr>
        <w:t>, obrada autora</w:t>
      </w:r>
    </w:p>
    <w:p w14:paraId="74C2A853" w14:textId="23B99D40" w:rsidR="002D777A" w:rsidRPr="002F6FFD" w:rsidRDefault="0004567C" w:rsidP="002F6FFD">
      <w:pPr>
        <w:rPr>
          <w:sz w:val="18"/>
          <w:szCs w:val="18"/>
        </w:rPr>
      </w:pPr>
      <w:r w:rsidRPr="002F6FFD">
        <w:rPr>
          <w:sz w:val="18"/>
          <w:szCs w:val="18"/>
        </w:rPr>
        <w:t>* obuhvaća</w:t>
      </w:r>
      <w:r w:rsidR="002F6FFD">
        <w:rPr>
          <w:sz w:val="18"/>
          <w:szCs w:val="18"/>
        </w:rPr>
        <w:t>:</w:t>
      </w:r>
      <w:r w:rsidRPr="002F6FFD">
        <w:rPr>
          <w:sz w:val="18"/>
          <w:szCs w:val="18"/>
        </w:rPr>
        <w:t xml:space="preserve"> bez škole, 1-3 razreda osnovne škole, 4-7 razreda osnovne škole, završena osnovna škola</w:t>
      </w:r>
    </w:p>
    <w:p w14:paraId="7C3289D1" w14:textId="22D25860" w:rsidR="0004567C" w:rsidRDefault="002F6FFD" w:rsidP="002F6FFD">
      <w:pPr>
        <w:rPr>
          <w:rFonts w:eastAsia="Times New Roman" w:cs="Times New Roman"/>
          <w:sz w:val="18"/>
          <w:szCs w:val="18"/>
          <w:lang w:val="en-GB"/>
        </w:rPr>
      </w:pPr>
      <w:r>
        <w:rPr>
          <w:rFonts w:eastAsia="Times New Roman" w:cs="Times New Roman"/>
          <w:sz w:val="18"/>
          <w:szCs w:val="18"/>
          <w:lang w:val="en-GB"/>
        </w:rPr>
        <w:t>** obuhvaća: i</w:t>
      </w:r>
      <w:r w:rsidR="0004567C" w:rsidRPr="002F6FFD">
        <w:rPr>
          <w:rFonts w:eastAsia="Times New Roman" w:cs="Times New Roman"/>
          <w:sz w:val="18"/>
          <w:szCs w:val="18"/>
          <w:lang w:val="en-GB"/>
        </w:rPr>
        <w:t>ndustrijske i obrtničke strukovne škole, škole za zanimanje u trajanju 1-3 godine i škole za KV i VKV radnike</w:t>
      </w:r>
      <w:r>
        <w:rPr>
          <w:rFonts w:eastAsia="Times New Roman" w:cs="Times New Roman"/>
          <w:sz w:val="18"/>
          <w:szCs w:val="18"/>
          <w:lang w:val="en-GB"/>
        </w:rPr>
        <w:t>; t</w:t>
      </w:r>
      <w:r w:rsidR="0004567C" w:rsidRPr="002F6FFD">
        <w:rPr>
          <w:rFonts w:eastAsia="Times New Roman" w:cs="Times New Roman"/>
          <w:sz w:val="18"/>
          <w:szCs w:val="18"/>
          <w:lang w:val="en-GB"/>
        </w:rPr>
        <w:t>ehničke i srodne strukovne škole, škole za zanimanje u trajanju 4 i više godina</w:t>
      </w:r>
      <w:r>
        <w:rPr>
          <w:rFonts w:eastAsia="Times New Roman" w:cs="Times New Roman"/>
          <w:sz w:val="18"/>
          <w:szCs w:val="18"/>
          <w:lang w:val="en-GB"/>
        </w:rPr>
        <w:t xml:space="preserve"> te gimnaziju</w:t>
      </w:r>
    </w:p>
    <w:p w14:paraId="3937792A" w14:textId="6E54AA9D" w:rsidR="00266EB5" w:rsidRPr="002F6FFD" w:rsidRDefault="002F6FFD" w:rsidP="002F6FFD">
      <w:pPr>
        <w:rPr>
          <w:rFonts w:eastAsia="Times New Roman" w:cs="Times New Roman"/>
          <w:sz w:val="18"/>
          <w:szCs w:val="18"/>
          <w:lang w:val="en-GB"/>
        </w:rPr>
      </w:pPr>
      <w:r>
        <w:rPr>
          <w:rFonts w:eastAsia="Times New Roman" w:cs="Times New Roman"/>
          <w:sz w:val="18"/>
          <w:szCs w:val="18"/>
          <w:lang w:val="en-GB"/>
        </w:rPr>
        <w:t>*** obuhvaća: v</w:t>
      </w:r>
      <w:r w:rsidR="00266EB5" w:rsidRPr="002F6FFD">
        <w:rPr>
          <w:rFonts w:eastAsia="Times New Roman" w:cs="Times New Roman"/>
          <w:sz w:val="18"/>
          <w:szCs w:val="18"/>
          <w:lang w:val="en-GB"/>
        </w:rPr>
        <w:t>iša škola, I (VI.) stupanj fakulteta i stručni studiji</w:t>
      </w:r>
      <w:r>
        <w:rPr>
          <w:rFonts w:eastAsia="Times New Roman" w:cs="Times New Roman"/>
          <w:sz w:val="18"/>
          <w:szCs w:val="18"/>
          <w:lang w:val="en-GB"/>
        </w:rPr>
        <w:t>, f</w:t>
      </w:r>
      <w:r w:rsidR="00266EB5" w:rsidRPr="002F6FFD">
        <w:rPr>
          <w:rFonts w:eastAsia="Times New Roman" w:cs="Times New Roman"/>
          <w:sz w:val="18"/>
          <w:szCs w:val="18"/>
          <w:lang w:val="en-GB"/>
        </w:rPr>
        <w:t>akulteti, umjetničke akademije i sveučilišni studiji</w:t>
      </w:r>
      <w:r>
        <w:rPr>
          <w:rFonts w:eastAsia="Times New Roman" w:cs="Times New Roman"/>
          <w:sz w:val="18"/>
          <w:szCs w:val="18"/>
          <w:lang w:val="en-GB"/>
        </w:rPr>
        <w:t>, m</w:t>
      </w:r>
      <w:r w:rsidR="00266EB5" w:rsidRPr="002F6FFD">
        <w:rPr>
          <w:rFonts w:eastAsia="Times New Roman" w:cs="Times New Roman"/>
          <w:sz w:val="18"/>
          <w:szCs w:val="18"/>
          <w:lang w:val="en-GB"/>
        </w:rPr>
        <w:t>agisterij (znanstveni, stručni, umjetnički)</w:t>
      </w:r>
      <w:r>
        <w:rPr>
          <w:rFonts w:eastAsia="Times New Roman" w:cs="Times New Roman"/>
          <w:sz w:val="18"/>
          <w:szCs w:val="18"/>
          <w:lang w:val="en-GB"/>
        </w:rPr>
        <w:t xml:space="preserve"> i d</w:t>
      </w:r>
      <w:r w:rsidR="00266EB5" w:rsidRPr="002F6FFD">
        <w:rPr>
          <w:rFonts w:eastAsia="Times New Roman" w:cs="Times New Roman"/>
          <w:sz w:val="18"/>
          <w:szCs w:val="18"/>
          <w:lang w:val="en-GB"/>
        </w:rPr>
        <w:t>oktorat</w:t>
      </w:r>
    </w:p>
    <w:p w14:paraId="1849BD64" w14:textId="52BDC33E" w:rsidR="0004567C" w:rsidRPr="000B6016" w:rsidRDefault="002F6FFD" w:rsidP="000B6016">
      <w:r w:rsidRPr="000B6016">
        <w:t>Udio žena u nisko obrazov</w:t>
      </w:r>
      <w:r w:rsidR="006C60EB">
        <w:t>a</w:t>
      </w:r>
      <w:r w:rsidRPr="000B6016">
        <w:t>nom stanovništvu (bez škole</w:t>
      </w:r>
      <w:r w:rsidR="004C2E5B">
        <w:t xml:space="preserve"> i neki oblik osnovno</w:t>
      </w:r>
      <w:r w:rsidR="006C60EB">
        <w:t>-</w:t>
      </w:r>
      <w:r w:rsidR="004C2E5B">
        <w:t>školskog obrazovanja</w:t>
      </w:r>
      <w:r w:rsidRPr="000B6016">
        <w:t xml:space="preserve">) </w:t>
      </w:r>
      <w:r w:rsidR="006C60EB">
        <w:t xml:space="preserve">na području VUPKA </w:t>
      </w:r>
      <w:r w:rsidR="006C60EB" w:rsidRPr="000B6016">
        <w:t>iznosi 65%</w:t>
      </w:r>
      <w:r w:rsidR="006C60EB">
        <w:t>)</w:t>
      </w:r>
      <w:r w:rsidR="000B6016" w:rsidRPr="000B6016">
        <w:t xml:space="preserve"> </w:t>
      </w:r>
      <w:r w:rsidR="0051752E">
        <w:t>što je u</w:t>
      </w:r>
      <w:r w:rsidR="000B6016" w:rsidRPr="000B6016">
        <w:t xml:space="preserve"> skladu sa županijskim i nacionalnim prosjekom</w:t>
      </w:r>
      <w:r w:rsidR="006C60EB">
        <w:t>. U</w:t>
      </w:r>
      <w:r w:rsidR="000B6016">
        <w:t>dio žena na području VUPKA sa srednjoškolskim obrazovanjem iznosi</w:t>
      </w:r>
      <w:r w:rsidR="000B6016" w:rsidRPr="000B6016">
        <w:t xml:space="preserve"> 47</w:t>
      </w:r>
      <w:r w:rsidR="000B6016">
        <w:t>%, a visokoobrazov</w:t>
      </w:r>
      <w:r w:rsidR="00273ADF">
        <w:t>a</w:t>
      </w:r>
      <w:r w:rsidR="000B6016">
        <w:t>nih žena je</w:t>
      </w:r>
      <w:r w:rsidR="000B6016" w:rsidRPr="000B6016">
        <w:t xml:space="preserve"> 53</w:t>
      </w:r>
      <w:r w:rsidR="000B6016">
        <w:t>%</w:t>
      </w:r>
      <w:r w:rsidR="00273ADF">
        <w:t>, što je također distribucija na županijskoj i državnoj razini.</w:t>
      </w:r>
    </w:p>
    <w:p w14:paraId="61BC746F" w14:textId="77777777" w:rsidR="0004567C" w:rsidRDefault="0004567C" w:rsidP="00921AE8"/>
    <w:p w14:paraId="00EC0DA3" w14:textId="2A5BF61E" w:rsidR="00F57086" w:rsidRDefault="00F57086" w:rsidP="00F57086">
      <w:pPr>
        <w:pStyle w:val="Heading3"/>
      </w:pPr>
      <w:bookmarkStart w:id="17" w:name="_Toc437390578"/>
      <w:r>
        <w:t>Socijalna uključenost</w:t>
      </w:r>
      <w:bookmarkEnd w:id="17"/>
      <w:r>
        <w:t xml:space="preserve"> </w:t>
      </w:r>
    </w:p>
    <w:p w14:paraId="21DE3913" w14:textId="139EF065" w:rsidR="004D76C1" w:rsidRPr="00922512" w:rsidRDefault="004D76C1" w:rsidP="004D76C1">
      <w:r w:rsidRPr="004D76C1">
        <w:t xml:space="preserve">Prema podacima Ankete o dohotku stanovništva u 2017. </w:t>
      </w:r>
      <w:r w:rsidR="0051752E">
        <w:t>godini,</w:t>
      </w:r>
      <w:r w:rsidRPr="004D76C1">
        <w:t xml:space="preserve"> stopa rizika od siromaštva </w:t>
      </w:r>
      <w:r>
        <w:t xml:space="preserve">u Republici Hrvatskoj </w:t>
      </w:r>
      <w:r w:rsidRPr="004D76C1">
        <w:t>iznosila je 20,0%, što je 0,5 postotna boda više u odnosu na 2016. godinu. Također, ukoliko isključimo socijalne transfere iz dohotka, postotak osoba koje se nalaze u riziku od siromaštva raste na 26,6%, a izuzmu li  se i</w:t>
      </w:r>
      <w:r>
        <w:t>z dohot</w:t>
      </w:r>
      <w:r w:rsidR="0051752E">
        <w:t>ka i mi</w:t>
      </w:r>
      <w:r w:rsidRPr="004D76C1">
        <w:t>ovine</w:t>
      </w:r>
      <w:r w:rsidR="0051752E">
        <w:t>,</w:t>
      </w:r>
      <w:r w:rsidRPr="004D76C1">
        <w:t xml:space="preserve"> tada stopa rizika od siromaštva u Republici Hrvatskoj iznosi 43,2%. S obzirom </w:t>
      </w:r>
      <w:r w:rsidR="0051752E">
        <w:t xml:space="preserve">na to </w:t>
      </w:r>
      <w:r w:rsidRPr="004D76C1">
        <w:t xml:space="preserve">da reprezentativnost i veličina uzorka na kojem se provodi navedena Anketa ne osiguravaju dovoljnu pouzdanost na nižim teritorijalnim razinama, za potrebe procjene stope rizika </w:t>
      </w:r>
      <w:r w:rsidRPr="004D76C1">
        <w:lastRenderedPageBreak/>
        <w:t>od siromaštva na urbanom području koriste se rezultati istraživanja "Mapiranje i procjena geografske raspodjele rizika od siromaštva i socijalne isključenosti za mala područja Republike Hrvatske" (2016.).</w:t>
      </w:r>
    </w:p>
    <w:p w14:paraId="6FC23942" w14:textId="0DDD3911" w:rsidR="004D76C1" w:rsidRPr="004D76C1" w:rsidRDefault="004D76C1" w:rsidP="004D76C1">
      <w:r w:rsidRPr="004D76C1">
        <w:t xml:space="preserve">Prema dohodovnoj metodi, procijenjena stopa rizika od siromaštva u Republici Hrvatskoj </w:t>
      </w:r>
      <w:r w:rsidR="0051752E">
        <w:t xml:space="preserve">u </w:t>
      </w:r>
      <w:r w:rsidRPr="004D76C1">
        <w:t>2011. godin</w:t>
      </w:r>
      <w:r w:rsidR="0051752E">
        <w:t>i iznosila je 19,2</w:t>
      </w:r>
      <w:r w:rsidRPr="004D76C1">
        <w:t xml:space="preserve">%, što znači da </w:t>
      </w:r>
      <w:r>
        <w:t>je</w:t>
      </w:r>
      <w:r w:rsidRPr="004D76C1">
        <w:t xml:space="preserve"> oko 803.000 </w:t>
      </w:r>
      <w:r>
        <w:t>osoba</w:t>
      </w:r>
      <w:r w:rsidRPr="004D76C1">
        <w:t xml:space="preserve"> raspolagalo godišnjim ekvivalentnim raspoloživim dohotkom koji je bio niži od 24.000 kuna. </w:t>
      </w:r>
      <w:r w:rsidRPr="004D76C1">
        <w:rPr>
          <w:b/>
        </w:rPr>
        <w:t xml:space="preserve">Za Karlovačku županiju </w:t>
      </w:r>
      <w:r w:rsidR="0051752E">
        <w:rPr>
          <w:b/>
        </w:rPr>
        <w:t xml:space="preserve">je </w:t>
      </w:r>
      <w:r w:rsidRPr="004D76C1">
        <w:rPr>
          <w:b/>
        </w:rPr>
        <w:t>utvrđena najveća stopa siromaštva od 34,3% (</w:t>
      </w:r>
      <w:r w:rsidRPr="004D76C1">
        <w:t>ELL-EB). Prema potrošnoj metodi</w:t>
      </w:r>
      <w:r w:rsidR="0051752E">
        <w:t>,</w:t>
      </w:r>
      <w:r w:rsidRPr="004D76C1">
        <w:t xml:space="preserve"> stopa rizika od siromaštva </w:t>
      </w:r>
      <w:r w:rsidR="0051752E" w:rsidRPr="004D76C1">
        <w:t xml:space="preserve">za Grad Karlovac </w:t>
      </w:r>
      <w:r w:rsidRPr="004D76C1">
        <w:t xml:space="preserve">iznosila je </w:t>
      </w:r>
      <w:r w:rsidRPr="004D76C1">
        <w:rPr>
          <w:b/>
        </w:rPr>
        <w:t>26,4</w:t>
      </w:r>
      <w:r w:rsidR="0051752E">
        <w:rPr>
          <w:b/>
        </w:rPr>
        <w:t>%</w:t>
      </w:r>
      <w:r w:rsidRPr="004D76C1">
        <w:t xml:space="preserve"> što je povol</w:t>
      </w:r>
      <w:r w:rsidR="0051752E">
        <w:t>jnije od županijskog prosjeka. M</w:t>
      </w:r>
      <w:r w:rsidRPr="004D76C1">
        <w:t>eđutim</w:t>
      </w:r>
      <w:r w:rsidR="0051752E">
        <w:t>,</w:t>
      </w:r>
      <w:r w:rsidRPr="004D76C1">
        <w:t xml:space="preserve"> gradovi Ozalj sa stopom rizika od siromaštva od </w:t>
      </w:r>
      <w:r w:rsidRPr="004D76C1">
        <w:rPr>
          <w:b/>
        </w:rPr>
        <w:t>33,1%</w:t>
      </w:r>
      <w:r w:rsidRPr="004D76C1">
        <w:t xml:space="preserve"> te Duga Resa sa stopom rizika od siromaštva od </w:t>
      </w:r>
      <w:r w:rsidRPr="004D76C1">
        <w:rPr>
          <w:b/>
        </w:rPr>
        <w:t>34,3%</w:t>
      </w:r>
      <w:r w:rsidRPr="004D76C1">
        <w:t xml:space="preserve"> približavaju se županijskim vrijednostima koje su dvostruko </w:t>
      </w:r>
      <w:r w:rsidR="00273ADF">
        <w:t>više</w:t>
      </w:r>
      <w:r w:rsidRPr="004D76C1">
        <w:t xml:space="preserve"> od nacionalnog prosjeka (17,1% u 2011.</w:t>
      </w:r>
      <w:r w:rsidR="00841818">
        <w:t xml:space="preserve"> godini</w:t>
      </w:r>
      <w:r w:rsidRPr="004D76C1">
        <w:t>)</w:t>
      </w:r>
      <w:r w:rsidR="00841818">
        <w:t>.</w:t>
      </w:r>
    </w:p>
    <w:p w14:paraId="001B8AB4" w14:textId="5F9649A8" w:rsidR="004D76C1" w:rsidRPr="00EB0A90" w:rsidRDefault="004D76C1" w:rsidP="004D76C1">
      <w:r w:rsidRPr="00EB0A90">
        <w:t>Drugi važan pokazatelj rizika od siromaštva predstavljaju prihodi od stalnog rada odnosno visina prosječnog mjesečnog dohotka po stanovniku. Tako je prema Popisu stanovništva (2011.</w:t>
      </w:r>
      <w:r w:rsidR="00841818">
        <w:t xml:space="preserve"> g.</w:t>
      </w:r>
      <w:r w:rsidRPr="00EB0A90">
        <w:t xml:space="preserve">) na urbanom području </w:t>
      </w:r>
      <w:r w:rsidRPr="00EB0A90">
        <w:rPr>
          <w:b/>
        </w:rPr>
        <w:t>prihode od stalnog rada ostvarivalo sveukupno 34,3% stanovnika,</w:t>
      </w:r>
      <w:r w:rsidRPr="00EB0A90">
        <w:t xml:space="preserve"> što je više od županijskog prosjeka (31,0%) i nacionalnog prosjeka (32,6%). Gledano po gradovima, najveći udio stanovnika koje je ostvarivalo prihode od stalnog rada zabilježen je u Dugoj Resi (35,7%), dok je najmanji udio zabilježen u Ozlju (33,3%). </w:t>
      </w:r>
      <w:r w:rsidRPr="00EB0A90">
        <w:rPr>
          <w:b/>
        </w:rPr>
        <w:t xml:space="preserve">Bez prihoda </w:t>
      </w:r>
      <w:r w:rsidR="00841818">
        <w:rPr>
          <w:b/>
        </w:rPr>
        <w:t xml:space="preserve">je bilo 27,9% stanovništva VUPKA </w:t>
      </w:r>
      <w:r w:rsidRPr="00EB0A90">
        <w:t xml:space="preserve">što je </w:t>
      </w:r>
      <w:r w:rsidR="00841818">
        <w:t>povoljnije</w:t>
      </w:r>
      <w:r w:rsidRPr="00EB0A90">
        <w:t xml:space="preserve"> u odnosu na Županiju gdje 29,1% stanovništva nije ostvarivalo prihode. Dodatne razlike prema glavnim izvorima sredstava za život vidljive su i s obzirom na spol pa tako od ukupnog broja stanovnika na urbanom području koje je ostvarivalo prihode od stalnog rada 53,9% čine muškarci , a 46,1% žene. U skupini stanovnika bez prihoda 45,8% su muškarci, a 54,2% čine žene. Vrijednosti prosječnog dohotka po stanovniku urbanog područja </w:t>
      </w:r>
      <w:r w:rsidR="00841818">
        <w:t>su</w:t>
      </w:r>
      <w:r w:rsidRPr="00EB0A90">
        <w:t xml:space="preserve"> iznadprosječne </w:t>
      </w:r>
      <w:r w:rsidR="00841818">
        <w:t>u odnosu na nacionalnu</w:t>
      </w:r>
      <w:r w:rsidRPr="00EB0A90">
        <w:t xml:space="preserve"> </w:t>
      </w:r>
      <w:r w:rsidR="00841818">
        <w:t>razinu. M</w:t>
      </w:r>
      <w:r w:rsidRPr="00EB0A90">
        <w:t>eđutim</w:t>
      </w:r>
      <w:r w:rsidR="00841818">
        <w:t>,</w:t>
      </w:r>
      <w:r w:rsidRPr="00EB0A90">
        <w:t xml:space="preserve"> ne treba izgubiti iz vida kako čitavo područje Karlovačke županije ostvaruje relativno niske prihode što potvrđuje i činjenica </w:t>
      </w:r>
      <w:r w:rsidR="00841818">
        <w:t>da</w:t>
      </w:r>
      <w:r w:rsidRPr="00EB0A90">
        <w:t xml:space="preserve"> Županija ima status potpomognutog područja.</w:t>
      </w:r>
    </w:p>
    <w:p w14:paraId="3BA4D815" w14:textId="7E6E4222" w:rsidR="004D76C1" w:rsidRPr="00FD510D" w:rsidRDefault="004D76C1" w:rsidP="004D76C1">
      <w:pPr>
        <w:pStyle w:val="Caption"/>
      </w:pPr>
      <w:bookmarkStart w:id="18" w:name="_Toc420581427"/>
      <w:bookmarkStart w:id="19" w:name="_Toc437387481"/>
      <w:r w:rsidRPr="00FD510D">
        <w:t xml:space="preserve">Tablica </w:t>
      </w:r>
      <w:r>
        <w:fldChar w:fldCharType="begin"/>
      </w:r>
      <w:r>
        <w:instrText xml:space="preserve"> SEQ Tablica \* ARABIC </w:instrText>
      </w:r>
      <w:r>
        <w:fldChar w:fldCharType="separate"/>
      </w:r>
      <w:r w:rsidR="001358A9">
        <w:rPr>
          <w:noProof/>
        </w:rPr>
        <w:t>8</w:t>
      </w:r>
      <w:r>
        <w:rPr>
          <w:noProof/>
        </w:rPr>
        <w:fldChar w:fldCharType="end"/>
      </w:r>
      <w:r w:rsidRPr="00FD510D">
        <w:t xml:space="preserve">. Stanovništvo </w:t>
      </w:r>
      <w:r>
        <w:t xml:space="preserve">VUPKA i KŽ </w:t>
      </w:r>
      <w:r w:rsidRPr="00FD510D">
        <w:t>prema glavnim izvorima sredstava za život</w:t>
      </w:r>
      <w:bookmarkEnd w:id="18"/>
      <w:bookmarkEnd w:id="19"/>
    </w:p>
    <w:tbl>
      <w:tblPr>
        <w:tblW w:w="0" w:type="auto"/>
        <w:tblLayout w:type="fixed"/>
        <w:tblLook w:val="04A0" w:firstRow="1" w:lastRow="0" w:firstColumn="1" w:lastColumn="0" w:noHBand="0" w:noVBand="1"/>
      </w:tblPr>
      <w:tblGrid>
        <w:gridCol w:w="1829"/>
        <w:gridCol w:w="1808"/>
        <w:gridCol w:w="1808"/>
        <w:gridCol w:w="1808"/>
        <w:gridCol w:w="1809"/>
      </w:tblGrid>
      <w:tr w:rsidR="004D76C1" w:rsidRPr="00FD510D" w14:paraId="4938A3DA" w14:textId="77777777" w:rsidTr="004D76C1">
        <w:trPr>
          <w:trHeight w:val="115"/>
        </w:trPr>
        <w:tc>
          <w:tcPr>
            <w:tcW w:w="1829" w:type="dxa"/>
            <w:tcBorders>
              <w:top w:val="single" w:sz="4" w:space="0" w:color="auto"/>
              <w:left w:val="single" w:sz="4" w:space="0" w:color="auto"/>
              <w:bottom w:val="single" w:sz="4" w:space="0" w:color="auto"/>
              <w:right w:val="single" w:sz="4" w:space="0" w:color="auto"/>
            </w:tcBorders>
            <w:shd w:val="clear" w:color="000000" w:fill="39617A"/>
            <w:noWrap/>
            <w:vAlign w:val="center"/>
            <w:hideMark/>
          </w:tcPr>
          <w:p w14:paraId="3E027C6A" w14:textId="77777777" w:rsidR="004D76C1" w:rsidRPr="00FD510D" w:rsidRDefault="004D76C1" w:rsidP="004D76C1">
            <w:pPr>
              <w:jc w:val="center"/>
              <w:rPr>
                <w:rFonts w:eastAsia="Times New Roman" w:cs="Tahoma"/>
                <w:color w:val="FFFFFF"/>
                <w:sz w:val="18"/>
                <w:szCs w:val="18"/>
              </w:rPr>
            </w:pPr>
            <w:r w:rsidRPr="00FD510D">
              <w:rPr>
                <w:rFonts w:eastAsia="Times New Roman" w:cs="Tahoma"/>
                <w:color w:val="FFFFFF"/>
                <w:sz w:val="18"/>
                <w:szCs w:val="18"/>
              </w:rPr>
              <w:t>Teritorijalna jedinica</w:t>
            </w:r>
          </w:p>
        </w:tc>
        <w:tc>
          <w:tcPr>
            <w:tcW w:w="1808" w:type="dxa"/>
            <w:tcBorders>
              <w:top w:val="single" w:sz="4" w:space="0" w:color="auto"/>
              <w:left w:val="nil"/>
              <w:bottom w:val="single" w:sz="4" w:space="0" w:color="auto"/>
              <w:right w:val="nil"/>
            </w:tcBorders>
            <w:shd w:val="clear" w:color="000000" w:fill="39617A"/>
            <w:vAlign w:val="center"/>
          </w:tcPr>
          <w:p w14:paraId="006BCE1F" w14:textId="77777777" w:rsidR="004D76C1" w:rsidRPr="00FD510D" w:rsidRDefault="004D76C1" w:rsidP="004D76C1">
            <w:pPr>
              <w:jc w:val="center"/>
              <w:rPr>
                <w:rFonts w:eastAsia="Times New Roman" w:cs="Tahoma"/>
                <w:color w:val="FFFFFF"/>
                <w:sz w:val="18"/>
                <w:szCs w:val="18"/>
              </w:rPr>
            </w:pPr>
            <w:r w:rsidRPr="00FD510D">
              <w:rPr>
                <w:rFonts w:eastAsia="Times New Roman" w:cs="Tahoma"/>
                <w:color w:val="FFFFFF"/>
                <w:sz w:val="18"/>
                <w:szCs w:val="18"/>
              </w:rPr>
              <w:t>Ukupno stanovnika (2011.)</w:t>
            </w:r>
          </w:p>
        </w:tc>
        <w:tc>
          <w:tcPr>
            <w:tcW w:w="1808" w:type="dxa"/>
            <w:tcBorders>
              <w:top w:val="single" w:sz="4" w:space="0" w:color="auto"/>
              <w:left w:val="nil"/>
              <w:bottom w:val="single" w:sz="4" w:space="0" w:color="auto"/>
              <w:right w:val="single" w:sz="4" w:space="0" w:color="auto"/>
            </w:tcBorders>
            <w:shd w:val="clear" w:color="000000" w:fill="39617A"/>
            <w:noWrap/>
            <w:vAlign w:val="center"/>
            <w:hideMark/>
          </w:tcPr>
          <w:p w14:paraId="42CF260C" w14:textId="77777777" w:rsidR="004D76C1" w:rsidRPr="00FD510D" w:rsidRDefault="004D76C1" w:rsidP="004D76C1">
            <w:pPr>
              <w:jc w:val="center"/>
              <w:rPr>
                <w:rFonts w:eastAsia="Times New Roman" w:cs="Tahoma"/>
                <w:color w:val="FFFFFF"/>
                <w:sz w:val="18"/>
                <w:szCs w:val="18"/>
              </w:rPr>
            </w:pPr>
            <w:r w:rsidRPr="00FD510D">
              <w:rPr>
                <w:rFonts w:eastAsia="Times New Roman" w:cs="Tahoma"/>
                <w:color w:val="FFFFFF"/>
                <w:sz w:val="18"/>
                <w:szCs w:val="18"/>
              </w:rPr>
              <w:t>Prihodi od stalnog rada (2011.)</w:t>
            </w:r>
          </w:p>
        </w:tc>
        <w:tc>
          <w:tcPr>
            <w:tcW w:w="1808" w:type="dxa"/>
            <w:tcBorders>
              <w:top w:val="single" w:sz="4" w:space="0" w:color="auto"/>
              <w:left w:val="nil"/>
              <w:bottom w:val="single" w:sz="4" w:space="0" w:color="auto"/>
              <w:right w:val="single" w:sz="4" w:space="0" w:color="auto"/>
            </w:tcBorders>
            <w:shd w:val="clear" w:color="000000" w:fill="39617A"/>
            <w:noWrap/>
            <w:vAlign w:val="center"/>
            <w:hideMark/>
          </w:tcPr>
          <w:p w14:paraId="1FF36956" w14:textId="77777777" w:rsidR="004D76C1" w:rsidRPr="00FD510D" w:rsidRDefault="004D76C1" w:rsidP="004D76C1">
            <w:pPr>
              <w:jc w:val="center"/>
              <w:rPr>
                <w:rFonts w:eastAsia="Times New Roman" w:cs="Tahoma"/>
                <w:color w:val="FFFFFF"/>
                <w:sz w:val="18"/>
                <w:szCs w:val="18"/>
              </w:rPr>
            </w:pPr>
            <w:r w:rsidRPr="00FD510D">
              <w:rPr>
                <w:rFonts w:eastAsia="Times New Roman" w:cs="Tahoma"/>
                <w:color w:val="FFFFFF"/>
                <w:sz w:val="18"/>
                <w:szCs w:val="18"/>
              </w:rPr>
              <w:t xml:space="preserve">Bez prihoda </w:t>
            </w:r>
          </w:p>
          <w:p w14:paraId="581CD86A" w14:textId="77777777" w:rsidR="004D76C1" w:rsidRPr="00FD510D" w:rsidRDefault="004D76C1" w:rsidP="004D76C1">
            <w:pPr>
              <w:jc w:val="center"/>
              <w:rPr>
                <w:rFonts w:eastAsia="Times New Roman" w:cs="Tahoma"/>
                <w:color w:val="FFFFFF"/>
                <w:sz w:val="18"/>
                <w:szCs w:val="18"/>
              </w:rPr>
            </w:pPr>
            <w:r w:rsidRPr="00FD510D">
              <w:rPr>
                <w:rFonts w:eastAsia="Times New Roman" w:cs="Tahoma"/>
                <w:color w:val="FFFFFF"/>
                <w:sz w:val="18"/>
                <w:szCs w:val="18"/>
              </w:rPr>
              <w:t>(2011.)</w:t>
            </w:r>
          </w:p>
        </w:tc>
        <w:tc>
          <w:tcPr>
            <w:tcW w:w="1809" w:type="dxa"/>
            <w:tcBorders>
              <w:top w:val="single" w:sz="4" w:space="0" w:color="auto"/>
              <w:left w:val="nil"/>
              <w:bottom w:val="single" w:sz="4" w:space="0" w:color="auto"/>
              <w:right w:val="single" w:sz="4" w:space="0" w:color="auto"/>
            </w:tcBorders>
            <w:shd w:val="clear" w:color="000000" w:fill="39617A"/>
            <w:noWrap/>
            <w:vAlign w:val="center"/>
            <w:hideMark/>
          </w:tcPr>
          <w:p w14:paraId="65A741FB" w14:textId="77777777" w:rsidR="004D76C1" w:rsidRPr="00FD510D" w:rsidRDefault="004D76C1" w:rsidP="004D76C1">
            <w:pPr>
              <w:jc w:val="center"/>
              <w:rPr>
                <w:rFonts w:eastAsia="Times New Roman" w:cs="Tahoma"/>
                <w:color w:val="FFFFFF"/>
                <w:sz w:val="18"/>
                <w:szCs w:val="18"/>
              </w:rPr>
            </w:pPr>
            <w:r w:rsidRPr="00FD510D">
              <w:rPr>
                <w:rFonts w:eastAsia="Times New Roman" w:cs="Tahoma"/>
                <w:color w:val="FFFFFF"/>
                <w:sz w:val="18"/>
                <w:szCs w:val="18"/>
              </w:rPr>
              <w:t>Prosječni dohodak po stanovniku</w:t>
            </w:r>
          </w:p>
          <w:p w14:paraId="5C9B3477" w14:textId="77777777" w:rsidR="004D76C1" w:rsidRPr="00FD510D" w:rsidRDefault="004D76C1" w:rsidP="004D76C1">
            <w:pPr>
              <w:jc w:val="center"/>
              <w:rPr>
                <w:rFonts w:eastAsia="Times New Roman" w:cs="Tahoma"/>
                <w:color w:val="FFFFFF"/>
                <w:sz w:val="18"/>
                <w:szCs w:val="18"/>
              </w:rPr>
            </w:pPr>
            <w:r w:rsidRPr="00FD510D">
              <w:rPr>
                <w:rFonts w:eastAsia="Times New Roman" w:cs="Tahoma"/>
                <w:color w:val="FFFFFF"/>
                <w:sz w:val="18"/>
                <w:szCs w:val="18"/>
              </w:rPr>
              <w:t>(2014.-2016.)*</w:t>
            </w:r>
          </w:p>
        </w:tc>
      </w:tr>
      <w:tr w:rsidR="004D76C1" w:rsidRPr="00FD510D" w14:paraId="3C5A279A" w14:textId="77777777" w:rsidTr="004D76C1">
        <w:trPr>
          <w:trHeight w:val="162"/>
        </w:trPr>
        <w:tc>
          <w:tcPr>
            <w:tcW w:w="18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2CE3F" w14:textId="77777777" w:rsidR="004D76C1" w:rsidRPr="00FD510D" w:rsidRDefault="004D76C1" w:rsidP="004D76C1">
            <w:pPr>
              <w:rPr>
                <w:rFonts w:eastAsia="Times New Roman" w:cs="Tahoma"/>
                <w:color w:val="000000"/>
                <w:sz w:val="18"/>
                <w:szCs w:val="18"/>
              </w:rPr>
            </w:pPr>
            <w:r w:rsidRPr="00FD510D">
              <w:rPr>
                <w:rFonts w:eastAsia="Times New Roman" w:cs="Tahoma"/>
                <w:color w:val="000000"/>
                <w:sz w:val="18"/>
                <w:szCs w:val="18"/>
              </w:rPr>
              <w:t>Karlovac</w:t>
            </w:r>
          </w:p>
        </w:tc>
        <w:tc>
          <w:tcPr>
            <w:tcW w:w="1808" w:type="dxa"/>
            <w:tcBorders>
              <w:top w:val="single" w:sz="4" w:space="0" w:color="auto"/>
              <w:left w:val="nil"/>
              <w:bottom w:val="single" w:sz="4" w:space="0" w:color="auto"/>
              <w:right w:val="nil"/>
            </w:tcBorders>
          </w:tcPr>
          <w:p w14:paraId="29DEF784"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55.705</w:t>
            </w:r>
          </w:p>
        </w:tc>
        <w:tc>
          <w:tcPr>
            <w:tcW w:w="1808" w:type="dxa"/>
            <w:tcBorders>
              <w:top w:val="single" w:sz="4" w:space="0" w:color="auto"/>
              <w:left w:val="nil"/>
              <w:bottom w:val="single" w:sz="4" w:space="0" w:color="auto"/>
              <w:right w:val="single" w:sz="4" w:space="0" w:color="auto"/>
            </w:tcBorders>
            <w:shd w:val="clear" w:color="auto" w:fill="auto"/>
            <w:noWrap/>
          </w:tcPr>
          <w:p w14:paraId="69CA585F"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19.035</w:t>
            </w:r>
          </w:p>
        </w:tc>
        <w:tc>
          <w:tcPr>
            <w:tcW w:w="1808" w:type="dxa"/>
            <w:tcBorders>
              <w:top w:val="single" w:sz="4" w:space="0" w:color="auto"/>
              <w:left w:val="nil"/>
              <w:bottom w:val="single" w:sz="4" w:space="0" w:color="auto"/>
              <w:right w:val="single" w:sz="4" w:space="0" w:color="auto"/>
            </w:tcBorders>
            <w:shd w:val="clear" w:color="auto" w:fill="auto"/>
            <w:noWrap/>
          </w:tcPr>
          <w:p w14:paraId="12AD110D"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2.987</w:t>
            </w:r>
          </w:p>
        </w:tc>
        <w:tc>
          <w:tcPr>
            <w:tcW w:w="1809" w:type="dxa"/>
            <w:tcBorders>
              <w:top w:val="single" w:sz="4" w:space="0" w:color="auto"/>
              <w:left w:val="nil"/>
              <w:bottom w:val="single" w:sz="4" w:space="0" w:color="auto"/>
              <w:right w:val="single" w:sz="4" w:space="0" w:color="auto"/>
            </w:tcBorders>
            <w:shd w:val="clear" w:color="auto" w:fill="auto"/>
            <w:noWrap/>
          </w:tcPr>
          <w:p w14:paraId="1473DFB7"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115,32</w:t>
            </w:r>
          </w:p>
        </w:tc>
      </w:tr>
      <w:tr w:rsidR="004D76C1" w:rsidRPr="00FD510D" w14:paraId="01570BC0" w14:textId="77777777" w:rsidTr="004D76C1">
        <w:trPr>
          <w:trHeight w:val="162"/>
        </w:trPr>
        <w:tc>
          <w:tcPr>
            <w:tcW w:w="1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AE1AA8" w14:textId="77777777" w:rsidR="004D76C1" w:rsidRPr="00FD510D" w:rsidRDefault="004D76C1" w:rsidP="004D76C1">
            <w:pPr>
              <w:rPr>
                <w:rFonts w:eastAsia="Times New Roman" w:cs="Tahoma"/>
                <w:color w:val="000000"/>
                <w:sz w:val="18"/>
                <w:szCs w:val="18"/>
              </w:rPr>
            </w:pPr>
            <w:r w:rsidRPr="00FD510D">
              <w:rPr>
                <w:rFonts w:eastAsia="Times New Roman" w:cs="Tahoma"/>
                <w:color w:val="000000"/>
                <w:sz w:val="18"/>
                <w:szCs w:val="18"/>
              </w:rPr>
              <w:t>Duga Resa</w:t>
            </w:r>
          </w:p>
        </w:tc>
        <w:tc>
          <w:tcPr>
            <w:tcW w:w="1808" w:type="dxa"/>
            <w:tcBorders>
              <w:top w:val="single" w:sz="4" w:space="0" w:color="auto"/>
              <w:left w:val="nil"/>
              <w:bottom w:val="single" w:sz="4" w:space="0" w:color="auto"/>
              <w:right w:val="nil"/>
            </w:tcBorders>
          </w:tcPr>
          <w:p w14:paraId="57418575"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11.180</w:t>
            </w:r>
          </w:p>
        </w:tc>
        <w:tc>
          <w:tcPr>
            <w:tcW w:w="1808" w:type="dxa"/>
            <w:tcBorders>
              <w:top w:val="single" w:sz="4" w:space="0" w:color="auto"/>
              <w:left w:val="nil"/>
              <w:bottom w:val="single" w:sz="4" w:space="0" w:color="auto"/>
              <w:right w:val="single" w:sz="4" w:space="0" w:color="auto"/>
            </w:tcBorders>
            <w:shd w:val="clear" w:color="auto" w:fill="auto"/>
            <w:noWrap/>
          </w:tcPr>
          <w:p w14:paraId="07A9BEF6"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3.993</w:t>
            </w:r>
          </w:p>
        </w:tc>
        <w:tc>
          <w:tcPr>
            <w:tcW w:w="1808" w:type="dxa"/>
            <w:tcBorders>
              <w:top w:val="single" w:sz="4" w:space="0" w:color="auto"/>
              <w:left w:val="nil"/>
              <w:bottom w:val="single" w:sz="4" w:space="0" w:color="auto"/>
              <w:right w:val="single" w:sz="4" w:space="0" w:color="auto"/>
            </w:tcBorders>
            <w:shd w:val="clear" w:color="auto" w:fill="auto"/>
            <w:noWrap/>
          </w:tcPr>
          <w:p w14:paraId="160F9499"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15.578</w:t>
            </w:r>
          </w:p>
        </w:tc>
        <w:tc>
          <w:tcPr>
            <w:tcW w:w="1809" w:type="dxa"/>
            <w:tcBorders>
              <w:top w:val="single" w:sz="4" w:space="0" w:color="auto"/>
              <w:left w:val="nil"/>
              <w:bottom w:val="single" w:sz="4" w:space="0" w:color="auto"/>
              <w:right w:val="single" w:sz="4" w:space="0" w:color="auto"/>
            </w:tcBorders>
            <w:shd w:val="clear" w:color="auto" w:fill="auto"/>
            <w:noWrap/>
          </w:tcPr>
          <w:p w14:paraId="6EC47205"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112,69</w:t>
            </w:r>
          </w:p>
        </w:tc>
      </w:tr>
      <w:tr w:rsidR="004D76C1" w:rsidRPr="00FD510D" w14:paraId="391A557F" w14:textId="77777777" w:rsidTr="004D76C1">
        <w:trPr>
          <w:trHeight w:val="162"/>
        </w:trPr>
        <w:tc>
          <w:tcPr>
            <w:tcW w:w="1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6A87D1" w14:textId="77777777" w:rsidR="004D76C1" w:rsidRPr="00FD510D" w:rsidRDefault="004D76C1" w:rsidP="004D76C1">
            <w:pPr>
              <w:rPr>
                <w:rFonts w:eastAsia="Times New Roman" w:cs="Tahoma"/>
                <w:color w:val="000000"/>
                <w:sz w:val="18"/>
                <w:szCs w:val="18"/>
              </w:rPr>
            </w:pPr>
            <w:r w:rsidRPr="00FD510D">
              <w:rPr>
                <w:rFonts w:eastAsia="Times New Roman" w:cs="Tahoma"/>
                <w:color w:val="000000"/>
                <w:sz w:val="18"/>
                <w:szCs w:val="18"/>
              </w:rPr>
              <w:t>Ozalj</w:t>
            </w:r>
          </w:p>
        </w:tc>
        <w:tc>
          <w:tcPr>
            <w:tcW w:w="1808" w:type="dxa"/>
            <w:tcBorders>
              <w:top w:val="single" w:sz="4" w:space="0" w:color="auto"/>
              <w:left w:val="nil"/>
              <w:bottom w:val="single" w:sz="4" w:space="0" w:color="auto"/>
              <w:right w:val="nil"/>
            </w:tcBorders>
          </w:tcPr>
          <w:p w14:paraId="28E8FFD8"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6.817</w:t>
            </w:r>
          </w:p>
        </w:tc>
        <w:tc>
          <w:tcPr>
            <w:tcW w:w="1808" w:type="dxa"/>
            <w:tcBorders>
              <w:top w:val="single" w:sz="4" w:space="0" w:color="auto"/>
              <w:left w:val="nil"/>
              <w:bottom w:val="single" w:sz="4" w:space="0" w:color="auto"/>
              <w:right w:val="single" w:sz="4" w:space="0" w:color="auto"/>
            </w:tcBorders>
            <w:shd w:val="clear" w:color="auto" w:fill="auto"/>
            <w:noWrap/>
          </w:tcPr>
          <w:p w14:paraId="0DABD92C"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2.270</w:t>
            </w:r>
          </w:p>
        </w:tc>
        <w:tc>
          <w:tcPr>
            <w:tcW w:w="1808" w:type="dxa"/>
            <w:tcBorders>
              <w:top w:val="single" w:sz="4" w:space="0" w:color="auto"/>
              <w:left w:val="nil"/>
              <w:bottom w:val="single" w:sz="4" w:space="0" w:color="auto"/>
              <w:right w:val="single" w:sz="4" w:space="0" w:color="auto"/>
            </w:tcBorders>
            <w:shd w:val="clear" w:color="auto" w:fill="auto"/>
            <w:noWrap/>
          </w:tcPr>
          <w:p w14:paraId="14B71D0E"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1.995</w:t>
            </w:r>
          </w:p>
        </w:tc>
        <w:tc>
          <w:tcPr>
            <w:tcW w:w="1809" w:type="dxa"/>
            <w:tcBorders>
              <w:top w:val="single" w:sz="4" w:space="0" w:color="auto"/>
              <w:left w:val="nil"/>
              <w:bottom w:val="single" w:sz="4" w:space="0" w:color="auto"/>
              <w:right w:val="single" w:sz="4" w:space="0" w:color="auto"/>
            </w:tcBorders>
            <w:shd w:val="clear" w:color="auto" w:fill="auto"/>
            <w:noWrap/>
          </w:tcPr>
          <w:p w14:paraId="4FE2566C"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104,84</w:t>
            </w:r>
          </w:p>
        </w:tc>
      </w:tr>
      <w:tr w:rsidR="004D76C1" w:rsidRPr="00FD510D" w14:paraId="12ECA541" w14:textId="77777777" w:rsidTr="004D76C1">
        <w:trPr>
          <w:trHeight w:val="162"/>
        </w:trPr>
        <w:tc>
          <w:tcPr>
            <w:tcW w:w="1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ECCA4" w14:textId="77777777" w:rsidR="004D76C1" w:rsidRPr="00FD510D" w:rsidRDefault="004D76C1" w:rsidP="004D76C1">
            <w:pPr>
              <w:rPr>
                <w:rFonts w:eastAsia="Times New Roman" w:cs="Tahoma"/>
                <w:b/>
                <w:color w:val="000000"/>
                <w:sz w:val="18"/>
                <w:szCs w:val="18"/>
              </w:rPr>
            </w:pPr>
            <w:r w:rsidRPr="00FD510D">
              <w:rPr>
                <w:rFonts w:eastAsia="Times New Roman" w:cs="Tahoma"/>
                <w:b/>
                <w:color w:val="000000"/>
                <w:sz w:val="18"/>
                <w:szCs w:val="18"/>
              </w:rPr>
              <w:t>Ukupno</w:t>
            </w:r>
          </w:p>
        </w:tc>
        <w:tc>
          <w:tcPr>
            <w:tcW w:w="1808" w:type="dxa"/>
            <w:tcBorders>
              <w:top w:val="single" w:sz="4" w:space="0" w:color="auto"/>
              <w:left w:val="nil"/>
              <w:bottom w:val="single" w:sz="4" w:space="0" w:color="auto"/>
              <w:right w:val="nil"/>
            </w:tcBorders>
          </w:tcPr>
          <w:p w14:paraId="640D91CF" w14:textId="77777777" w:rsidR="004D76C1" w:rsidRPr="00FD510D" w:rsidRDefault="004D76C1" w:rsidP="004D76C1">
            <w:pPr>
              <w:jc w:val="center"/>
              <w:rPr>
                <w:rFonts w:eastAsia="Times New Roman" w:cs="Tahoma"/>
                <w:b/>
                <w:color w:val="000000"/>
                <w:sz w:val="18"/>
                <w:szCs w:val="18"/>
              </w:rPr>
            </w:pPr>
            <w:r w:rsidRPr="00FD510D">
              <w:rPr>
                <w:rFonts w:eastAsia="Times New Roman" w:cs="Tahoma"/>
                <w:b/>
                <w:color w:val="000000"/>
                <w:sz w:val="18"/>
                <w:szCs w:val="18"/>
              </w:rPr>
              <w:t>73.702</w:t>
            </w:r>
          </w:p>
        </w:tc>
        <w:tc>
          <w:tcPr>
            <w:tcW w:w="1808" w:type="dxa"/>
            <w:tcBorders>
              <w:top w:val="single" w:sz="4" w:space="0" w:color="auto"/>
              <w:left w:val="nil"/>
              <w:bottom w:val="single" w:sz="4" w:space="0" w:color="auto"/>
              <w:right w:val="single" w:sz="4" w:space="0" w:color="auto"/>
            </w:tcBorders>
            <w:shd w:val="clear" w:color="auto" w:fill="auto"/>
            <w:noWrap/>
          </w:tcPr>
          <w:p w14:paraId="779F910E" w14:textId="77777777" w:rsidR="004D76C1" w:rsidRPr="00FD510D" w:rsidRDefault="004D76C1" w:rsidP="004D76C1">
            <w:pPr>
              <w:jc w:val="center"/>
              <w:rPr>
                <w:rFonts w:eastAsia="Times New Roman" w:cs="Tahoma"/>
                <w:b/>
                <w:color w:val="000000"/>
                <w:sz w:val="18"/>
                <w:szCs w:val="18"/>
              </w:rPr>
            </w:pPr>
            <w:r w:rsidRPr="00FD510D">
              <w:rPr>
                <w:rFonts w:eastAsia="Times New Roman" w:cs="Tahoma"/>
                <w:b/>
                <w:color w:val="000000"/>
                <w:sz w:val="18"/>
                <w:szCs w:val="18"/>
              </w:rPr>
              <w:t>25.298</w:t>
            </w:r>
          </w:p>
        </w:tc>
        <w:tc>
          <w:tcPr>
            <w:tcW w:w="1808" w:type="dxa"/>
            <w:tcBorders>
              <w:top w:val="single" w:sz="4" w:space="0" w:color="auto"/>
              <w:left w:val="nil"/>
              <w:bottom w:val="single" w:sz="4" w:space="0" w:color="auto"/>
              <w:right w:val="single" w:sz="4" w:space="0" w:color="auto"/>
            </w:tcBorders>
            <w:shd w:val="clear" w:color="auto" w:fill="auto"/>
            <w:noWrap/>
          </w:tcPr>
          <w:p w14:paraId="3F8CC4A4" w14:textId="77777777" w:rsidR="004D76C1" w:rsidRPr="00FD510D" w:rsidRDefault="004D76C1" w:rsidP="004D76C1">
            <w:pPr>
              <w:jc w:val="center"/>
              <w:rPr>
                <w:rFonts w:eastAsia="Times New Roman" w:cs="Tahoma"/>
                <w:b/>
                <w:color w:val="000000"/>
                <w:sz w:val="18"/>
                <w:szCs w:val="18"/>
              </w:rPr>
            </w:pPr>
            <w:r w:rsidRPr="00FD510D">
              <w:rPr>
                <w:rFonts w:eastAsia="Times New Roman" w:cs="Tahoma"/>
                <w:b/>
                <w:color w:val="000000"/>
                <w:sz w:val="18"/>
                <w:szCs w:val="18"/>
              </w:rPr>
              <w:t>20.560</w:t>
            </w:r>
          </w:p>
        </w:tc>
        <w:tc>
          <w:tcPr>
            <w:tcW w:w="1809" w:type="dxa"/>
            <w:tcBorders>
              <w:top w:val="single" w:sz="4" w:space="0" w:color="auto"/>
              <w:left w:val="nil"/>
              <w:bottom w:val="single" w:sz="4" w:space="0" w:color="auto"/>
              <w:right w:val="single" w:sz="4" w:space="0" w:color="auto"/>
            </w:tcBorders>
            <w:shd w:val="clear" w:color="auto" w:fill="auto"/>
            <w:noWrap/>
          </w:tcPr>
          <w:p w14:paraId="1660997A" w14:textId="77777777" w:rsidR="004D76C1" w:rsidRPr="00FD510D" w:rsidRDefault="004D76C1" w:rsidP="004D76C1">
            <w:pPr>
              <w:jc w:val="center"/>
              <w:rPr>
                <w:rFonts w:eastAsia="Times New Roman" w:cs="Tahoma"/>
                <w:b/>
                <w:color w:val="000000"/>
                <w:sz w:val="18"/>
                <w:szCs w:val="18"/>
              </w:rPr>
            </w:pPr>
            <w:r w:rsidRPr="00FD510D">
              <w:rPr>
                <w:rFonts w:eastAsia="Times New Roman" w:cs="Tahoma"/>
                <w:b/>
                <w:color w:val="000000"/>
                <w:sz w:val="18"/>
                <w:szCs w:val="18"/>
              </w:rPr>
              <w:t>110,95</w:t>
            </w:r>
          </w:p>
        </w:tc>
      </w:tr>
      <w:tr w:rsidR="004D76C1" w:rsidRPr="00FD510D" w14:paraId="33F9202C" w14:textId="77777777" w:rsidTr="004D76C1">
        <w:trPr>
          <w:trHeight w:val="162"/>
        </w:trPr>
        <w:tc>
          <w:tcPr>
            <w:tcW w:w="18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8C707A" w14:textId="77777777" w:rsidR="004D76C1" w:rsidRPr="00FD510D" w:rsidRDefault="004D76C1" w:rsidP="004D76C1">
            <w:pPr>
              <w:rPr>
                <w:rFonts w:eastAsia="Times New Roman" w:cs="Tahoma"/>
                <w:color w:val="000000"/>
                <w:sz w:val="18"/>
                <w:szCs w:val="18"/>
              </w:rPr>
            </w:pPr>
            <w:r w:rsidRPr="00FD510D">
              <w:rPr>
                <w:rFonts w:eastAsia="Times New Roman" w:cs="Tahoma"/>
                <w:color w:val="000000"/>
                <w:sz w:val="18"/>
                <w:szCs w:val="18"/>
              </w:rPr>
              <w:t>Karlovačka županija</w:t>
            </w:r>
          </w:p>
        </w:tc>
        <w:tc>
          <w:tcPr>
            <w:tcW w:w="1808" w:type="dxa"/>
            <w:tcBorders>
              <w:top w:val="single" w:sz="4" w:space="0" w:color="auto"/>
              <w:left w:val="nil"/>
              <w:bottom w:val="single" w:sz="4" w:space="0" w:color="auto"/>
              <w:right w:val="nil"/>
            </w:tcBorders>
          </w:tcPr>
          <w:p w14:paraId="75C3C532"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128.899</w:t>
            </w:r>
          </w:p>
        </w:tc>
        <w:tc>
          <w:tcPr>
            <w:tcW w:w="1808" w:type="dxa"/>
            <w:tcBorders>
              <w:top w:val="single" w:sz="4" w:space="0" w:color="auto"/>
              <w:left w:val="nil"/>
              <w:bottom w:val="single" w:sz="4" w:space="0" w:color="auto"/>
              <w:right w:val="single" w:sz="4" w:space="0" w:color="auto"/>
            </w:tcBorders>
            <w:shd w:val="clear" w:color="auto" w:fill="auto"/>
            <w:noWrap/>
          </w:tcPr>
          <w:p w14:paraId="7270F6F0"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39.935</w:t>
            </w:r>
          </w:p>
        </w:tc>
        <w:tc>
          <w:tcPr>
            <w:tcW w:w="1808" w:type="dxa"/>
            <w:tcBorders>
              <w:top w:val="single" w:sz="4" w:space="0" w:color="auto"/>
              <w:left w:val="nil"/>
              <w:bottom w:val="single" w:sz="4" w:space="0" w:color="auto"/>
              <w:right w:val="single" w:sz="4" w:space="0" w:color="auto"/>
            </w:tcBorders>
            <w:shd w:val="clear" w:color="auto" w:fill="auto"/>
            <w:noWrap/>
          </w:tcPr>
          <w:p w14:paraId="72BE450D"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37.556</w:t>
            </w:r>
          </w:p>
        </w:tc>
        <w:tc>
          <w:tcPr>
            <w:tcW w:w="1809" w:type="dxa"/>
            <w:tcBorders>
              <w:top w:val="single" w:sz="4" w:space="0" w:color="auto"/>
              <w:left w:val="nil"/>
              <w:bottom w:val="single" w:sz="4" w:space="0" w:color="auto"/>
              <w:right w:val="single" w:sz="4" w:space="0" w:color="auto"/>
            </w:tcBorders>
            <w:shd w:val="clear" w:color="auto" w:fill="auto"/>
            <w:noWrap/>
          </w:tcPr>
          <w:p w14:paraId="086C0B46"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102,97</w:t>
            </w:r>
          </w:p>
        </w:tc>
      </w:tr>
    </w:tbl>
    <w:p w14:paraId="7754041C" w14:textId="77777777" w:rsidR="004D76C1" w:rsidRPr="00FD510D" w:rsidRDefault="004D76C1" w:rsidP="004D76C1">
      <w:pPr>
        <w:jc w:val="left"/>
        <w:rPr>
          <w:rFonts w:cs="Tahoma"/>
          <w:color w:val="39617A"/>
          <w:sz w:val="18"/>
          <w:szCs w:val="18"/>
        </w:rPr>
      </w:pPr>
      <w:r w:rsidRPr="00FD510D">
        <w:rPr>
          <w:rFonts w:cs="Tahoma"/>
          <w:color w:val="39617A"/>
          <w:sz w:val="18"/>
          <w:szCs w:val="18"/>
        </w:rPr>
        <w:t>* u odnosu na nacionalni prosjek (RH=100,0)</w:t>
      </w:r>
    </w:p>
    <w:p w14:paraId="6D2E94FD" w14:textId="77777777" w:rsidR="004D76C1" w:rsidRPr="00FD510D" w:rsidRDefault="004D76C1" w:rsidP="004D76C1">
      <w:pPr>
        <w:jc w:val="left"/>
        <w:rPr>
          <w:rFonts w:cs="Tahoma"/>
          <w:color w:val="39617A"/>
          <w:sz w:val="18"/>
          <w:szCs w:val="18"/>
        </w:rPr>
      </w:pPr>
      <w:r w:rsidRPr="00FD510D">
        <w:rPr>
          <w:rFonts w:cs="Tahoma"/>
          <w:color w:val="39617A"/>
          <w:sz w:val="18"/>
          <w:szCs w:val="18"/>
        </w:rPr>
        <w:t>Izvor: DZS (Popis 2011.), MRRFEU (2018.)</w:t>
      </w:r>
    </w:p>
    <w:p w14:paraId="2F16A0A0" w14:textId="77777777" w:rsidR="004D76C1" w:rsidRPr="00EB0A90" w:rsidRDefault="004D76C1" w:rsidP="00EB0A90"/>
    <w:p w14:paraId="742A4F8E" w14:textId="5C811ECF" w:rsidR="004D76C1" w:rsidRPr="00EB0A90" w:rsidRDefault="004D76C1" w:rsidP="00EB0A90">
      <w:r w:rsidRPr="00220BB8">
        <w:rPr>
          <w:b/>
        </w:rPr>
        <w:t>Usluge socijalne skrbi</w:t>
      </w:r>
      <w:r w:rsidRPr="00EB0A90">
        <w:t xml:space="preserve"> dio su niza mjera i aktivnosti kojima se ostvaruje društvena briga i interes za socijalnu sigurnost pojedinaca i socijalno osjetljivih i marginaliziranih skupina kojima je potrebna pomoć društvene zajednice. Na predmetnom području djeluje Centar za socijalnu skrb Karlovac koji, osim za područje Grada Karlovca (i drugih 7 općina) svoje usluge pruža i na području Grada Ozlja (podružnica Ozal</w:t>
      </w:r>
      <w:r w:rsidR="00841818">
        <w:t>j) dok je za područje Grada Duge</w:t>
      </w:r>
      <w:r w:rsidRPr="00EB0A90">
        <w:t xml:space="preserve"> Res</w:t>
      </w:r>
      <w:r w:rsidR="00841818">
        <w:t>e</w:t>
      </w:r>
      <w:r w:rsidRPr="00EB0A90">
        <w:t xml:space="preserve"> nadležan Cent</w:t>
      </w:r>
      <w:r w:rsidR="00EB0A90">
        <w:t>ar za socijalnu skrb Duga Resa.</w:t>
      </w:r>
    </w:p>
    <w:p w14:paraId="70AB1E01" w14:textId="3BA5BBF5" w:rsidR="004D76C1" w:rsidRPr="00220BB8" w:rsidRDefault="004D76C1" w:rsidP="004D76C1">
      <w:r w:rsidRPr="00EB0A90">
        <w:t>Isto tako, svaki grad u sastavu VUP-a Karlovac na godišnjoj razini donosi odluke o socijalnoj skrbi kojima se utvrđuju prava korisnika na oblike pomoći iz djelatnosti socijalne skrbi te prava iznad standarda propisanih Zakonom kojim se uređuje socijalna skrb te postupak ostvarivanja tih prava. Predviđeni oblici socijalne pomoći najčešće su usmjereni na subvencioniranje režija</w:t>
      </w:r>
      <w:r w:rsidR="00841818">
        <w:t>,</w:t>
      </w:r>
      <w:r w:rsidRPr="00EB0A90">
        <w:t xml:space="preserve"> stanovanja i pomoći za ogrjev; djecu (novorođenčad, djecu u vrtićima, učenike osnovnih škola); za starije osobe, bolesne i nemoćne koji nemaju mogućnosti smještaja u domove ili udomiteljske obitelji; </w:t>
      </w:r>
      <w:r w:rsidRPr="00EB0A90">
        <w:lastRenderedPageBreak/>
        <w:t xml:space="preserve">umirovljenike; samce i kućanstva nezaposlenih građana, korisnike zajamčene minimalne naknade i dr. Od ukupnog broja pružatelja socijalnih usluga na području </w:t>
      </w:r>
      <w:r w:rsidR="00220BB8">
        <w:t xml:space="preserve">VUPKA </w:t>
      </w:r>
      <w:r w:rsidR="00841818">
        <w:t>registrirane</w:t>
      </w:r>
      <w:r w:rsidRPr="00EB0A90">
        <w:t xml:space="preserve"> </w:t>
      </w:r>
      <w:r w:rsidR="00841818">
        <w:t>su</w:t>
      </w:r>
      <w:r w:rsidRPr="00EB0A90">
        <w:t xml:space="preserve"> sveukupno </w:t>
      </w:r>
      <w:r w:rsidRPr="00220BB8">
        <w:rPr>
          <w:b/>
        </w:rPr>
        <w:t>23 ustanove</w:t>
      </w:r>
      <w:r w:rsidRPr="00EB0A90">
        <w:t xml:space="preserve"> (uključujući i pripadajuće podružnice) odnosno 59,0% svih ustanova socijalne skrbi koje djeluju na području Karlovačke županije.</w:t>
      </w:r>
    </w:p>
    <w:p w14:paraId="6FAB09F1" w14:textId="3CA1D2DD" w:rsidR="004D76C1" w:rsidRPr="00FD510D" w:rsidRDefault="004D76C1" w:rsidP="004D76C1">
      <w:pPr>
        <w:pStyle w:val="Caption"/>
      </w:pPr>
      <w:bookmarkStart w:id="20" w:name="_Toc420581428"/>
      <w:bookmarkStart w:id="21" w:name="_Toc437387482"/>
      <w:r w:rsidRPr="00FD510D">
        <w:t xml:space="preserve">Tablica </w:t>
      </w:r>
      <w:r>
        <w:fldChar w:fldCharType="begin"/>
      </w:r>
      <w:r>
        <w:instrText xml:space="preserve"> SEQ Tablica \* ARABIC </w:instrText>
      </w:r>
      <w:r>
        <w:fldChar w:fldCharType="separate"/>
      </w:r>
      <w:r w:rsidR="001358A9">
        <w:rPr>
          <w:noProof/>
        </w:rPr>
        <w:t>9</w:t>
      </w:r>
      <w:r>
        <w:rPr>
          <w:noProof/>
        </w:rPr>
        <w:fldChar w:fldCharType="end"/>
      </w:r>
      <w:r w:rsidR="00EB0A90">
        <w:t>. Ustanove</w:t>
      </w:r>
      <w:r w:rsidRPr="00FD510D">
        <w:t xml:space="preserve"> socijalne skrbi na području VUP-a Karlovac po gradovima (2019.)</w:t>
      </w:r>
      <w:bookmarkEnd w:id="20"/>
      <w:bookmarkEnd w:id="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6959"/>
        <w:gridCol w:w="1030"/>
      </w:tblGrid>
      <w:tr w:rsidR="004D76C1" w:rsidRPr="00FD510D" w14:paraId="15F0E035" w14:textId="77777777" w:rsidTr="004D76C1">
        <w:trPr>
          <w:trHeight w:val="115"/>
        </w:trPr>
        <w:tc>
          <w:tcPr>
            <w:tcW w:w="1000" w:type="dxa"/>
            <w:shd w:val="clear" w:color="000000" w:fill="39617A"/>
            <w:noWrap/>
            <w:vAlign w:val="center"/>
            <w:hideMark/>
          </w:tcPr>
          <w:p w14:paraId="0FA94CE1" w14:textId="77777777" w:rsidR="004D76C1" w:rsidRPr="00FD510D" w:rsidRDefault="004D76C1" w:rsidP="004D76C1">
            <w:pPr>
              <w:jc w:val="center"/>
              <w:rPr>
                <w:rFonts w:eastAsia="Times New Roman" w:cs="Tahoma"/>
                <w:color w:val="FFFFFF"/>
                <w:sz w:val="18"/>
                <w:szCs w:val="18"/>
              </w:rPr>
            </w:pPr>
            <w:r w:rsidRPr="00FD510D">
              <w:rPr>
                <w:rFonts w:eastAsia="Times New Roman" w:cs="Tahoma"/>
                <w:color w:val="FFFFFF"/>
                <w:sz w:val="18"/>
                <w:szCs w:val="18"/>
              </w:rPr>
              <w:t>JLS</w:t>
            </w:r>
          </w:p>
        </w:tc>
        <w:tc>
          <w:tcPr>
            <w:tcW w:w="6959" w:type="dxa"/>
            <w:shd w:val="clear" w:color="000000" w:fill="39617A"/>
            <w:noWrap/>
            <w:vAlign w:val="center"/>
            <w:hideMark/>
          </w:tcPr>
          <w:p w14:paraId="6CF6FD9F" w14:textId="77777777" w:rsidR="004D76C1" w:rsidRPr="00FD510D" w:rsidRDefault="004D76C1" w:rsidP="004D76C1">
            <w:pPr>
              <w:jc w:val="center"/>
              <w:rPr>
                <w:rFonts w:eastAsia="Times New Roman" w:cs="Tahoma"/>
                <w:color w:val="FFFFFF"/>
                <w:sz w:val="18"/>
                <w:szCs w:val="18"/>
              </w:rPr>
            </w:pPr>
            <w:r w:rsidRPr="00FD510D">
              <w:rPr>
                <w:rFonts w:eastAsia="Times New Roman" w:cs="Tahoma"/>
                <w:color w:val="FFFFFF"/>
                <w:sz w:val="18"/>
                <w:szCs w:val="18"/>
              </w:rPr>
              <w:t>Vrsta ustanove</w:t>
            </w:r>
          </w:p>
        </w:tc>
        <w:tc>
          <w:tcPr>
            <w:tcW w:w="0" w:type="auto"/>
            <w:shd w:val="clear" w:color="000000" w:fill="39617A"/>
            <w:noWrap/>
            <w:vAlign w:val="center"/>
            <w:hideMark/>
          </w:tcPr>
          <w:p w14:paraId="5A6CAB34" w14:textId="77777777" w:rsidR="004D76C1" w:rsidRPr="00FD510D" w:rsidRDefault="004D76C1" w:rsidP="004D76C1">
            <w:pPr>
              <w:jc w:val="center"/>
              <w:rPr>
                <w:rFonts w:eastAsia="Times New Roman" w:cs="Tahoma"/>
                <w:color w:val="FFFFFF"/>
                <w:sz w:val="18"/>
                <w:szCs w:val="18"/>
              </w:rPr>
            </w:pPr>
            <w:r w:rsidRPr="00FD510D">
              <w:rPr>
                <w:rFonts w:eastAsia="Times New Roman" w:cs="Tahoma"/>
                <w:color w:val="FFFFFF"/>
                <w:sz w:val="18"/>
                <w:szCs w:val="18"/>
              </w:rPr>
              <w:t>Br. jedinica</w:t>
            </w:r>
          </w:p>
        </w:tc>
      </w:tr>
      <w:tr w:rsidR="004D76C1" w:rsidRPr="00FD510D" w14:paraId="1C440796" w14:textId="77777777" w:rsidTr="004D76C1">
        <w:trPr>
          <w:trHeight w:val="162"/>
        </w:trPr>
        <w:tc>
          <w:tcPr>
            <w:tcW w:w="1000" w:type="dxa"/>
            <w:vMerge w:val="restart"/>
            <w:shd w:val="clear" w:color="auto" w:fill="auto"/>
            <w:noWrap/>
          </w:tcPr>
          <w:p w14:paraId="54D5FD76" w14:textId="77777777" w:rsidR="004D76C1" w:rsidRPr="00FD510D" w:rsidRDefault="004D76C1" w:rsidP="004D76C1">
            <w:pPr>
              <w:rPr>
                <w:rFonts w:eastAsia="Times New Roman" w:cs="Tahoma"/>
                <w:color w:val="000000"/>
                <w:sz w:val="18"/>
                <w:szCs w:val="18"/>
              </w:rPr>
            </w:pPr>
            <w:r w:rsidRPr="00FD510D">
              <w:rPr>
                <w:rFonts w:eastAsia="Times New Roman" w:cs="Tahoma"/>
                <w:color w:val="000000"/>
                <w:sz w:val="18"/>
                <w:szCs w:val="18"/>
              </w:rPr>
              <w:t>Karlovac</w:t>
            </w:r>
          </w:p>
        </w:tc>
        <w:tc>
          <w:tcPr>
            <w:tcW w:w="6959" w:type="dxa"/>
            <w:shd w:val="clear" w:color="auto" w:fill="auto"/>
            <w:noWrap/>
          </w:tcPr>
          <w:p w14:paraId="30697827" w14:textId="77777777" w:rsidR="004D76C1" w:rsidRPr="00FD510D" w:rsidRDefault="004D76C1" w:rsidP="004D76C1">
            <w:pPr>
              <w:jc w:val="left"/>
              <w:rPr>
                <w:rFonts w:eastAsia="Times New Roman" w:cs="Tahoma"/>
                <w:color w:val="000000"/>
                <w:sz w:val="18"/>
                <w:szCs w:val="18"/>
              </w:rPr>
            </w:pPr>
            <w:r w:rsidRPr="00FD510D">
              <w:rPr>
                <w:rFonts w:eastAsia="Times New Roman" w:cs="Tahoma"/>
                <w:color w:val="000000"/>
                <w:sz w:val="18"/>
                <w:szCs w:val="18"/>
              </w:rPr>
              <w:t>Centar za rehabilitaciju</w:t>
            </w:r>
          </w:p>
        </w:tc>
        <w:tc>
          <w:tcPr>
            <w:tcW w:w="0" w:type="auto"/>
            <w:shd w:val="clear" w:color="auto" w:fill="auto"/>
            <w:noWrap/>
          </w:tcPr>
          <w:p w14:paraId="5933334D"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w:t>
            </w:r>
          </w:p>
        </w:tc>
      </w:tr>
      <w:tr w:rsidR="004D76C1" w:rsidRPr="00FD510D" w14:paraId="3A86A013" w14:textId="77777777" w:rsidTr="004D76C1">
        <w:trPr>
          <w:trHeight w:val="162"/>
        </w:trPr>
        <w:tc>
          <w:tcPr>
            <w:tcW w:w="1000" w:type="dxa"/>
            <w:vMerge/>
            <w:shd w:val="clear" w:color="auto" w:fill="auto"/>
            <w:noWrap/>
          </w:tcPr>
          <w:p w14:paraId="78E3CD92" w14:textId="77777777" w:rsidR="004D76C1" w:rsidRPr="00FD510D" w:rsidRDefault="004D76C1" w:rsidP="004D76C1">
            <w:pPr>
              <w:rPr>
                <w:rFonts w:eastAsia="Times New Roman" w:cs="Tahoma"/>
                <w:color w:val="000000"/>
                <w:sz w:val="18"/>
                <w:szCs w:val="18"/>
              </w:rPr>
            </w:pPr>
          </w:p>
        </w:tc>
        <w:tc>
          <w:tcPr>
            <w:tcW w:w="6959" w:type="dxa"/>
            <w:shd w:val="clear" w:color="auto" w:fill="auto"/>
            <w:noWrap/>
          </w:tcPr>
          <w:p w14:paraId="56525033" w14:textId="77777777" w:rsidR="004D76C1" w:rsidRPr="00FD510D" w:rsidRDefault="004D76C1" w:rsidP="004D76C1">
            <w:pPr>
              <w:jc w:val="left"/>
              <w:rPr>
                <w:rFonts w:eastAsia="Times New Roman" w:cs="Tahoma"/>
                <w:color w:val="000000"/>
                <w:sz w:val="18"/>
                <w:szCs w:val="18"/>
              </w:rPr>
            </w:pPr>
            <w:r w:rsidRPr="00FD510D">
              <w:rPr>
                <w:rFonts w:eastAsia="Times New Roman" w:cs="Tahoma"/>
                <w:color w:val="000000"/>
                <w:sz w:val="18"/>
                <w:szCs w:val="18"/>
              </w:rPr>
              <w:t>Centar za socijalnu skrb</w:t>
            </w:r>
          </w:p>
        </w:tc>
        <w:tc>
          <w:tcPr>
            <w:tcW w:w="0" w:type="auto"/>
            <w:shd w:val="clear" w:color="auto" w:fill="auto"/>
            <w:noWrap/>
          </w:tcPr>
          <w:p w14:paraId="2EDB9F9A"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2</w:t>
            </w:r>
          </w:p>
        </w:tc>
      </w:tr>
      <w:tr w:rsidR="004D76C1" w:rsidRPr="00FD510D" w14:paraId="28EFE696" w14:textId="77777777" w:rsidTr="004D76C1">
        <w:trPr>
          <w:trHeight w:val="162"/>
        </w:trPr>
        <w:tc>
          <w:tcPr>
            <w:tcW w:w="1000" w:type="dxa"/>
            <w:vMerge/>
            <w:shd w:val="clear" w:color="auto" w:fill="auto"/>
            <w:noWrap/>
          </w:tcPr>
          <w:p w14:paraId="59B7DD88" w14:textId="77777777" w:rsidR="004D76C1" w:rsidRPr="00FD510D" w:rsidRDefault="004D76C1" w:rsidP="004D76C1">
            <w:pPr>
              <w:rPr>
                <w:rFonts w:eastAsia="Times New Roman" w:cs="Tahoma"/>
                <w:color w:val="000000"/>
                <w:sz w:val="18"/>
                <w:szCs w:val="18"/>
              </w:rPr>
            </w:pPr>
          </w:p>
        </w:tc>
        <w:tc>
          <w:tcPr>
            <w:tcW w:w="6959" w:type="dxa"/>
            <w:shd w:val="clear" w:color="auto" w:fill="auto"/>
            <w:noWrap/>
          </w:tcPr>
          <w:p w14:paraId="7DBA8212" w14:textId="77777777" w:rsidR="004D76C1" w:rsidRPr="00FD510D" w:rsidRDefault="004D76C1" w:rsidP="004D76C1">
            <w:pPr>
              <w:jc w:val="left"/>
              <w:rPr>
                <w:rFonts w:eastAsia="Times New Roman" w:cs="Tahoma"/>
                <w:color w:val="000000"/>
                <w:sz w:val="18"/>
                <w:szCs w:val="18"/>
              </w:rPr>
            </w:pPr>
            <w:r w:rsidRPr="00FD510D">
              <w:rPr>
                <w:rFonts w:eastAsia="Times New Roman" w:cs="Tahoma"/>
                <w:color w:val="000000"/>
                <w:sz w:val="18"/>
                <w:szCs w:val="18"/>
              </w:rPr>
              <w:t>Dom za djecu bez odgovarajuće roditeljske skrbi i djecu i mlade s problemima u ponašanju</w:t>
            </w:r>
          </w:p>
        </w:tc>
        <w:tc>
          <w:tcPr>
            <w:tcW w:w="0" w:type="auto"/>
            <w:shd w:val="clear" w:color="auto" w:fill="auto"/>
            <w:noWrap/>
          </w:tcPr>
          <w:p w14:paraId="771CDA4E"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2</w:t>
            </w:r>
          </w:p>
        </w:tc>
      </w:tr>
      <w:tr w:rsidR="004D76C1" w:rsidRPr="00FD510D" w14:paraId="7FCB857D" w14:textId="77777777" w:rsidTr="004D76C1">
        <w:trPr>
          <w:trHeight w:val="162"/>
        </w:trPr>
        <w:tc>
          <w:tcPr>
            <w:tcW w:w="1000" w:type="dxa"/>
            <w:vMerge/>
            <w:shd w:val="clear" w:color="auto" w:fill="auto"/>
            <w:noWrap/>
          </w:tcPr>
          <w:p w14:paraId="166DD2E6" w14:textId="77777777" w:rsidR="004D76C1" w:rsidRPr="00FD510D" w:rsidRDefault="004D76C1" w:rsidP="004D76C1">
            <w:pPr>
              <w:rPr>
                <w:rFonts w:eastAsia="Times New Roman" w:cs="Tahoma"/>
                <w:color w:val="000000"/>
                <w:sz w:val="18"/>
                <w:szCs w:val="18"/>
              </w:rPr>
            </w:pPr>
          </w:p>
        </w:tc>
        <w:tc>
          <w:tcPr>
            <w:tcW w:w="6959" w:type="dxa"/>
            <w:shd w:val="clear" w:color="auto" w:fill="auto"/>
            <w:noWrap/>
          </w:tcPr>
          <w:p w14:paraId="0E408332" w14:textId="77777777" w:rsidR="004D76C1" w:rsidRPr="00FD510D" w:rsidRDefault="004D76C1" w:rsidP="004D76C1">
            <w:pPr>
              <w:jc w:val="left"/>
              <w:rPr>
                <w:rFonts w:eastAsia="Times New Roman" w:cs="Tahoma"/>
                <w:color w:val="000000"/>
                <w:sz w:val="18"/>
                <w:szCs w:val="18"/>
              </w:rPr>
            </w:pPr>
            <w:r w:rsidRPr="00FD510D">
              <w:rPr>
                <w:rFonts w:eastAsia="Times New Roman" w:cs="Tahoma"/>
                <w:color w:val="000000"/>
                <w:sz w:val="18"/>
                <w:szCs w:val="18"/>
              </w:rPr>
              <w:t>Dom za djecu s teškoćama u razvoju i odrasle osobe s invaliditetom</w:t>
            </w:r>
          </w:p>
        </w:tc>
        <w:tc>
          <w:tcPr>
            <w:tcW w:w="0" w:type="auto"/>
            <w:shd w:val="clear" w:color="auto" w:fill="auto"/>
            <w:noWrap/>
          </w:tcPr>
          <w:p w14:paraId="5BF5CD22"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w:t>
            </w:r>
          </w:p>
        </w:tc>
      </w:tr>
      <w:tr w:rsidR="004D76C1" w:rsidRPr="00FD510D" w14:paraId="68F53D1C" w14:textId="77777777" w:rsidTr="004D76C1">
        <w:trPr>
          <w:trHeight w:val="162"/>
        </w:trPr>
        <w:tc>
          <w:tcPr>
            <w:tcW w:w="1000" w:type="dxa"/>
            <w:vMerge/>
            <w:shd w:val="clear" w:color="auto" w:fill="auto"/>
            <w:noWrap/>
          </w:tcPr>
          <w:p w14:paraId="3DCCFB14" w14:textId="77777777" w:rsidR="004D76C1" w:rsidRPr="00FD510D" w:rsidRDefault="004D76C1" w:rsidP="004D76C1">
            <w:pPr>
              <w:rPr>
                <w:rFonts w:eastAsia="Times New Roman" w:cs="Tahoma"/>
                <w:color w:val="000000"/>
                <w:sz w:val="18"/>
                <w:szCs w:val="18"/>
              </w:rPr>
            </w:pPr>
          </w:p>
        </w:tc>
        <w:tc>
          <w:tcPr>
            <w:tcW w:w="6959" w:type="dxa"/>
            <w:shd w:val="clear" w:color="auto" w:fill="auto"/>
            <w:noWrap/>
          </w:tcPr>
          <w:p w14:paraId="7BC9130A" w14:textId="77777777" w:rsidR="004D76C1" w:rsidRPr="00FD510D" w:rsidRDefault="004D76C1" w:rsidP="004D76C1">
            <w:pPr>
              <w:jc w:val="left"/>
              <w:rPr>
                <w:rFonts w:eastAsia="Times New Roman" w:cs="Tahoma"/>
                <w:color w:val="000000"/>
                <w:sz w:val="18"/>
                <w:szCs w:val="18"/>
              </w:rPr>
            </w:pPr>
            <w:r w:rsidRPr="00FD510D">
              <w:rPr>
                <w:rFonts w:eastAsia="Times New Roman" w:cs="Tahoma"/>
                <w:color w:val="000000"/>
                <w:sz w:val="18"/>
                <w:szCs w:val="18"/>
              </w:rPr>
              <w:t>Obiteljski dom za starije i nemoćne osobe</w:t>
            </w:r>
          </w:p>
        </w:tc>
        <w:tc>
          <w:tcPr>
            <w:tcW w:w="0" w:type="auto"/>
            <w:shd w:val="clear" w:color="auto" w:fill="auto"/>
            <w:noWrap/>
          </w:tcPr>
          <w:p w14:paraId="6BEC7299"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7</w:t>
            </w:r>
          </w:p>
        </w:tc>
      </w:tr>
      <w:tr w:rsidR="004D76C1" w:rsidRPr="00FD510D" w14:paraId="0833A9B7" w14:textId="77777777" w:rsidTr="004D76C1">
        <w:trPr>
          <w:trHeight w:val="162"/>
        </w:trPr>
        <w:tc>
          <w:tcPr>
            <w:tcW w:w="1000" w:type="dxa"/>
            <w:vMerge/>
            <w:shd w:val="clear" w:color="auto" w:fill="auto"/>
            <w:noWrap/>
          </w:tcPr>
          <w:p w14:paraId="233639CF" w14:textId="77777777" w:rsidR="004D76C1" w:rsidRPr="00FD510D" w:rsidRDefault="004D76C1" w:rsidP="004D76C1">
            <w:pPr>
              <w:rPr>
                <w:rFonts w:eastAsia="Times New Roman" w:cs="Tahoma"/>
                <w:color w:val="000000"/>
                <w:sz w:val="18"/>
                <w:szCs w:val="18"/>
              </w:rPr>
            </w:pPr>
          </w:p>
        </w:tc>
        <w:tc>
          <w:tcPr>
            <w:tcW w:w="6959" w:type="dxa"/>
            <w:shd w:val="clear" w:color="auto" w:fill="auto"/>
            <w:noWrap/>
          </w:tcPr>
          <w:p w14:paraId="72547D7B" w14:textId="77777777" w:rsidR="004D76C1" w:rsidRPr="00FD510D" w:rsidRDefault="004D76C1" w:rsidP="004D76C1">
            <w:pPr>
              <w:jc w:val="left"/>
              <w:rPr>
                <w:rFonts w:eastAsia="Times New Roman" w:cs="Tahoma"/>
                <w:color w:val="000000"/>
                <w:sz w:val="18"/>
                <w:szCs w:val="18"/>
              </w:rPr>
            </w:pPr>
            <w:r w:rsidRPr="00FD510D">
              <w:rPr>
                <w:rFonts w:eastAsia="Times New Roman" w:cs="Tahoma"/>
                <w:color w:val="000000"/>
                <w:sz w:val="18"/>
                <w:szCs w:val="18"/>
              </w:rPr>
              <w:t>Dom za starije i nemoćne osobe</w:t>
            </w:r>
          </w:p>
        </w:tc>
        <w:tc>
          <w:tcPr>
            <w:tcW w:w="0" w:type="auto"/>
            <w:shd w:val="clear" w:color="auto" w:fill="auto"/>
            <w:noWrap/>
          </w:tcPr>
          <w:p w14:paraId="2E5EDC3C"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w:t>
            </w:r>
          </w:p>
        </w:tc>
      </w:tr>
      <w:tr w:rsidR="004D76C1" w:rsidRPr="00FD510D" w14:paraId="3ECA861A" w14:textId="77777777" w:rsidTr="004D76C1">
        <w:trPr>
          <w:trHeight w:val="162"/>
        </w:trPr>
        <w:tc>
          <w:tcPr>
            <w:tcW w:w="1000" w:type="dxa"/>
            <w:vMerge w:val="restart"/>
            <w:shd w:val="clear" w:color="auto" w:fill="auto"/>
            <w:noWrap/>
          </w:tcPr>
          <w:p w14:paraId="410282A2" w14:textId="77777777" w:rsidR="004D76C1" w:rsidRPr="00FD510D" w:rsidRDefault="004D76C1" w:rsidP="004D76C1">
            <w:pPr>
              <w:rPr>
                <w:rFonts w:eastAsia="Times New Roman" w:cs="Tahoma"/>
                <w:color w:val="000000"/>
                <w:sz w:val="18"/>
                <w:szCs w:val="18"/>
              </w:rPr>
            </w:pPr>
            <w:r w:rsidRPr="00FD510D">
              <w:rPr>
                <w:rFonts w:eastAsia="Times New Roman" w:cs="Tahoma"/>
                <w:color w:val="000000"/>
                <w:sz w:val="18"/>
                <w:szCs w:val="18"/>
              </w:rPr>
              <w:t>Duga Resa</w:t>
            </w:r>
          </w:p>
        </w:tc>
        <w:tc>
          <w:tcPr>
            <w:tcW w:w="6959" w:type="dxa"/>
            <w:shd w:val="clear" w:color="auto" w:fill="auto"/>
            <w:noWrap/>
          </w:tcPr>
          <w:p w14:paraId="185A60B0" w14:textId="77777777" w:rsidR="004D76C1" w:rsidRPr="00FD510D" w:rsidRDefault="004D76C1" w:rsidP="004D76C1">
            <w:pPr>
              <w:jc w:val="left"/>
              <w:rPr>
                <w:rFonts w:eastAsia="Times New Roman" w:cs="Tahoma"/>
                <w:color w:val="000000"/>
                <w:sz w:val="18"/>
                <w:szCs w:val="18"/>
              </w:rPr>
            </w:pPr>
            <w:r w:rsidRPr="00FD510D">
              <w:rPr>
                <w:rFonts w:eastAsia="Times New Roman" w:cs="Tahoma"/>
                <w:color w:val="000000"/>
                <w:sz w:val="18"/>
                <w:szCs w:val="18"/>
              </w:rPr>
              <w:t>Centar za socijalnu skrb</w:t>
            </w:r>
          </w:p>
        </w:tc>
        <w:tc>
          <w:tcPr>
            <w:tcW w:w="0" w:type="auto"/>
            <w:shd w:val="clear" w:color="auto" w:fill="auto"/>
            <w:noWrap/>
          </w:tcPr>
          <w:p w14:paraId="5E3BFFA0"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w:t>
            </w:r>
          </w:p>
        </w:tc>
      </w:tr>
      <w:tr w:rsidR="004D76C1" w:rsidRPr="00FD510D" w14:paraId="16C99FC3" w14:textId="77777777" w:rsidTr="004D76C1">
        <w:trPr>
          <w:trHeight w:val="162"/>
        </w:trPr>
        <w:tc>
          <w:tcPr>
            <w:tcW w:w="1000" w:type="dxa"/>
            <w:vMerge/>
            <w:shd w:val="clear" w:color="auto" w:fill="auto"/>
            <w:noWrap/>
          </w:tcPr>
          <w:p w14:paraId="7A875946" w14:textId="77777777" w:rsidR="004D76C1" w:rsidRPr="00FD510D" w:rsidRDefault="004D76C1" w:rsidP="004D76C1">
            <w:pPr>
              <w:rPr>
                <w:rFonts w:eastAsia="Times New Roman" w:cs="Tahoma"/>
                <w:color w:val="000000"/>
                <w:sz w:val="18"/>
                <w:szCs w:val="18"/>
              </w:rPr>
            </w:pPr>
          </w:p>
        </w:tc>
        <w:tc>
          <w:tcPr>
            <w:tcW w:w="6959" w:type="dxa"/>
            <w:shd w:val="clear" w:color="auto" w:fill="auto"/>
            <w:noWrap/>
          </w:tcPr>
          <w:p w14:paraId="3578DDB9" w14:textId="77777777" w:rsidR="004D76C1" w:rsidRPr="00FD510D" w:rsidRDefault="004D76C1" w:rsidP="004D76C1">
            <w:pPr>
              <w:jc w:val="left"/>
              <w:rPr>
                <w:rFonts w:eastAsia="Times New Roman" w:cs="Tahoma"/>
                <w:color w:val="000000"/>
                <w:sz w:val="18"/>
                <w:szCs w:val="18"/>
              </w:rPr>
            </w:pPr>
            <w:r w:rsidRPr="00FD510D">
              <w:rPr>
                <w:rFonts w:eastAsia="Times New Roman" w:cs="Tahoma"/>
                <w:color w:val="000000"/>
                <w:sz w:val="18"/>
                <w:szCs w:val="18"/>
              </w:rPr>
              <w:t>Obiteljski dom za starije i nemoćne osobe</w:t>
            </w:r>
          </w:p>
        </w:tc>
        <w:tc>
          <w:tcPr>
            <w:tcW w:w="0" w:type="auto"/>
            <w:shd w:val="clear" w:color="auto" w:fill="auto"/>
            <w:noWrap/>
          </w:tcPr>
          <w:p w14:paraId="78DECF74"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4</w:t>
            </w:r>
          </w:p>
        </w:tc>
      </w:tr>
      <w:tr w:rsidR="004D76C1" w:rsidRPr="00FD510D" w14:paraId="0CEB343E" w14:textId="77777777" w:rsidTr="004D76C1">
        <w:trPr>
          <w:trHeight w:val="162"/>
        </w:trPr>
        <w:tc>
          <w:tcPr>
            <w:tcW w:w="1000" w:type="dxa"/>
            <w:vMerge w:val="restart"/>
            <w:shd w:val="clear" w:color="auto" w:fill="auto"/>
            <w:noWrap/>
          </w:tcPr>
          <w:p w14:paraId="5002B0D0" w14:textId="77777777" w:rsidR="004D76C1" w:rsidRPr="00FD510D" w:rsidRDefault="004D76C1" w:rsidP="004D76C1">
            <w:pPr>
              <w:rPr>
                <w:rFonts w:eastAsia="Times New Roman" w:cs="Tahoma"/>
                <w:color w:val="000000"/>
                <w:sz w:val="18"/>
                <w:szCs w:val="18"/>
              </w:rPr>
            </w:pPr>
            <w:r w:rsidRPr="00FD510D">
              <w:rPr>
                <w:rFonts w:eastAsia="Times New Roman" w:cs="Tahoma"/>
                <w:color w:val="000000"/>
                <w:sz w:val="18"/>
                <w:szCs w:val="18"/>
              </w:rPr>
              <w:t>Ozalj</w:t>
            </w:r>
          </w:p>
        </w:tc>
        <w:tc>
          <w:tcPr>
            <w:tcW w:w="6959" w:type="dxa"/>
            <w:shd w:val="clear" w:color="auto" w:fill="auto"/>
            <w:noWrap/>
          </w:tcPr>
          <w:p w14:paraId="12460584" w14:textId="77777777" w:rsidR="004D76C1" w:rsidRPr="00FD510D" w:rsidRDefault="004D76C1" w:rsidP="004D76C1">
            <w:pPr>
              <w:jc w:val="left"/>
              <w:rPr>
                <w:rFonts w:eastAsia="Times New Roman" w:cs="Tahoma"/>
                <w:color w:val="000000"/>
                <w:sz w:val="18"/>
                <w:szCs w:val="18"/>
              </w:rPr>
            </w:pPr>
            <w:r w:rsidRPr="00FD510D">
              <w:rPr>
                <w:rFonts w:eastAsia="Times New Roman" w:cs="Tahoma"/>
                <w:color w:val="000000"/>
                <w:sz w:val="18"/>
                <w:szCs w:val="18"/>
              </w:rPr>
              <w:t>Centar za rehabilitaciju</w:t>
            </w:r>
          </w:p>
        </w:tc>
        <w:tc>
          <w:tcPr>
            <w:tcW w:w="0" w:type="auto"/>
            <w:shd w:val="clear" w:color="auto" w:fill="auto"/>
            <w:noWrap/>
          </w:tcPr>
          <w:p w14:paraId="234E4649"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2</w:t>
            </w:r>
          </w:p>
        </w:tc>
      </w:tr>
      <w:tr w:rsidR="004D76C1" w:rsidRPr="00FD510D" w14:paraId="3CFC1083" w14:textId="77777777" w:rsidTr="004D76C1">
        <w:trPr>
          <w:trHeight w:val="162"/>
        </w:trPr>
        <w:tc>
          <w:tcPr>
            <w:tcW w:w="1000" w:type="dxa"/>
            <w:vMerge/>
            <w:shd w:val="clear" w:color="auto" w:fill="auto"/>
            <w:noWrap/>
          </w:tcPr>
          <w:p w14:paraId="363FDA35" w14:textId="77777777" w:rsidR="004D76C1" w:rsidRPr="00FD510D" w:rsidRDefault="004D76C1" w:rsidP="004D76C1">
            <w:pPr>
              <w:rPr>
                <w:rFonts w:eastAsia="Times New Roman" w:cs="Tahoma"/>
                <w:color w:val="000000"/>
                <w:sz w:val="18"/>
                <w:szCs w:val="18"/>
              </w:rPr>
            </w:pPr>
          </w:p>
        </w:tc>
        <w:tc>
          <w:tcPr>
            <w:tcW w:w="6959" w:type="dxa"/>
            <w:shd w:val="clear" w:color="auto" w:fill="auto"/>
            <w:noWrap/>
          </w:tcPr>
          <w:p w14:paraId="4AA2F91F" w14:textId="77777777" w:rsidR="004D76C1" w:rsidRPr="00FD510D" w:rsidRDefault="004D76C1" w:rsidP="004D76C1">
            <w:pPr>
              <w:jc w:val="left"/>
              <w:rPr>
                <w:rFonts w:eastAsia="Times New Roman" w:cs="Tahoma"/>
                <w:color w:val="000000"/>
                <w:sz w:val="18"/>
                <w:szCs w:val="18"/>
              </w:rPr>
            </w:pPr>
            <w:r w:rsidRPr="00FD510D">
              <w:rPr>
                <w:rFonts w:eastAsia="Times New Roman" w:cs="Tahoma"/>
                <w:color w:val="000000"/>
                <w:sz w:val="18"/>
                <w:szCs w:val="18"/>
              </w:rPr>
              <w:t>Centar za socijalnu skrb</w:t>
            </w:r>
          </w:p>
        </w:tc>
        <w:tc>
          <w:tcPr>
            <w:tcW w:w="0" w:type="auto"/>
            <w:shd w:val="clear" w:color="auto" w:fill="auto"/>
            <w:noWrap/>
          </w:tcPr>
          <w:p w14:paraId="693BFA3E"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w:t>
            </w:r>
          </w:p>
        </w:tc>
      </w:tr>
      <w:tr w:rsidR="004D76C1" w:rsidRPr="00FD510D" w14:paraId="058D7768" w14:textId="77777777" w:rsidTr="004D76C1">
        <w:trPr>
          <w:trHeight w:val="162"/>
        </w:trPr>
        <w:tc>
          <w:tcPr>
            <w:tcW w:w="1000" w:type="dxa"/>
            <w:vMerge/>
            <w:shd w:val="clear" w:color="auto" w:fill="auto"/>
            <w:noWrap/>
          </w:tcPr>
          <w:p w14:paraId="2D125253" w14:textId="77777777" w:rsidR="004D76C1" w:rsidRPr="00FD510D" w:rsidRDefault="004D76C1" w:rsidP="004D76C1">
            <w:pPr>
              <w:rPr>
                <w:rFonts w:eastAsia="Times New Roman" w:cs="Tahoma"/>
                <w:color w:val="000000"/>
                <w:sz w:val="18"/>
                <w:szCs w:val="18"/>
              </w:rPr>
            </w:pPr>
          </w:p>
        </w:tc>
        <w:tc>
          <w:tcPr>
            <w:tcW w:w="6959" w:type="dxa"/>
            <w:shd w:val="clear" w:color="auto" w:fill="auto"/>
            <w:noWrap/>
          </w:tcPr>
          <w:p w14:paraId="32ED00BC" w14:textId="77777777" w:rsidR="004D76C1" w:rsidRPr="00FD510D" w:rsidRDefault="004D76C1" w:rsidP="004D76C1">
            <w:pPr>
              <w:rPr>
                <w:rFonts w:eastAsia="Times New Roman" w:cs="Tahoma"/>
                <w:color w:val="000000"/>
                <w:sz w:val="18"/>
                <w:szCs w:val="18"/>
              </w:rPr>
            </w:pPr>
            <w:r w:rsidRPr="00FD510D">
              <w:rPr>
                <w:rFonts w:eastAsia="Times New Roman" w:cs="Tahoma"/>
                <w:color w:val="000000"/>
                <w:sz w:val="18"/>
                <w:szCs w:val="18"/>
              </w:rPr>
              <w:t>Obiteljski dom za starije i nemoćne osobe</w:t>
            </w:r>
          </w:p>
        </w:tc>
        <w:tc>
          <w:tcPr>
            <w:tcW w:w="0" w:type="auto"/>
            <w:shd w:val="clear" w:color="auto" w:fill="auto"/>
            <w:noWrap/>
          </w:tcPr>
          <w:p w14:paraId="49420A2F" w14:textId="77777777" w:rsidR="004D76C1" w:rsidRPr="00FD510D" w:rsidRDefault="004D76C1" w:rsidP="004D76C1">
            <w:pPr>
              <w:jc w:val="center"/>
              <w:rPr>
                <w:rFonts w:eastAsia="Times New Roman" w:cs="Tahoma"/>
                <w:color w:val="000000"/>
                <w:sz w:val="18"/>
                <w:szCs w:val="18"/>
              </w:rPr>
            </w:pPr>
            <w:r w:rsidRPr="00FD510D">
              <w:rPr>
                <w:rFonts w:eastAsia="Times New Roman" w:cs="Tahoma"/>
                <w:color w:val="000000"/>
                <w:sz w:val="18"/>
                <w:szCs w:val="18"/>
              </w:rPr>
              <w:t>1</w:t>
            </w:r>
          </w:p>
        </w:tc>
      </w:tr>
      <w:tr w:rsidR="004D76C1" w:rsidRPr="00FD510D" w14:paraId="0380D434" w14:textId="77777777" w:rsidTr="004D76C1">
        <w:trPr>
          <w:trHeight w:val="162"/>
        </w:trPr>
        <w:tc>
          <w:tcPr>
            <w:tcW w:w="7959" w:type="dxa"/>
            <w:gridSpan w:val="2"/>
            <w:shd w:val="clear" w:color="auto" w:fill="auto"/>
            <w:noWrap/>
          </w:tcPr>
          <w:p w14:paraId="1F2A8B74" w14:textId="77777777" w:rsidR="004D76C1" w:rsidRPr="00FD510D" w:rsidRDefault="004D76C1" w:rsidP="004D76C1">
            <w:pPr>
              <w:rPr>
                <w:rFonts w:eastAsia="Times New Roman" w:cs="Tahoma"/>
                <w:b/>
                <w:color w:val="000000"/>
                <w:sz w:val="18"/>
                <w:szCs w:val="18"/>
              </w:rPr>
            </w:pPr>
            <w:r w:rsidRPr="00FD510D">
              <w:rPr>
                <w:rFonts w:eastAsia="Times New Roman" w:cs="Tahoma"/>
                <w:b/>
                <w:color w:val="000000"/>
                <w:sz w:val="18"/>
                <w:szCs w:val="18"/>
              </w:rPr>
              <w:t>Ukupno</w:t>
            </w:r>
          </w:p>
        </w:tc>
        <w:tc>
          <w:tcPr>
            <w:tcW w:w="0" w:type="auto"/>
            <w:shd w:val="clear" w:color="auto" w:fill="auto"/>
            <w:noWrap/>
          </w:tcPr>
          <w:p w14:paraId="3E349D3C" w14:textId="77777777" w:rsidR="004D76C1" w:rsidRPr="00FD510D" w:rsidRDefault="004D76C1" w:rsidP="004D76C1">
            <w:pPr>
              <w:jc w:val="center"/>
              <w:rPr>
                <w:rFonts w:eastAsia="Times New Roman" w:cs="Tahoma"/>
                <w:b/>
                <w:color w:val="000000"/>
                <w:sz w:val="18"/>
                <w:szCs w:val="18"/>
              </w:rPr>
            </w:pPr>
            <w:r w:rsidRPr="00FD510D">
              <w:rPr>
                <w:rFonts w:eastAsia="Times New Roman" w:cs="Tahoma"/>
                <w:b/>
                <w:color w:val="000000"/>
                <w:sz w:val="18"/>
                <w:szCs w:val="18"/>
              </w:rPr>
              <w:t>23</w:t>
            </w:r>
          </w:p>
        </w:tc>
      </w:tr>
    </w:tbl>
    <w:p w14:paraId="0059745C" w14:textId="77777777" w:rsidR="004D76C1" w:rsidRPr="00FD510D" w:rsidRDefault="004D76C1" w:rsidP="004D76C1">
      <w:pPr>
        <w:jc w:val="left"/>
        <w:rPr>
          <w:rFonts w:cs="Tahoma"/>
          <w:color w:val="39617A"/>
          <w:sz w:val="18"/>
          <w:szCs w:val="18"/>
        </w:rPr>
      </w:pPr>
      <w:r w:rsidRPr="00FD510D">
        <w:rPr>
          <w:rFonts w:cs="Tahoma"/>
          <w:color w:val="39617A"/>
          <w:sz w:val="18"/>
          <w:szCs w:val="18"/>
        </w:rPr>
        <w:t xml:space="preserve">Izvor: MDOMSP, 2018. </w:t>
      </w:r>
    </w:p>
    <w:p w14:paraId="3E0DF520" w14:textId="0641CE55" w:rsidR="004D76C1" w:rsidRPr="00220BB8" w:rsidRDefault="004D76C1" w:rsidP="00220BB8">
      <w:r w:rsidRPr="00220BB8">
        <w:t xml:space="preserve">Prema službenim podacima o korisnicima i primijenjenim pravima socijalne skrbi u 2017. </w:t>
      </w:r>
      <w:r w:rsidR="00841818">
        <w:t>godini,</w:t>
      </w:r>
      <w:r w:rsidRPr="00220BB8">
        <w:t xml:space="preserve"> na području centara za socijalnu skrb </w:t>
      </w:r>
      <w:r w:rsidR="00841818">
        <w:t>(</w:t>
      </w:r>
      <w:r w:rsidRPr="00220BB8">
        <w:t>CZSS</w:t>
      </w:r>
      <w:r w:rsidR="00841818">
        <w:t>)</w:t>
      </w:r>
      <w:r w:rsidRPr="00220BB8">
        <w:t xml:space="preserve"> Karlovac i </w:t>
      </w:r>
      <w:r w:rsidR="00841818">
        <w:t>Duga Resa registrirana su</w:t>
      </w:r>
      <w:r w:rsidRPr="00220BB8">
        <w:t xml:space="preserve"> sveukupno </w:t>
      </w:r>
      <w:r w:rsidRPr="00220BB8">
        <w:rPr>
          <w:b/>
        </w:rPr>
        <w:t>1.602 korisnika zajamčene minimalne naknade  (ZMN) što čini gotovo 70% od ukupnog broja korisnika ZMN u Županiji.</w:t>
      </w:r>
      <w:r w:rsidRPr="00220BB8">
        <w:t xml:space="preserve"> U strukturi korisnika pomoći u socijalnoj skrbi najveći udio u 2017. godini imaju korisnici jednokratnih naknada (2.289), zatim slijede korisnici doplatka za pomoć i njegu (1.993) te korisnici ZMN (1.602), a identična distribucija ostvarenih prava u socijalnoj skrbi prisutna je i na županijskoj razini. Regionalnu socijalnu pomoć na razini cijele Županije za podmirenje troškova stanovanja ostvarivalo je 1.867 osoba, a naknade za troškove ogrjeva 2.631 osoba.  </w:t>
      </w:r>
    </w:p>
    <w:p w14:paraId="60C95CD1" w14:textId="63F5FDF1" w:rsidR="004D76C1" w:rsidRPr="00220BB8" w:rsidRDefault="004D76C1" w:rsidP="00220BB8">
      <w:r w:rsidRPr="00220BB8">
        <w:rPr>
          <w:b/>
        </w:rPr>
        <w:t>Izvaninstitucionalne oblike socijalne pomoći</w:t>
      </w:r>
      <w:r w:rsidRPr="00220BB8">
        <w:t xml:space="preserve"> stanovnicima VUP-a Karlovac pružaju Gradska društva crvenog križa</w:t>
      </w:r>
      <w:r w:rsidR="00220BB8">
        <w:t xml:space="preserve"> (Karlovac, Duga Resa i Ozalj),</w:t>
      </w:r>
      <w:r w:rsidRPr="00220BB8">
        <w:t xml:space="preserve"> Caritas župe Sveta Tri Kralja</w:t>
      </w:r>
      <w:r w:rsidR="00220BB8">
        <w:t xml:space="preserve"> i organizacije građana</w:t>
      </w:r>
      <w:r w:rsidRPr="00220BB8">
        <w:t>. Problem predstavlja nepostojanje pučke kuhinje u Karlovcu gdje se i nalazi najviše socijalno ugroženih skupina, a riječ je ponajprije o umirovljenicima i nezaposlenim osobama. Za brigu o ženama i djeci žrtvama obiteljskog nasilja u Karlovcu je 1998. godine osnovana Ženska grupa Karlovac "Korak", jedina takva udruga na području Karlovačke županije. Udruga je osnovana u cilju zaštite ljudskih, a posebno ženskih i dječjih prava, zaštite obitelji i zaštite od nasilja. Potrebno je napomenuti kako na području VUP-a Karlovac u ovoj djelatnosti djeluju i brojne udruge, primjerice udruge za osobe s invaliditetom (12 udruga) te udruge u području humanitarne djelatnosti (12 udruga).</w:t>
      </w:r>
    </w:p>
    <w:p w14:paraId="586874A7" w14:textId="68A51AA7" w:rsidR="004D76C1" w:rsidRPr="00220BB8" w:rsidRDefault="004D76C1" w:rsidP="00220BB8">
      <w:r w:rsidRPr="00220BB8">
        <w:t xml:space="preserve">Iako su istraživanja o beskućništvu u Hrvatskoj rijetka, procjenjuje se da broj beskućnika na nacionalnoj razini gotovo dvostruko premašuje kapacitete u postojećim prihvatilištima i prenoćištima (trenutno je u RH raspoloživo </w:t>
      </w:r>
      <w:r w:rsidR="00841818">
        <w:t>14 prihvatilišta i prenoćišta s</w:t>
      </w:r>
      <w:r w:rsidRPr="00220BB8">
        <w:t xml:space="preserve"> oko 450 smještajnih mjesta). Sukladno zakonu kojim se uređuje socijalna skrb veliki gradovi i gradovi sjedišta županija obavezni su u svom proračunu osigurati sredstva za uslugu prehrane u pučkim kuhinjama kao i pružanje usluga </w:t>
      </w:r>
      <w:r w:rsidRPr="00220BB8">
        <w:lastRenderedPageBreak/>
        <w:t xml:space="preserve">prihvatilišta i/ili prenoćišta za beskućnike. </w:t>
      </w:r>
      <w:r w:rsidR="00220BB8">
        <w:t xml:space="preserve">Tako je u Karlovcu </w:t>
      </w:r>
      <w:r w:rsidRPr="00220BB8">
        <w:t xml:space="preserve">osnovan </w:t>
      </w:r>
      <w:r w:rsidRPr="00220BB8">
        <w:rPr>
          <w:b/>
        </w:rPr>
        <w:t>Centar za beskućnike - udruga "Milosrđe</w:t>
      </w:r>
      <w:r w:rsidRPr="00220BB8">
        <w:t xml:space="preserve">"  </w:t>
      </w:r>
      <w:r w:rsidR="00220BB8">
        <w:t xml:space="preserve">koji </w:t>
      </w:r>
      <w:r w:rsidR="00220BB8" w:rsidRPr="00220BB8">
        <w:t xml:space="preserve">pruža </w:t>
      </w:r>
      <w:r w:rsidR="00220BB8">
        <w:t>24-satnu</w:t>
      </w:r>
      <w:r w:rsidR="00220BB8" w:rsidRPr="00220BB8">
        <w:t xml:space="preserve"> uslugu brige i skrbi o beskućnicima Karlovačke županije</w:t>
      </w:r>
      <w:r w:rsidR="00220BB8">
        <w:t xml:space="preserve">, a </w:t>
      </w:r>
      <w:r w:rsidRPr="00220BB8">
        <w:t>broji 55 članova te 2 stalno zaposlene osobe</w:t>
      </w:r>
      <w:r w:rsidR="00220BB8">
        <w:t xml:space="preserve">. </w:t>
      </w:r>
      <w:r w:rsidRPr="00220BB8">
        <w:t xml:space="preserve">Udruga također provodi i školovanje beskućnika te im pomaže pri zapošljavanju čime izravno doprinosi njihovoj resocijalizaciji i poboljšanju njihovih materijalnih uvjeta. Korisnicima centra, uz smještaj i prehranu, na raspolaganju su i usluge pružanja psihosocijalne pomoći te pomoć pri uključivanju u programe odgoja i redovitog obrazovanja. </w:t>
      </w:r>
    </w:p>
    <w:p w14:paraId="7AD3E30E" w14:textId="77777777" w:rsidR="00F57086" w:rsidRDefault="00F57086" w:rsidP="00921AE8"/>
    <w:p w14:paraId="6CBBCEB0" w14:textId="1BFE4395" w:rsidR="0018381F" w:rsidRDefault="0018381F" w:rsidP="0018381F">
      <w:pPr>
        <w:pStyle w:val="Heading3"/>
      </w:pPr>
      <w:bookmarkStart w:id="22" w:name="_Toc437390579"/>
      <w:r>
        <w:t>Društvena i zdravstvena infrastruktura</w:t>
      </w:r>
      <w:bookmarkEnd w:id="22"/>
    </w:p>
    <w:p w14:paraId="01970FD1" w14:textId="77777777" w:rsidR="00F57086" w:rsidRPr="00E9120D" w:rsidRDefault="00F57086" w:rsidP="00E9120D">
      <w:pPr>
        <w:pStyle w:val="Heading4"/>
      </w:pPr>
      <w:r w:rsidRPr="00E9120D">
        <w:t xml:space="preserve">Stanovanje </w:t>
      </w:r>
    </w:p>
    <w:p w14:paraId="1CE81B82" w14:textId="52AF0CC5" w:rsidR="00E17A06" w:rsidRPr="00A61843" w:rsidRDefault="00E17A06" w:rsidP="00A61843">
      <w:r w:rsidRPr="00AE08A0">
        <w:t>Stanovanje je jedna od najvažnijih sastavnica socijalnog razvoja društva, u smislu dostupnosti stana, osiguranja osnovnog standarda i kvalitete stanovanja, kao i omogućavanja da cijene stanova budu prihvatljiv</w:t>
      </w:r>
      <w:r w:rsidR="00A61843">
        <w:t xml:space="preserve">e svim skupinama stanovništva. </w:t>
      </w:r>
    </w:p>
    <w:p w14:paraId="60B277E6" w14:textId="3FD8FA8F" w:rsidR="00E17A06" w:rsidRPr="002233FF" w:rsidRDefault="00E17A06" w:rsidP="00E17A06">
      <w:r w:rsidRPr="00A61843">
        <w:t xml:space="preserve">U 2011. godini na području </w:t>
      </w:r>
      <w:r w:rsidR="00A61843">
        <w:t>VUPKA</w:t>
      </w:r>
      <w:r w:rsidRPr="00A61843">
        <w:t xml:space="preserve"> ukupno je bilo evidentirano 36.119 stambenih jedinica odnosno </w:t>
      </w:r>
      <w:r w:rsidR="00A61843" w:rsidRPr="00A61843">
        <w:rPr>
          <w:b/>
        </w:rPr>
        <w:t>53</w:t>
      </w:r>
      <w:r w:rsidRPr="00A61843">
        <w:rPr>
          <w:b/>
        </w:rPr>
        <w:t>% od ukupnog broja stambenih jedinica na području Karlovačke županije</w:t>
      </w:r>
      <w:r w:rsidRPr="00A61843">
        <w:t xml:space="preserve"> (68.218 stanova). Ukupna površina jedinica za stanovanje na urbanom području iznosi 2.630.900 m</w:t>
      </w:r>
      <w:r w:rsidRPr="00A61843">
        <w:rPr>
          <w:vertAlign w:val="superscript"/>
        </w:rPr>
        <w:t>2</w:t>
      </w:r>
      <w:r w:rsidRPr="00A61843">
        <w:t xml:space="preserve"> što </w:t>
      </w:r>
      <w:r w:rsidR="00A61843">
        <w:t>je</w:t>
      </w:r>
      <w:r w:rsidRPr="00A61843">
        <w:t xml:space="preserve"> 54,1% u ukupnoj površini stambenog prostora Županije. Prosječna veličina stambenog prostora na razini </w:t>
      </w:r>
      <w:r w:rsidR="00A61843">
        <w:t>VUPKA</w:t>
      </w:r>
      <w:r w:rsidRPr="00A61843">
        <w:t xml:space="preserve"> iznosi 72,8 m</w:t>
      </w:r>
      <w:r w:rsidRPr="00A61843">
        <w:rPr>
          <w:vertAlign w:val="superscript"/>
        </w:rPr>
        <w:t>2</w:t>
      </w:r>
      <w:r w:rsidR="00841818">
        <w:t>,</w:t>
      </w:r>
      <w:r w:rsidRPr="00A61843">
        <w:t xml:space="preserve"> što je u pravilu vrlo blisko površinama županijskog prosjeka koji iznosi 71,3 m</w:t>
      </w:r>
      <w:r w:rsidRPr="00A61843">
        <w:rPr>
          <w:vertAlign w:val="superscript"/>
        </w:rPr>
        <w:t>2</w:t>
      </w:r>
      <w:r w:rsidRPr="00A61843">
        <w:t xml:space="preserve">. </w:t>
      </w:r>
      <w:r w:rsidR="00A61843">
        <w:t>Što se tiče prostorne</w:t>
      </w:r>
      <w:r w:rsidR="00841818">
        <w:t xml:space="preserve"> distribucije na području VUPKA</w:t>
      </w:r>
      <w:r w:rsidR="00A61843">
        <w:t xml:space="preserve"> najveći broj stanova je</w:t>
      </w:r>
      <w:r w:rsidR="00841818">
        <w:t>,</w:t>
      </w:r>
      <w:r w:rsidR="00A61843">
        <w:t xml:space="preserve"> očekivano, koncentriran u naselju Karlovac (</w:t>
      </w:r>
      <w:r w:rsidRPr="00A61843">
        <w:t>gotovo 3/4  stanova</w:t>
      </w:r>
      <w:r w:rsidR="00A61843">
        <w:t>)</w:t>
      </w:r>
      <w:r w:rsidRPr="00A61843">
        <w:t xml:space="preserve"> dok se na području Grada Ozlja nalazi najmanje stanova (10,6%). Prema načinu korištenja prevladavaju stanovi za stalno stanovanje (93,9%), a znatno je manja zastupljenost stanova za povremeno korištenje (5,6%) ili obavljanje djelatnosti (0,4%). </w:t>
      </w:r>
      <w:r w:rsidR="009B5651">
        <w:t>Veličina stambenog prostora po stanovniku  (u</w:t>
      </w:r>
      <w:r w:rsidR="00846B3B">
        <w:t>kupna kvadratura svih stanova u odnosu na broj stanovnika</w:t>
      </w:r>
      <w:r w:rsidR="009B5651">
        <w:t>) na području</w:t>
      </w:r>
      <w:r w:rsidR="00846B3B">
        <w:t xml:space="preserve"> VUPKA iznosi </w:t>
      </w:r>
      <w:r w:rsidR="00846B3B" w:rsidRPr="00846B3B">
        <w:rPr>
          <w:b/>
        </w:rPr>
        <w:t>35,7 m</w:t>
      </w:r>
      <w:r w:rsidR="00846B3B" w:rsidRPr="00846B3B">
        <w:rPr>
          <w:b/>
          <w:vertAlign w:val="superscript"/>
        </w:rPr>
        <w:t>2</w:t>
      </w:r>
      <w:r w:rsidR="00846B3B" w:rsidRPr="00846B3B">
        <w:rPr>
          <w:b/>
        </w:rPr>
        <w:t>/</w:t>
      </w:r>
      <w:r w:rsidR="009B5651">
        <w:rPr>
          <w:b/>
        </w:rPr>
        <w:t>stanovniku</w:t>
      </w:r>
      <w:r w:rsidR="00846B3B" w:rsidRPr="00846B3B">
        <w:rPr>
          <w:b/>
        </w:rPr>
        <w:t>.</w:t>
      </w:r>
    </w:p>
    <w:p w14:paraId="39AE923D" w14:textId="77777777" w:rsidR="00E17A06" w:rsidRPr="00FD510D" w:rsidRDefault="00E17A06" w:rsidP="00E17A06">
      <w:pPr>
        <w:pStyle w:val="Caption"/>
      </w:pPr>
      <w:bookmarkStart w:id="23" w:name="_Toc420581433"/>
      <w:bookmarkStart w:id="24" w:name="_Toc437387483"/>
      <w:r w:rsidRPr="00FD510D">
        <w:t xml:space="preserve">Tablica </w:t>
      </w:r>
      <w:r>
        <w:fldChar w:fldCharType="begin"/>
      </w:r>
      <w:r>
        <w:instrText xml:space="preserve"> SEQ Tablica \* ARABIC </w:instrText>
      </w:r>
      <w:r>
        <w:fldChar w:fldCharType="separate"/>
      </w:r>
      <w:r w:rsidR="001358A9">
        <w:rPr>
          <w:noProof/>
        </w:rPr>
        <w:t>11</w:t>
      </w:r>
      <w:r>
        <w:rPr>
          <w:noProof/>
        </w:rPr>
        <w:fldChar w:fldCharType="end"/>
      </w:r>
      <w:r w:rsidRPr="00FD510D">
        <w:t>. Stanovi prema načinu korištenja na području VUP-a Karlovac</w:t>
      </w:r>
      <w:bookmarkEnd w:id="23"/>
      <w:bookmarkEnd w:id="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2"/>
        <w:gridCol w:w="845"/>
        <w:gridCol w:w="1114"/>
        <w:gridCol w:w="884"/>
        <w:gridCol w:w="1141"/>
        <w:gridCol w:w="929"/>
        <w:gridCol w:w="1367"/>
        <w:gridCol w:w="721"/>
        <w:gridCol w:w="951"/>
      </w:tblGrid>
      <w:tr w:rsidR="00E17A06" w:rsidRPr="00FD510D" w14:paraId="1008AA5D" w14:textId="77777777" w:rsidTr="00E17A06">
        <w:trPr>
          <w:cantSplit/>
          <w:trHeight w:val="170"/>
        </w:trPr>
        <w:tc>
          <w:tcPr>
            <w:tcW w:w="0" w:type="auto"/>
            <w:vMerge w:val="restart"/>
            <w:shd w:val="clear" w:color="auto" w:fill="39617A"/>
            <w:vAlign w:val="center"/>
          </w:tcPr>
          <w:p w14:paraId="792D0646"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Teritorijalna jedinica</w:t>
            </w:r>
          </w:p>
        </w:tc>
        <w:tc>
          <w:tcPr>
            <w:tcW w:w="0" w:type="auto"/>
            <w:gridSpan w:val="2"/>
            <w:shd w:val="clear" w:color="auto" w:fill="39617A"/>
            <w:vAlign w:val="center"/>
          </w:tcPr>
          <w:p w14:paraId="4F569CA5"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Stanovi za stalno stanovanje</w:t>
            </w:r>
          </w:p>
        </w:tc>
        <w:tc>
          <w:tcPr>
            <w:tcW w:w="0" w:type="auto"/>
            <w:gridSpan w:val="2"/>
            <w:shd w:val="clear" w:color="auto" w:fill="39617A"/>
            <w:vAlign w:val="center"/>
          </w:tcPr>
          <w:p w14:paraId="48C45177"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Stanovi koji se koriste povremeno</w:t>
            </w:r>
          </w:p>
        </w:tc>
        <w:tc>
          <w:tcPr>
            <w:tcW w:w="0" w:type="auto"/>
            <w:gridSpan w:val="2"/>
            <w:shd w:val="clear" w:color="auto" w:fill="39617A"/>
            <w:vAlign w:val="center"/>
          </w:tcPr>
          <w:p w14:paraId="2E760ECF"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Stanovi u kojima se samo obavljala djelatnost</w:t>
            </w:r>
          </w:p>
        </w:tc>
        <w:tc>
          <w:tcPr>
            <w:tcW w:w="0" w:type="auto"/>
            <w:gridSpan w:val="2"/>
            <w:shd w:val="clear" w:color="auto" w:fill="39617A"/>
            <w:vAlign w:val="center"/>
          </w:tcPr>
          <w:p w14:paraId="0222E71B"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UKUPNO</w:t>
            </w:r>
          </w:p>
        </w:tc>
      </w:tr>
      <w:tr w:rsidR="00E17A06" w:rsidRPr="00FD510D" w14:paraId="52C75AB7" w14:textId="77777777" w:rsidTr="00E17A06">
        <w:trPr>
          <w:cantSplit/>
          <w:trHeight w:val="170"/>
        </w:trPr>
        <w:tc>
          <w:tcPr>
            <w:tcW w:w="0" w:type="auto"/>
            <w:vMerge/>
            <w:shd w:val="clear" w:color="auto" w:fill="39617A"/>
            <w:vAlign w:val="center"/>
          </w:tcPr>
          <w:p w14:paraId="377C6411" w14:textId="77777777" w:rsidR="00E17A06" w:rsidRPr="00FD510D" w:rsidRDefault="00E17A06" w:rsidP="00E17A06">
            <w:pPr>
              <w:jc w:val="center"/>
              <w:rPr>
                <w:rFonts w:eastAsia="Times New Roman" w:cs="Tahoma"/>
                <w:color w:val="FFFFFF"/>
                <w:sz w:val="18"/>
                <w:szCs w:val="18"/>
              </w:rPr>
            </w:pPr>
          </w:p>
        </w:tc>
        <w:tc>
          <w:tcPr>
            <w:tcW w:w="0" w:type="auto"/>
            <w:shd w:val="clear" w:color="auto" w:fill="39617A"/>
            <w:vAlign w:val="center"/>
          </w:tcPr>
          <w:p w14:paraId="3A17A616"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br.</w:t>
            </w:r>
          </w:p>
        </w:tc>
        <w:tc>
          <w:tcPr>
            <w:tcW w:w="0" w:type="auto"/>
            <w:shd w:val="clear" w:color="auto" w:fill="39617A"/>
            <w:vAlign w:val="center"/>
          </w:tcPr>
          <w:p w14:paraId="384B5F87"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m2</w:t>
            </w:r>
          </w:p>
        </w:tc>
        <w:tc>
          <w:tcPr>
            <w:tcW w:w="0" w:type="auto"/>
            <w:shd w:val="clear" w:color="auto" w:fill="39617A"/>
            <w:vAlign w:val="center"/>
          </w:tcPr>
          <w:p w14:paraId="3E9C8719"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br.</w:t>
            </w:r>
          </w:p>
        </w:tc>
        <w:tc>
          <w:tcPr>
            <w:tcW w:w="0" w:type="auto"/>
            <w:shd w:val="clear" w:color="auto" w:fill="39617A"/>
            <w:vAlign w:val="center"/>
          </w:tcPr>
          <w:p w14:paraId="15F7A7BF"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m2</w:t>
            </w:r>
          </w:p>
        </w:tc>
        <w:tc>
          <w:tcPr>
            <w:tcW w:w="0" w:type="auto"/>
            <w:shd w:val="clear" w:color="auto" w:fill="39617A"/>
            <w:vAlign w:val="center"/>
          </w:tcPr>
          <w:p w14:paraId="58EAFFCF"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br.</w:t>
            </w:r>
          </w:p>
        </w:tc>
        <w:tc>
          <w:tcPr>
            <w:tcW w:w="0" w:type="auto"/>
            <w:shd w:val="clear" w:color="auto" w:fill="39617A"/>
            <w:vAlign w:val="center"/>
          </w:tcPr>
          <w:p w14:paraId="4A649598"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m2</w:t>
            </w:r>
          </w:p>
        </w:tc>
        <w:tc>
          <w:tcPr>
            <w:tcW w:w="0" w:type="auto"/>
            <w:shd w:val="clear" w:color="auto" w:fill="39617A"/>
            <w:vAlign w:val="center"/>
          </w:tcPr>
          <w:p w14:paraId="0FCBC98E"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br.</w:t>
            </w:r>
          </w:p>
        </w:tc>
        <w:tc>
          <w:tcPr>
            <w:tcW w:w="0" w:type="auto"/>
            <w:shd w:val="clear" w:color="auto" w:fill="39617A"/>
            <w:vAlign w:val="center"/>
          </w:tcPr>
          <w:p w14:paraId="17FFFE31" w14:textId="77777777" w:rsidR="00E17A06" w:rsidRPr="00FD510D" w:rsidRDefault="00E17A06" w:rsidP="00E17A06">
            <w:pPr>
              <w:jc w:val="center"/>
              <w:rPr>
                <w:rFonts w:eastAsia="Times New Roman" w:cs="Tahoma"/>
                <w:color w:val="FFFFFF"/>
                <w:sz w:val="18"/>
                <w:szCs w:val="18"/>
              </w:rPr>
            </w:pPr>
            <w:r w:rsidRPr="00FD510D">
              <w:rPr>
                <w:rFonts w:eastAsia="Times New Roman" w:cs="Tahoma"/>
                <w:color w:val="FFFFFF"/>
                <w:sz w:val="18"/>
                <w:szCs w:val="18"/>
              </w:rPr>
              <w:t>m2</w:t>
            </w:r>
          </w:p>
        </w:tc>
      </w:tr>
      <w:tr w:rsidR="00E17A06" w:rsidRPr="00FD510D" w14:paraId="50F7D4BC" w14:textId="77777777" w:rsidTr="00E17A06">
        <w:trPr>
          <w:cantSplit/>
          <w:trHeight w:val="170"/>
        </w:trPr>
        <w:tc>
          <w:tcPr>
            <w:tcW w:w="0" w:type="auto"/>
          </w:tcPr>
          <w:p w14:paraId="44F0122B" w14:textId="77777777" w:rsidR="00E17A06" w:rsidRPr="00FD510D" w:rsidRDefault="00E17A06" w:rsidP="00E17A06">
            <w:pPr>
              <w:rPr>
                <w:rFonts w:eastAsia="Times New Roman" w:cs="Tahoma"/>
                <w:color w:val="000000"/>
                <w:sz w:val="18"/>
                <w:szCs w:val="18"/>
              </w:rPr>
            </w:pPr>
            <w:r w:rsidRPr="00FD510D">
              <w:rPr>
                <w:rFonts w:eastAsia="Times New Roman" w:cs="Tahoma"/>
                <w:color w:val="000000"/>
                <w:sz w:val="18"/>
                <w:szCs w:val="18"/>
              </w:rPr>
              <w:t>Karlovac</w:t>
            </w:r>
          </w:p>
        </w:tc>
        <w:tc>
          <w:tcPr>
            <w:tcW w:w="0" w:type="auto"/>
            <w:shd w:val="clear" w:color="auto" w:fill="auto"/>
            <w:vAlign w:val="center"/>
          </w:tcPr>
          <w:p w14:paraId="48F5E6D8"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25.960</w:t>
            </w:r>
          </w:p>
        </w:tc>
        <w:tc>
          <w:tcPr>
            <w:tcW w:w="0" w:type="auto"/>
            <w:shd w:val="clear" w:color="auto" w:fill="auto"/>
            <w:vAlign w:val="center"/>
          </w:tcPr>
          <w:p w14:paraId="1CA5C38A"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1.895.862</w:t>
            </w:r>
          </w:p>
        </w:tc>
        <w:tc>
          <w:tcPr>
            <w:tcW w:w="0" w:type="auto"/>
            <w:vAlign w:val="center"/>
          </w:tcPr>
          <w:p w14:paraId="1E4B3B29"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741</w:t>
            </w:r>
          </w:p>
        </w:tc>
        <w:tc>
          <w:tcPr>
            <w:tcW w:w="0" w:type="auto"/>
            <w:vAlign w:val="center"/>
          </w:tcPr>
          <w:p w14:paraId="472945F2"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39.740</w:t>
            </w:r>
          </w:p>
        </w:tc>
        <w:tc>
          <w:tcPr>
            <w:tcW w:w="0" w:type="auto"/>
            <w:vAlign w:val="center"/>
          </w:tcPr>
          <w:p w14:paraId="156D3BA5"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146</w:t>
            </w:r>
          </w:p>
        </w:tc>
        <w:tc>
          <w:tcPr>
            <w:tcW w:w="0" w:type="auto"/>
            <w:vAlign w:val="center"/>
          </w:tcPr>
          <w:p w14:paraId="1A95DD8B"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10.209</w:t>
            </w:r>
          </w:p>
        </w:tc>
        <w:tc>
          <w:tcPr>
            <w:tcW w:w="0" w:type="auto"/>
            <w:vAlign w:val="center"/>
          </w:tcPr>
          <w:p w14:paraId="0260E49B"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26.847</w:t>
            </w:r>
          </w:p>
        </w:tc>
        <w:tc>
          <w:tcPr>
            <w:tcW w:w="0" w:type="auto"/>
            <w:vAlign w:val="center"/>
          </w:tcPr>
          <w:p w14:paraId="5A2ED03F"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1.945.811</w:t>
            </w:r>
          </w:p>
        </w:tc>
      </w:tr>
      <w:tr w:rsidR="00E17A06" w:rsidRPr="00FD510D" w14:paraId="7285CBF4" w14:textId="77777777" w:rsidTr="00E17A06">
        <w:trPr>
          <w:cantSplit/>
          <w:trHeight w:val="170"/>
        </w:trPr>
        <w:tc>
          <w:tcPr>
            <w:tcW w:w="0" w:type="auto"/>
          </w:tcPr>
          <w:p w14:paraId="4EA90497" w14:textId="77777777" w:rsidR="00E17A06" w:rsidRPr="00FD510D" w:rsidRDefault="00E17A06" w:rsidP="00E17A06">
            <w:pPr>
              <w:rPr>
                <w:rFonts w:eastAsia="Times New Roman" w:cs="Tahoma"/>
                <w:color w:val="000000"/>
                <w:sz w:val="18"/>
                <w:szCs w:val="18"/>
              </w:rPr>
            </w:pPr>
            <w:r w:rsidRPr="00FD510D">
              <w:rPr>
                <w:rFonts w:eastAsia="Times New Roman" w:cs="Tahoma"/>
                <w:color w:val="000000"/>
                <w:sz w:val="18"/>
                <w:szCs w:val="18"/>
              </w:rPr>
              <w:t>Duga Resa</w:t>
            </w:r>
          </w:p>
        </w:tc>
        <w:tc>
          <w:tcPr>
            <w:tcW w:w="0" w:type="auto"/>
            <w:shd w:val="clear" w:color="auto" w:fill="auto"/>
            <w:vAlign w:val="center"/>
          </w:tcPr>
          <w:p w14:paraId="4521FBF5"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4.843</w:t>
            </w:r>
          </w:p>
        </w:tc>
        <w:tc>
          <w:tcPr>
            <w:tcW w:w="0" w:type="auto"/>
            <w:shd w:val="clear" w:color="auto" w:fill="auto"/>
            <w:vAlign w:val="center"/>
          </w:tcPr>
          <w:p w14:paraId="43CBBD72"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344.116</w:t>
            </w:r>
          </w:p>
        </w:tc>
        <w:tc>
          <w:tcPr>
            <w:tcW w:w="0" w:type="auto"/>
            <w:vAlign w:val="center"/>
          </w:tcPr>
          <w:p w14:paraId="7A2F9747"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604</w:t>
            </w:r>
          </w:p>
        </w:tc>
        <w:tc>
          <w:tcPr>
            <w:tcW w:w="0" w:type="auto"/>
            <w:vAlign w:val="center"/>
          </w:tcPr>
          <w:p w14:paraId="0ECB68F8"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28.457</w:t>
            </w:r>
          </w:p>
        </w:tc>
        <w:tc>
          <w:tcPr>
            <w:tcW w:w="0" w:type="auto"/>
            <w:vAlign w:val="center"/>
          </w:tcPr>
          <w:p w14:paraId="2C86B468"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6</w:t>
            </w:r>
          </w:p>
        </w:tc>
        <w:tc>
          <w:tcPr>
            <w:tcW w:w="0" w:type="auto"/>
            <w:vAlign w:val="center"/>
          </w:tcPr>
          <w:p w14:paraId="46C3CA1B"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305</w:t>
            </w:r>
          </w:p>
        </w:tc>
        <w:tc>
          <w:tcPr>
            <w:tcW w:w="0" w:type="auto"/>
            <w:vAlign w:val="center"/>
          </w:tcPr>
          <w:p w14:paraId="602D3CDB"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5.453</w:t>
            </w:r>
          </w:p>
        </w:tc>
        <w:tc>
          <w:tcPr>
            <w:tcW w:w="0" w:type="auto"/>
            <w:vAlign w:val="center"/>
          </w:tcPr>
          <w:p w14:paraId="42848F9A"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372.878</w:t>
            </w:r>
          </w:p>
        </w:tc>
      </w:tr>
      <w:tr w:rsidR="00E17A06" w:rsidRPr="00FD510D" w14:paraId="74AA2107" w14:textId="77777777" w:rsidTr="00E17A06">
        <w:trPr>
          <w:cantSplit/>
          <w:trHeight w:val="170"/>
        </w:trPr>
        <w:tc>
          <w:tcPr>
            <w:tcW w:w="0" w:type="auto"/>
          </w:tcPr>
          <w:p w14:paraId="11EE34A6" w14:textId="77777777" w:rsidR="00E17A06" w:rsidRPr="00FD510D" w:rsidRDefault="00E17A06" w:rsidP="00E17A06">
            <w:pPr>
              <w:rPr>
                <w:rFonts w:eastAsia="Times New Roman" w:cs="Tahoma"/>
                <w:color w:val="000000"/>
                <w:sz w:val="18"/>
                <w:szCs w:val="18"/>
              </w:rPr>
            </w:pPr>
            <w:r w:rsidRPr="00FD510D">
              <w:rPr>
                <w:rFonts w:eastAsia="Times New Roman" w:cs="Tahoma"/>
                <w:color w:val="000000"/>
                <w:sz w:val="18"/>
                <w:szCs w:val="18"/>
              </w:rPr>
              <w:t>Ozalj</w:t>
            </w:r>
          </w:p>
        </w:tc>
        <w:tc>
          <w:tcPr>
            <w:tcW w:w="0" w:type="auto"/>
            <w:shd w:val="clear" w:color="auto" w:fill="auto"/>
            <w:vAlign w:val="center"/>
          </w:tcPr>
          <w:p w14:paraId="7A667215"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3.128</w:t>
            </w:r>
          </w:p>
        </w:tc>
        <w:tc>
          <w:tcPr>
            <w:tcW w:w="0" w:type="auto"/>
            <w:shd w:val="clear" w:color="auto" w:fill="auto"/>
            <w:vAlign w:val="center"/>
          </w:tcPr>
          <w:p w14:paraId="47338F28"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275.474</w:t>
            </w:r>
          </w:p>
        </w:tc>
        <w:tc>
          <w:tcPr>
            <w:tcW w:w="0" w:type="auto"/>
            <w:vAlign w:val="center"/>
          </w:tcPr>
          <w:p w14:paraId="2007D15E"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689</w:t>
            </w:r>
          </w:p>
        </w:tc>
        <w:tc>
          <w:tcPr>
            <w:tcW w:w="0" w:type="auto"/>
            <w:vAlign w:val="center"/>
          </w:tcPr>
          <w:p w14:paraId="66F7C2D6"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36.532</w:t>
            </w:r>
          </w:p>
        </w:tc>
        <w:tc>
          <w:tcPr>
            <w:tcW w:w="0" w:type="auto"/>
            <w:vAlign w:val="center"/>
          </w:tcPr>
          <w:p w14:paraId="49FA74B7"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2</w:t>
            </w:r>
          </w:p>
        </w:tc>
        <w:tc>
          <w:tcPr>
            <w:tcW w:w="0" w:type="auto"/>
            <w:vAlign w:val="center"/>
          </w:tcPr>
          <w:p w14:paraId="285C7CAE"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205</w:t>
            </w:r>
          </w:p>
        </w:tc>
        <w:tc>
          <w:tcPr>
            <w:tcW w:w="0" w:type="auto"/>
            <w:vAlign w:val="center"/>
          </w:tcPr>
          <w:p w14:paraId="7F27DDC6"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3.819</w:t>
            </w:r>
          </w:p>
        </w:tc>
        <w:tc>
          <w:tcPr>
            <w:tcW w:w="0" w:type="auto"/>
            <w:vAlign w:val="center"/>
          </w:tcPr>
          <w:p w14:paraId="3773E878"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312.211</w:t>
            </w:r>
          </w:p>
        </w:tc>
      </w:tr>
      <w:tr w:rsidR="00E17A06" w:rsidRPr="00FD510D" w14:paraId="0D9C3642" w14:textId="77777777" w:rsidTr="00E17A06">
        <w:trPr>
          <w:cantSplit/>
          <w:trHeight w:val="170"/>
        </w:trPr>
        <w:tc>
          <w:tcPr>
            <w:tcW w:w="0" w:type="auto"/>
          </w:tcPr>
          <w:p w14:paraId="3DC1F6CA" w14:textId="77777777" w:rsidR="00E17A06" w:rsidRPr="00FD510D" w:rsidRDefault="00E17A06" w:rsidP="00E17A06">
            <w:pPr>
              <w:rPr>
                <w:rFonts w:eastAsia="Times New Roman" w:cs="Tahoma"/>
                <w:b/>
                <w:color w:val="000000"/>
                <w:sz w:val="18"/>
                <w:szCs w:val="18"/>
              </w:rPr>
            </w:pPr>
            <w:r w:rsidRPr="00FD510D">
              <w:rPr>
                <w:rFonts w:eastAsia="Times New Roman" w:cs="Tahoma"/>
                <w:b/>
                <w:color w:val="000000"/>
                <w:sz w:val="18"/>
                <w:szCs w:val="18"/>
              </w:rPr>
              <w:t>Ukupno</w:t>
            </w:r>
          </w:p>
        </w:tc>
        <w:tc>
          <w:tcPr>
            <w:tcW w:w="0" w:type="auto"/>
            <w:shd w:val="clear" w:color="auto" w:fill="auto"/>
            <w:vAlign w:val="center"/>
          </w:tcPr>
          <w:p w14:paraId="552576ED" w14:textId="77777777" w:rsidR="00E17A06" w:rsidRPr="00FD510D" w:rsidRDefault="00E17A06" w:rsidP="00E17A06">
            <w:pPr>
              <w:jc w:val="center"/>
              <w:rPr>
                <w:rFonts w:eastAsia="Times New Roman" w:cs="Tahoma"/>
                <w:b/>
                <w:color w:val="000000"/>
                <w:sz w:val="18"/>
                <w:szCs w:val="18"/>
              </w:rPr>
            </w:pPr>
            <w:r w:rsidRPr="00FD510D">
              <w:rPr>
                <w:rFonts w:eastAsia="Times New Roman" w:cs="Tahoma"/>
                <w:b/>
                <w:color w:val="000000"/>
                <w:sz w:val="18"/>
                <w:szCs w:val="18"/>
              </w:rPr>
              <w:t>33.931</w:t>
            </w:r>
          </w:p>
        </w:tc>
        <w:tc>
          <w:tcPr>
            <w:tcW w:w="0" w:type="auto"/>
            <w:shd w:val="clear" w:color="auto" w:fill="auto"/>
            <w:vAlign w:val="center"/>
          </w:tcPr>
          <w:p w14:paraId="1950503F" w14:textId="77777777" w:rsidR="00E17A06" w:rsidRPr="00FD510D" w:rsidRDefault="00E17A06" w:rsidP="00E17A06">
            <w:pPr>
              <w:jc w:val="center"/>
              <w:rPr>
                <w:rFonts w:eastAsia="Times New Roman" w:cs="Tahoma"/>
                <w:b/>
                <w:color w:val="000000"/>
                <w:sz w:val="18"/>
                <w:szCs w:val="18"/>
              </w:rPr>
            </w:pPr>
            <w:r w:rsidRPr="00FD510D">
              <w:rPr>
                <w:rFonts w:eastAsia="Times New Roman" w:cs="Tahoma"/>
                <w:b/>
                <w:color w:val="000000"/>
                <w:sz w:val="18"/>
                <w:szCs w:val="18"/>
              </w:rPr>
              <w:t>2.515.452</w:t>
            </w:r>
          </w:p>
        </w:tc>
        <w:tc>
          <w:tcPr>
            <w:tcW w:w="0" w:type="auto"/>
            <w:vAlign w:val="center"/>
          </w:tcPr>
          <w:p w14:paraId="392334D0" w14:textId="77777777" w:rsidR="00E17A06" w:rsidRPr="00FD510D" w:rsidRDefault="00E17A06" w:rsidP="00E17A06">
            <w:pPr>
              <w:jc w:val="center"/>
              <w:rPr>
                <w:rFonts w:eastAsia="Times New Roman" w:cs="Tahoma"/>
                <w:b/>
                <w:color w:val="000000"/>
                <w:sz w:val="18"/>
                <w:szCs w:val="18"/>
              </w:rPr>
            </w:pPr>
            <w:r w:rsidRPr="00FD510D">
              <w:rPr>
                <w:rFonts w:eastAsia="Times New Roman" w:cs="Tahoma"/>
                <w:b/>
                <w:color w:val="000000"/>
                <w:sz w:val="18"/>
                <w:szCs w:val="18"/>
              </w:rPr>
              <w:t>2.034</w:t>
            </w:r>
          </w:p>
        </w:tc>
        <w:tc>
          <w:tcPr>
            <w:tcW w:w="0" w:type="auto"/>
            <w:vAlign w:val="center"/>
          </w:tcPr>
          <w:p w14:paraId="16ADE4AF" w14:textId="77777777" w:rsidR="00E17A06" w:rsidRPr="00FD510D" w:rsidRDefault="00E17A06" w:rsidP="00E17A06">
            <w:pPr>
              <w:jc w:val="center"/>
              <w:rPr>
                <w:rFonts w:eastAsia="Times New Roman" w:cs="Tahoma"/>
                <w:b/>
                <w:color w:val="000000"/>
                <w:sz w:val="18"/>
                <w:szCs w:val="18"/>
              </w:rPr>
            </w:pPr>
            <w:r w:rsidRPr="00FD510D">
              <w:rPr>
                <w:rFonts w:eastAsia="Times New Roman" w:cs="Tahoma"/>
                <w:b/>
                <w:color w:val="000000"/>
                <w:sz w:val="18"/>
                <w:szCs w:val="18"/>
              </w:rPr>
              <w:t>104.729</w:t>
            </w:r>
          </w:p>
        </w:tc>
        <w:tc>
          <w:tcPr>
            <w:tcW w:w="0" w:type="auto"/>
            <w:vAlign w:val="center"/>
          </w:tcPr>
          <w:p w14:paraId="282ACE3D" w14:textId="77777777" w:rsidR="00E17A06" w:rsidRPr="00FD510D" w:rsidRDefault="00E17A06" w:rsidP="00E17A06">
            <w:pPr>
              <w:jc w:val="center"/>
              <w:rPr>
                <w:rFonts w:eastAsia="Times New Roman" w:cs="Tahoma"/>
                <w:b/>
                <w:color w:val="000000"/>
                <w:sz w:val="18"/>
                <w:szCs w:val="18"/>
              </w:rPr>
            </w:pPr>
            <w:r w:rsidRPr="00FD510D">
              <w:rPr>
                <w:rFonts w:eastAsia="Times New Roman" w:cs="Tahoma"/>
                <w:b/>
                <w:color w:val="000000"/>
                <w:sz w:val="18"/>
                <w:szCs w:val="18"/>
              </w:rPr>
              <w:t>154</w:t>
            </w:r>
          </w:p>
        </w:tc>
        <w:tc>
          <w:tcPr>
            <w:tcW w:w="0" w:type="auto"/>
            <w:vAlign w:val="center"/>
          </w:tcPr>
          <w:p w14:paraId="0D36CAA3" w14:textId="77777777" w:rsidR="00E17A06" w:rsidRPr="00FD510D" w:rsidRDefault="00E17A06" w:rsidP="00E17A06">
            <w:pPr>
              <w:jc w:val="center"/>
              <w:rPr>
                <w:rFonts w:eastAsia="Times New Roman" w:cs="Tahoma"/>
                <w:b/>
                <w:color w:val="000000"/>
                <w:sz w:val="18"/>
                <w:szCs w:val="18"/>
              </w:rPr>
            </w:pPr>
            <w:r w:rsidRPr="00FD510D">
              <w:rPr>
                <w:rFonts w:eastAsia="Times New Roman" w:cs="Tahoma"/>
                <w:b/>
                <w:color w:val="000000"/>
                <w:sz w:val="18"/>
                <w:szCs w:val="18"/>
              </w:rPr>
              <w:t>10.719</w:t>
            </w:r>
          </w:p>
        </w:tc>
        <w:tc>
          <w:tcPr>
            <w:tcW w:w="0" w:type="auto"/>
            <w:vAlign w:val="center"/>
          </w:tcPr>
          <w:p w14:paraId="0A0885D7" w14:textId="77777777" w:rsidR="00E17A06" w:rsidRPr="00FD510D" w:rsidRDefault="00E17A06" w:rsidP="00E17A06">
            <w:pPr>
              <w:jc w:val="center"/>
              <w:rPr>
                <w:rFonts w:eastAsia="Times New Roman" w:cs="Tahoma"/>
                <w:b/>
                <w:color w:val="000000"/>
                <w:sz w:val="18"/>
                <w:szCs w:val="18"/>
              </w:rPr>
            </w:pPr>
            <w:r w:rsidRPr="00FD510D">
              <w:rPr>
                <w:rFonts w:eastAsia="Times New Roman" w:cs="Tahoma"/>
                <w:b/>
                <w:color w:val="000000"/>
                <w:sz w:val="18"/>
                <w:szCs w:val="18"/>
              </w:rPr>
              <w:t>36.119</w:t>
            </w:r>
          </w:p>
        </w:tc>
        <w:tc>
          <w:tcPr>
            <w:tcW w:w="0" w:type="auto"/>
            <w:vAlign w:val="center"/>
          </w:tcPr>
          <w:p w14:paraId="04034C8B" w14:textId="77777777" w:rsidR="00E17A06" w:rsidRPr="00FD510D" w:rsidRDefault="00E17A06" w:rsidP="00E17A06">
            <w:pPr>
              <w:jc w:val="center"/>
              <w:rPr>
                <w:rFonts w:eastAsia="Times New Roman" w:cs="Tahoma"/>
                <w:b/>
                <w:color w:val="000000"/>
                <w:sz w:val="18"/>
                <w:szCs w:val="18"/>
              </w:rPr>
            </w:pPr>
            <w:r w:rsidRPr="00FD510D">
              <w:rPr>
                <w:rFonts w:eastAsia="Times New Roman" w:cs="Tahoma"/>
                <w:b/>
                <w:color w:val="000000"/>
                <w:sz w:val="18"/>
                <w:szCs w:val="18"/>
              </w:rPr>
              <w:t>2.630.900</w:t>
            </w:r>
          </w:p>
        </w:tc>
      </w:tr>
      <w:tr w:rsidR="00E17A06" w:rsidRPr="00FD510D" w14:paraId="5F9C3C76" w14:textId="77777777" w:rsidTr="00E17A06">
        <w:trPr>
          <w:cantSplit/>
          <w:trHeight w:val="170"/>
        </w:trPr>
        <w:tc>
          <w:tcPr>
            <w:tcW w:w="0" w:type="auto"/>
          </w:tcPr>
          <w:p w14:paraId="3CDA3993" w14:textId="77777777" w:rsidR="00E17A06" w:rsidRPr="00FD510D" w:rsidRDefault="00E17A06" w:rsidP="00E17A06">
            <w:pPr>
              <w:rPr>
                <w:rFonts w:eastAsia="Times New Roman" w:cs="Tahoma"/>
                <w:color w:val="000000"/>
                <w:sz w:val="18"/>
                <w:szCs w:val="18"/>
              </w:rPr>
            </w:pPr>
            <w:r w:rsidRPr="00FD510D">
              <w:rPr>
                <w:rFonts w:eastAsia="Times New Roman" w:cs="Tahoma"/>
                <w:color w:val="000000"/>
                <w:sz w:val="18"/>
                <w:szCs w:val="18"/>
              </w:rPr>
              <w:t>Karlovačka županija</w:t>
            </w:r>
          </w:p>
        </w:tc>
        <w:tc>
          <w:tcPr>
            <w:tcW w:w="0" w:type="auto"/>
            <w:shd w:val="clear" w:color="auto" w:fill="auto"/>
            <w:vAlign w:val="center"/>
          </w:tcPr>
          <w:p w14:paraId="1ADF8DB4"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61.719</w:t>
            </w:r>
          </w:p>
        </w:tc>
        <w:tc>
          <w:tcPr>
            <w:tcW w:w="0" w:type="auto"/>
            <w:shd w:val="clear" w:color="auto" w:fill="auto"/>
            <w:vAlign w:val="center"/>
          </w:tcPr>
          <w:p w14:paraId="0D4BE8F1"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4.525.259</w:t>
            </w:r>
          </w:p>
        </w:tc>
        <w:tc>
          <w:tcPr>
            <w:tcW w:w="0" w:type="auto"/>
            <w:vAlign w:val="center"/>
          </w:tcPr>
          <w:p w14:paraId="34342205"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6.249</w:t>
            </w:r>
          </w:p>
        </w:tc>
        <w:tc>
          <w:tcPr>
            <w:tcW w:w="0" w:type="auto"/>
            <w:vAlign w:val="center"/>
          </w:tcPr>
          <w:p w14:paraId="4F09E3B2"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324.693</w:t>
            </w:r>
          </w:p>
        </w:tc>
        <w:tc>
          <w:tcPr>
            <w:tcW w:w="0" w:type="auto"/>
            <w:vAlign w:val="center"/>
          </w:tcPr>
          <w:p w14:paraId="49710140"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250</w:t>
            </w:r>
          </w:p>
        </w:tc>
        <w:tc>
          <w:tcPr>
            <w:tcW w:w="0" w:type="auto"/>
            <w:vAlign w:val="center"/>
          </w:tcPr>
          <w:p w14:paraId="0F49C912"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17.097</w:t>
            </w:r>
          </w:p>
        </w:tc>
        <w:tc>
          <w:tcPr>
            <w:tcW w:w="0" w:type="auto"/>
            <w:vAlign w:val="center"/>
          </w:tcPr>
          <w:p w14:paraId="1CB382B2"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68.218</w:t>
            </w:r>
          </w:p>
        </w:tc>
        <w:tc>
          <w:tcPr>
            <w:tcW w:w="0" w:type="auto"/>
            <w:vAlign w:val="center"/>
          </w:tcPr>
          <w:p w14:paraId="2DA9A142" w14:textId="77777777" w:rsidR="00E17A06" w:rsidRPr="00FD510D" w:rsidRDefault="00E17A06" w:rsidP="00E17A06">
            <w:pPr>
              <w:jc w:val="center"/>
              <w:rPr>
                <w:rFonts w:eastAsia="Times New Roman" w:cs="Tahoma"/>
                <w:color w:val="000000"/>
                <w:sz w:val="18"/>
                <w:szCs w:val="18"/>
              </w:rPr>
            </w:pPr>
            <w:r w:rsidRPr="00FD510D">
              <w:rPr>
                <w:rFonts w:eastAsia="Times New Roman" w:cs="Tahoma"/>
                <w:color w:val="000000"/>
                <w:sz w:val="18"/>
                <w:szCs w:val="18"/>
              </w:rPr>
              <w:t>4.867.049</w:t>
            </w:r>
          </w:p>
        </w:tc>
      </w:tr>
    </w:tbl>
    <w:p w14:paraId="07C872C2" w14:textId="77777777" w:rsidR="00E17A06" w:rsidRPr="00FD510D" w:rsidRDefault="00E17A06" w:rsidP="00E17A06">
      <w:pPr>
        <w:jc w:val="left"/>
        <w:rPr>
          <w:rFonts w:cs="Tahoma"/>
          <w:color w:val="39617A"/>
          <w:sz w:val="18"/>
          <w:szCs w:val="18"/>
        </w:rPr>
      </w:pPr>
      <w:r w:rsidRPr="00FD510D">
        <w:rPr>
          <w:rFonts w:cs="Tahoma"/>
          <w:color w:val="39617A"/>
          <w:sz w:val="18"/>
          <w:szCs w:val="18"/>
        </w:rPr>
        <w:t>Izvor: DZS, Popis 2011.</w:t>
      </w:r>
    </w:p>
    <w:p w14:paraId="2EDDB2E9" w14:textId="4D19F329" w:rsidR="00E17A06" w:rsidRPr="004842AE" w:rsidRDefault="00E17A06" w:rsidP="004842AE">
      <w:r w:rsidRPr="004842AE">
        <w:t xml:space="preserve">Stanovi na urbanom području opremljeni su osnovnom infrastrukturom (instalacije vodovoda, odvodnje i električna energija) čime je osiguran prihvatljiv standard kvalitete življenja, a opremljenost plinom i klimatizacijom </w:t>
      </w:r>
      <w:r w:rsidR="004842AE">
        <w:t xml:space="preserve">je znatno niža, iako još uvijek </w:t>
      </w:r>
      <w:r w:rsidRPr="004842AE">
        <w:t xml:space="preserve">veća od županijskog prosjeka. Primjerice, 99,2% stanova </w:t>
      </w:r>
      <w:r w:rsidR="004842AE">
        <w:t xml:space="preserve">VUPKA </w:t>
      </w:r>
      <w:r w:rsidRPr="004842AE">
        <w:t xml:space="preserve">ima riješenu opskrbu vodom i 99,9% električnom energijom, </w:t>
      </w:r>
      <w:r w:rsidR="004842AE">
        <w:t>a</w:t>
      </w:r>
      <w:r w:rsidRPr="004842AE">
        <w:t xml:space="preserve"> instalacije plina ima svega 4,4% nastanjenih stanova</w:t>
      </w:r>
      <w:r w:rsidR="00841818">
        <w:t>,</w:t>
      </w:r>
      <w:r w:rsidRPr="004842AE">
        <w:t xml:space="preserve"> dok u Županiji plinske instalacije ima 2,7% stanova. Od svih stanova na urbanom području koji imaju plinske instalacije</w:t>
      </w:r>
      <w:r w:rsidR="00841818">
        <w:t>,</w:t>
      </w:r>
      <w:r w:rsidRPr="004842AE">
        <w:t xml:space="preserve"> čak 97,6% je onih na području Grada Karlovca. </w:t>
      </w:r>
    </w:p>
    <w:p w14:paraId="0A256B57" w14:textId="5187890C" w:rsidR="00E17A06" w:rsidRDefault="00E17A06" w:rsidP="004842AE">
      <w:r w:rsidRPr="004842AE">
        <w:t xml:space="preserve">Stanovi u vlasništvu Grada Karlovca dodjeljuju se prema Listi reda prvenstva za davanje gradskih stanova u najam – opća lista </w:t>
      </w:r>
      <w:r w:rsidR="00841818">
        <w:t>i lista namijenjena mladima koje</w:t>
      </w:r>
      <w:r w:rsidRPr="004842AE">
        <w:t xml:space="preserve"> se utv</w:t>
      </w:r>
      <w:r w:rsidR="00841818">
        <w:t>rđuju</w:t>
      </w:r>
      <w:r w:rsidRPr="004842AE">
        <w:t xml:space="preserve"> Odlukom Gradske uprave. </w:t>
      </w:r>
      <w:r w:rsidRPr="004842AE">
        <w:lastRenderedPageBreak/>
        <w:t xml:space="preserve">Grad Karlovac u vlasništvu je 334 stana, a trenutno se na Općoj listi reda prvenstva nalazi 77 </w:t>
      </w:r>
      <w:r w:rsidR="0018381F">
        <w:t>prijava</w:t>
      </w:r>
      <w:r w:rsidRPr="004842AE">
        <w:t xml:space="preserve">, a na Listi za mlade 23 </w:t>
      </w:r>
      <w:r w:rsidR="0018381F">
        <w:t>prijave</w:t>
      </w:r>
      <w:r w:rsidRPr="004842AE">
        <w:t xml:space="preserve">. </w:t>
      </w:r>
    </w:p>
    <w:p w14:paraId="3478C41D" w14:textId="77777777" w:rsidR="002233FF" w:rsidRPr="004842AE" w:rsidRDefault="002233FF" w:rsidP="004842AE"/>
    <w:p w14:paraId="5893A226" w14:textId="271AA893" w:rsidR="00E17A06" w:rsidRDefault="00E9120D" w:rsidP="00E9120D">
      <w:pPr>
        <w:pStyle w:val="Heading4"/>
      </w:pPr>
      <w:r>
        <w:t>Kultura</w:t>
      </w:r>
    </w:p>
    <w:p w14:paraId="19AE7A57" w14:textId="6FBAEC45" w:rsidR="0018381F" w:rsidRPr="00E9120D" w:rsidRDefault="0018381F" w:rsidP="00E9120D">
      <w:r w:rsidRPr="00E9120D">
        <w:t xml:space="preserve">Na području </w:t>
      </w:r>
      <w:r w:rsidR="00E9120D">
        <w:t>VUPKA</w:t>
      </w:r>
      <w:r w:rsidRPr="00E9120D">
        <w:t xml:space="preserve"> postoji 37 ustanova u kulturi koje doprinose kvaliteti života građana, a čiji se djelokrug odnosi na muzejsko-galerijske djelatnost, dramsku umjetnost, knjižničnu te arhivsku djelatnost što čini gotovo </w:t>
      </w:r>
      <w:r w:rsidRPr="0045746B">
        <w:rPr>
          <w:b/>
        </w:rPr>
        <w:t>60% svih kulturnih ustanova na području Županije</w:t>
      </w:r>
      <w:r w:rsidRPr="00E9120D">
        <w:t xml:space="preserve">. </w:t>
      </w:r>
      <w:r w:rsidR="00E9120D">
        <w:t xml:space="preserve">Na području također djeluje i </w:t>
      </w:r>
      <w:r w:rsidR="00E9120D" w:rsidRPr="0045746B">
        <w:rPr>
          <w:b/>
        </w:rPr>
        <w:t>122 udruga</w:t>
      </w:r>
      <w:r w:rsidRPr="0045746B">
        <w:rPr>
          <w:b/>
        </w:rPr>
        <w:t xml:space="preserve"> u kulturi i umjetnosti</w:t>
      </w:r>
      <w:r w:rsidRPr="00E9120D">
        <w:t xml:space="preserve"> (20.3.2019.) od čega 102 u Karlovcu, 11 u Dugoj Resi te 9 u Ozlju, a sve zajedno čine 63,2% od ukupnog broja udruga u kulturi n</w:t>
      </w:r>
      <w:r w:rsidR="00E9120D">
        <w:t>a razini Županije.</w:t>
      </w:r>
    </w:p>
    <w:p w14:paraId="6CAEB656" w14:textId="001E67A1" w:rsidR="0018381F" w:rsidRPr="00FD510D" w:rsidRDefault="00E9120D" w:rsidP="0018381F">
      <w:r>
        <w:t xml:space="preserve">Najzastupljenija je </w:t>
      </w:r>
      <w:r w:rsidR="0018381F" w:rsidRPr="00E9120D">
        <w:t xml:space="preserve">knjižnična djelatnost </w:t>
      </w:r>
      <w:r>
        <w:t>-</w:t>
      </w:r>
      <w:r w:rsidR="0018381F" w:rsidRPr="00E9120D">
        <w:t xml:space="preserve"> uz 20-ak školskih knjižnica djeluju još i 3 gradske knjižnice (u Karlovcu, Ozlju i Dugoj Resi) te knjižnica Gradskog muzeja Karlovac, knjižnica Franjevačkog samostana u Karlovcu i knjižnica Veleučilišta u Karlovcu. Također, u okviru Gradske knjižnice I. G. Kovačić Karlovac djeluje </w:t>
      </w:r>
      <w:r>
        <w:t xml:space="preserve">i </w:t>
      </w:r>
      <w:r w:rsidR="0018381F" w:rsidRPr="00E9120D">
        <w:t xml:space="preserve">bibliobusna služba putem koje su usluge knjižničarske djelatnosti postale dostupne i u onim naseljima </w:t>
      </w:r>
      <w:r w:rsidR="00841818">
        <w:t>koja nemaju nikakvu knjižničnu uslugu</w:t>
      </w:r>
      <w:r w:rsidR="0018381F" w:rsidRPr="00E9120D">
        <w:t>. Na u</w:t>
      </w:r>
      <w:r>
        <w:t xml:space="preserve">rbanom području djeluju 2 </w:t>
      </w:r>
      <w:r w:rsidR="00841818">
        <w:t>muzeja (</w:t>
      </w:r>
      <w:r w:rsidR="0018381F" w:rsidRPr="00E9120D">
        <w:t xml:space="preserve">od sveukupno 3 </w:t>
      </w:r>
      <w:r>
        <w:t>muzeja</w:t>
      </w:r>
      <w:r w:rsidRPr="00E9120D">
        <w:t xml:space="preserve"> </w:t>
      </w:r>
      <w:r w:rsidR="0018381F" w:rsidRPr="00E9120D">
        <w:t>na području Karlovačke županije</w:t>
      </w:r>
      <w:r w:rsidR="00841818">
        <w:t>)</w:t>
      </w:r>
      <w:r>
        <w:t xml:space="preserve"> - Gradski </w:t>
      </w:r>
      <w:r w:rsidR="0045746B">
        <w:t>m</w:t>
      </w:r>
      <w:r>
        <w:t xml:space="preserve">uzej Karlovac, Zavičajni muzej Ozalj (te </w:t>
      </w:r>
      <w:r w:rsidR="0018381F" w:rsidRPr="00E9120D">
        <w:t>Zavičajni muzej u Ogulinu</w:t>
      </w:r>
      <w:r>
        <w:t>)</w:t>
      </w:r>
      <w:r w:rsidR="0018381F" w:rsidRPr="00E9120D">
        <w:t xml:space="preserve">. </w:t>
      </w:r>
      <w:r w:rsidR="00841818">
        <w:t>N</w:t>
      </w:r>
      <w:r w:rsidR="00841818" w:rsidRPr="00CB048A">
        <w:t xml:space="preserve">a </w:t>
      </w:r>
      <w:r w:rsidR="00841818">
        <w:t>urbanom</w:t>
      </w:r>
      <w:r w:rsidR="00841818" w:rsidRPr="00CB048A">
        <w:t xml:space="preserve"> području djeluje samo jedno profesionalno kazalište ("Zorin dom" u Karlovcu) koje je ujedno i jedino kazalište na području Županije, dok u ostalim gradovima urbanog područja organizaciju većine kulturnih programa preuzimaju postojeća pučka otvorena učilišta. Navedeno vrijedi i za audiovizualnu djelatnost, pogotovo u svijetlu činjenice kako na području Županije ne postoji ustanova koja provodi kontinuiranu kinematografsku djelatnost</w:t>
      </w:r>
      <w:r w:rsidR="00841818">
        <w:t xml:space="preserve">. </w:t>
      </w:r>
      <w:r w:rsidR="0045746B">
        <w:t>Na području kulture valja još istaknuti i rad Glazbene škole Karlovac, kao i napore gradske uprave da se revitalizira audiovizualna</w:t>
      </w:r>
      <w:r w:rsidR="0018381F" w:rsidRPr="00E9120D">
        <w:t xml:space="preserve"> djelatnost, </w:t>
      </w:r>
      <w:r w:rsidR="0045746B">
        <w:t>putem obnove i reaktivacije Kina Edison u karlovačkoj Zvijezdi.</w:t>
      </w:r>
    </w:p>
    <w:p w14:paraId="0595E8DF" w14:textId="77777777" w:rsidR="0018381F" w:rsidRPr="00FD510D" w:rsidRDefault="0018381F" w:rsidP="0018381F">
      <w:pPr>
        <w:pStyle w:val="Caption"/>
      </w:pPr>
      <w:bookmarkStart w:id="25" w:name="_Toc420581435"/>
      <w:bookmarkStart w:id="26" w:name="_Toc437387484"/>
      <w:r w:rsidRPr="00FD510D">
        <w:t xml:space="preserve">Tablica </w:t>
      </w:r>
      <w:r>
        <w:fldChar w:fldCharType="begin"/>
      </w:r>
      <w:r>
        <w:instrText xml:space="preserve"> SEQ Tablica \* ARABIC </w:instrText>
      </w:r>
      <w:r>
        <w:fldChar w:fldCharType="separate"/>
      </w:r>
      <w:r w:rsidR="001358A9">
        <w:rPr>
          <w:noProof/>
        </w:rPr>
        <w:t>12</w:t>
      </w:r>
      <w:r>
        <w:rPr>
          <w:noProof/>
        </w:rPr>
        <w:fldChar w:fldCharType="end"/>
      </w:r>
      <w:r w:rsidRPr="00FD510D">
        <w:t>. Kategorija ustanova u kulturi na području VUP-a Karlovac</w:t>
      </w:r>
      <w:bookmarkEnd w:id="25"/>
      <w:bookmarkEnd w:id="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4"/>
        <w:gridCol w:w="1099"/>
        <w:gridCol w:w="1099"/>
        <w:gridCol w:w="1099"/>
        <w:gridCol w:w="1099"/>
        <w:gridCol w:w="1099"/>
        <w:gridCol w:w="1095"/>
      </w:tblGrid>
      <w:tr w:rsidR="0018381F" w:rsidRPr="00FD510D" w14:paraId="6BE5F3B9" w14:textId="77777777" w:rsidTr="0018381F">
        <w:trPr>
          <w:cantSplit/>
          <w:trHeight w:val="170"/>
        </w:trPr>
        <w:tc>
          <w:tcPr>
            <w:tcW w:w="1473" w:type="pct"/>
            <w:shd w:val="clear" w:color="auto" w:fill="39617A"/>
            <w:vAlign w:val="center"/>
          </w:tcPr>
          <w:p w14:paraId="63136E94"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Teritorijalna jedinica</w:t>
            </w:r>
          </w:p>
        </w:tc>
        <w:tc>
          <w:tcPr>
            <w:tcW w:w="588" w:type="pct"/>
            <w:shd w:val="clear" w:color="auto" w:fill="39617A"/>
            <w:vAlign w:val="center"/>
          </w:tcPr>
          <w:p w14:paraId="7B860D1D"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Knjižnica</w:t>
            </w:r>
          </w:p>
        </w:tc>
        <w:tc>
          <w:tcPr>
            <w:tcW w:w="588" w:type="pct"/>
            <w:shd w:val="clear" w:color="auto" w:fill="39617A"/>
            <w:vAlign w:val="center"/>
          </w:tcPr>
          <w:p w14:paraId="60B1FA35"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Muzej</w:t>
            </w:r>
          </w:p>
        </w:tc>
        <w:tc>
          <w:tcPr>
            <w:tcW w:w="588" w:type="pct"/>
            <w:shd w:val="clear" w:color="auto" w:fill="39617A"/>
            <w:vAlign w:val="center"/>
          </w:tcPr>
          <w:p w14:paraId="26D8BA04"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Kazalište</w:t>
            </w:r>
          </w:p>
        </w:tc>
        <w:tc>
          <w:tcPr>
            <w:tcW w:w="588" w:type="pct"/>
            <w:shd w:val="clear" w:color="auto" w:fill="39617A"/>
            <w:vAlign w:val="center"/>
          </w:tcPr>
          <w:p w14:paraId="63650178"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Državni arhiv</w:t>
            </w:r>
          </w:p>
        </w:tc>
        <w:tc>
          <w:tcPr>
            <w:tcW w:w="588" w:type="pct"/>
            <w:shd w:val="clear" w:color="auto" w:fill="39617A"/>
            <w:vAlign w:val="center"/>
          </w:tcPr>
          <w:p w14:paraId="34F64684"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Radio postaje</w:t>
            </w:r>
          </w:p>
        </w:tc>
        <w:tc>
          <w:tcPr>
            <w:tcW w:w="586" w:type="pct"/>
            <w:shd w:val="clear" w:color="auto" w:fill="39617A"/>
          </w:tcPr>
          <w:p w14:paraId="66FBFB56"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Kino</w:t>
            </w:r>
          </w:p>
        </w:tc>
      </w:tr>
      <w:tr w:rsidR="0018381F" w:rsidRPr="00FD510D" w14:paraId="6B256865" w14:textId="77777777" w:rsidTr="0018381F">
        <w:trPr>
          <w:cantSplit/>
          <w:trHeight w:val="170"/>
        </w:trPr>
        <w:tc>
          <w:tcPr>
            <w:tcW w:w="1473" w:type="pct"/>
          </w:tcPr>
          <w:p w14:paraId="6FC3E61B" w14:textId="77777777" w:rsidR="0018381F" w:rsidRPr="00FD510D" w:rsidRDefault="0018381F" w:rsidP="0018381F">
            <w:pPr>
              <w:rPr>
                <w:rFonts w:eastAsia="Times New Roman" w:cs="Tahoma"/>
                <w:color w:val="000000"/>
                <w:sz w:val="18"/>
                <w:szCs w:val="18"/>
              </w:rPr>
            </w:pPr>
            <w:r w:rsidRPr="00FD510D">
              <w:rPr>
                <w:rFonts w:eastAsia="Times New Roman" w:cs="Tahoma"/>
                <w:color w:val="000000"/>
                <w:sz w:val="18"/>
                <w:szCs w:val="18"/>
              </w:rPr>
              <w:t>Karlovac</w:t>
            </w:r>
          </w:p>
        </w:tc>
        <w:tc>
          <w:tcPr>
            <w:tcW w:w="588" w:type="pct"/>
            <w:shd w:val="clear" w:color="auto" w:fill="auto"/>
          </w:tcPr>
          <w:p w14:paraId="495F9B36"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23</w:t>
            </w:r>
          </w:p>
        </w:tc>
        <w:tc>
          <w:tcPr>
            <w:tcW w:w="588" w:type="pct"/>
            <w:shd w:val="clear" w:color="auto" w:fill="auto"/>
          </w:tcPr>
          <w:p w14:paraId="73D234C4"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c>
          <w:tcPr>
            <w:tcW w:w="588" w:type="pct"/>
          </w:tcPr>
          <w:p w14:paraId="623F2E59"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1(3*)</w:t>
            </w:r>
          </w:p>
        </w:tc>
        <w:tc>
          <w:tcPr>
            <w:tcW w:w="588" w:type="pct"/>
          </w:tcPr>
          <w:p w14:paraId="2CE202F2"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c>
          <w:tcPr>
            <w:tcW w:w="588" w:type="pct"/>
          </w:tcPr>
          <w:p w14:paraId="7597C5FE"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2</w:t>
            </w:r>
          </w:p>
        </w:tc>
        <w:tc>
          <w:tcPr>
            <w:tcW w:w="586" w:type="pct"/>
          </w:tcPr>
          <w:p w14:paraId="5A93976F"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0</w:t>
            </w:r>
          </w:p>
        </w:tc>
      </w:tr>
      <w:tr w:rsidR="0018381F" w:rsidRPr="00FD510D" w14:paraId="02F3DDBC" w14:textId="77777777" w:rsidTr="0018381F">
        <w:trPr>
          <w:cantSplit/>
          <w:trHeight w:val="170"/>
        </w:trPr>
        <w:tc>
          <w:tcPr>
            <w:tcW w:w="1473" w:type="pct"/>
          </w:tcPr>
          <w:p w14:paraId="1522DA30" w14:textId="77777777" w:rsidR="0018381F" w:rsidRPr="00FD510D" w:rsidRDefault="0018381F" w:rsidP="0018381F">
            <w:pPr>
              <w:rPr>
                <w:rFonts w:eastAsia="Times New Roman" w:cs="Tahoma"/>
                <w:color w:val="000000"/>
                <w:sz w:val="18"/>
                <w:szCs w:val="18"/>
              </w:rPr>
            </w:pPr>
            <w:r w:rsidRPr="00FD510D">
              <w:rPr>
                <w:rFonts w:eastAsia="Times New Roman" w:cs="Tahoma"/>
                <w:color w:val="000000"/>
                <w:sz w:val="18"/>
                <w:szCs w:val="18"/>
              </w:rPr>
              <w:t>Duga Resa</w:t>
            </w:r>
          </w:p>
        </w:tc>
        <w:tc>
          <w:tcPr>
            <w:tcW w:w="588" w:type="pct"/>
            <w:shd w:val="clear" w:color="auto" w:fill="auto"/>
          </w:tcPr>
          <w:p w14:paraId="751921B3"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4</w:t>
            </w:r>
          </w:p>
        </w:tc>
        <w:tc>
          <w:tcPr>
            <w:tcW w:w="588" w:type="pct"/>
            <w:shd w:val="clear" w:color="auto" w:fill="auto"/>
          </w:tcPr>
          <w:p w14:paraId="602ECE0E"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0</w:t>
            </w:r>
          </w:p>
        </w:tc>
        <w:tc>
          <w:tcPr>
            <w:tcW w:w="588" w:type="pct"/>
          </w:tcPr>
          <w:p w14:paraId="7EA3DD01"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0</w:t>
            </w:r>
          </w:p>
        </w:tc>
        <w:tc>
          <w:tcPr>
            <w:tcW w:w="588" w:type="pct"/>
          </w:tcPr>
          <w:p w14:paraId="6F625B1C"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0</w:t>
            </w:r>
          </w:p>
        </w:tc>
        <w:tc>
          <w:tcPr>
            <w:tcW w:w="588" w:type="pct"/>
          </w:tcPr>
          <w:p w14:paraId="2B4E22CE"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c>
          <w:tcPr>
            <w:tcW w:w="586" w:type="pct"/>
          </w:tcPr>
          <w:p w14:paraId="6F9A0662"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r>
      <w:tr w:rsidR="0018381F" w:rsidRPr="00FD510D" w14:paraId="6B91C34D" w14:textId="77777777" w:rsidTr="0018381F">
        <w:trPr>
          <w:cantSplit/>
          <w:trHeight w:val="170"/>
        </w:trPr>
        <w:tc>
          <w:tcPr>
            <w:tcW w:w="1473" w:type="pct"/>
          </w:tcPr>
          <w:p w14:paraId="608E19C9" w14:textId="77777777" w:rsidR="0018381F" w:rsidRPr="00FD510D" w:rsidRDefault="0018381F" w:rsidP="0018381F">
            <w:pPr>
              <w:rPr>
                <w:rFonts w:eastAsia="Times New Roman" w:cs="Tahoma"/>
                <w:color w:val="000000"/>
                <w:sz w:val="18"/>
                <w:szCs w:val="18"/>
              </w:rPr>
            </w:pPr>
            <w:r w:rsidRPr="00FD510D">
              <w:rPr>
                <w:rFonts w:eastAsia="Times New Roman" w:cs="Tahoma"/>
                <w:color w:val="000000"/>
                <w:sz w:val="18"/>
                <w:szCs w:val="18"/>
              </w:rPr>
              <w:t>Ozalj</w:t>
            </w:r>
          </w:p>
        </w:tc>
        <w:tc>
          <w:tcPr>
            <w:tcW w:w="588" w:type="pct"/>
            <w:shd w:val="clear" w:color="auto" w:fill="auto"/>
          </w:tcPr>
          <w:p w14:paraId="46801F78"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2</w:t>
            </w:r>
          </w:p>
        </w:tc>
        <w:tc>
          <w:tcPr>
            <w:tcW w:w="588" w:type="pct"/>
            <w:shd w:val="clear" w:color="auto" w:fill="auto"/>
          </w:tcPr>
          <w:p w14:paraId="3C441B35"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c>
          <w:tcPr>
            <w:tcW w:w="588" w:type="pct"/>
          </w:tcPr>
          <w:p w14:paraId="1BD48737"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0</w:t>
            </w:r>
          </w:p>
        </w:tc>
        <w:tc>
          <w:tcPr>
            <w:tcW w:w="588" w:type="pct"/>
          </w:tcPr>
          <w:p w14:paraId="4353FCFB"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0</w:t>
            </w:r>
          </w:p>
        </w:tc>
        <w:tc>
          <w:tcPr>
            <w:tcW w:w="588" w:type="pct"/>
          </w:tcPr>
          <w:p w14:paraId="081D0546"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0</w:t>
            </w:r>
          </w:p>
        </w:tc>
        <w:tc>
          <w:tcPr>
            <w:tcW w:w="586" w:type="pct"/>
          </w:tcPr>
          <w:p w14:paraId="5C600AF8"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0</w:t>
            </w:r>
          </w:p>
        </w:tc>
      </w:tr>
      <w:tr w:rsidR="0018381F" w:rsidRPr="00FD510D" w14:paraId="5E2628CA" w14:textId="77777777" w:rsidTr="0018381F">
        <w:trPr>
          <w:cantSplit/>
          <w:trHeight w:val="170"/>
        </w:trPr>
        <w:tc>
          <w:tcPr>
            <w:tcW w:w="1473" w:type="pct"/>
          </w:tcPr>
          <w:p w14:paraId="51FE60CD" w14:textId="77777777" w:rsidR="0018381F" w:rsidRPr="00FD510D" w:rsidRDefault="0018381F" w:rsidP="0018381F">
            <w:pPr>
              <w:rPr>
                <w:rFonts w:eastAsia="Times New Roman" w:cs="Tahoma"/>
                <w:b/>
                <w:color w:val="000000"/>
                <w:sz w:val="18"/>
                <w:szCs w:val="18"/>
              </w:rPr>
            </w:pPr>
            <w:r w:rsidRPr="00FD510D">
              <w:rPr>
                <w:rFonts w:eastAsia="Times New Roman" w:cs="Tahoma"/>
                <w:b/>
                <w:color w:val="000000"/>
                <w:sz w:val="18"/>
                <w:szCs w:val="18"/>
              </w:rPr>
              <w:t>Ukupno</w:t>
            </w:r>
          </w:p>
        </w:tc>
        <w:tc>
          <w:tcPr>
            <w:tcW w:w="588" w:type="pct"/>
            <w:shd w:val="clear" w:color="auto" w:fill="auto"/>
          </w:tcPr>
          <w:p w14:paraId="26D46DD1"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29</w:t>
            </w:r>
          </w:p>
        </w:tc>
        <w:tc>
          <w:tcPr>
            <w:tcW w:w="588" w:type="pct"/>
            <w:shd w:val="clear" w:color="auto" w:fill="auto"/>
          </w:tcPr>
          <w:p w14:paraId="3E85C07F"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2</w:t>
            </w:r>
          </w:p>
        </w:tc>
        <w:tc>
          <w:tcPr>
            <w:tcW w:w="588" w:type="pct"/>
          </w:tcPr>
          <w:p w14:paraId="2C368C40"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1</w:t>
            </w:r>
          </w:p>
        </w:tc>
        <w:tc>
          <w:tcPr>
            <w:tcW w:w="588" w:type="pct"/>
          </w:tcPr>
          <w:p w14:paraId="43AF2AFF"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1</w:t>
            </w:r>
          </w:p>
        </w:tc>
        <w:tc>
          <w:tcPr>
            <w:tcW w:w="588" w:type="pct"/>
          </w:tcPr>
          <w:p w14:paraId="321157DF"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3</w:t>
            </w:r>
          </w:p>
        </w:tc>
        <w:tc>
          <w:tcPr>
            <w:tcW w:w="586" w:type="pct"/>
          </w:tcPr>
          <w:p w14:paraId="5E64DAAE"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1</w:t>
            </w:r>
          </w:p>
        </w:tc>
      </w:tr>
      <w:tr w:rsidR="0018381F" w:rsidRPr="00FD510D" w14:paraId="544F3839" w14:textId="77777777" w:rsidTr="0018381F">
        <w:trPr>
          <w:cantSplit/>
          <w:trHeight w:val="170"/>
        </w:trPr>
        <w:tc>
          <w:tcPr>
            <w:tcW w:w="1473" w:type="pct"/>
          </w:tcPr>
          <w:p w14:paraId="78F7B694" w14:textId="77777777" w:rsidR="0018381F" w:rsidRPr="00FD510D" w:rsidRDefault="0018381F" w:rsidP="0018381F">
            <w:pPr>
              <w:rPr>
                <w:rFonts w:eastAsia="Times New Roman" w:cs="Tahoma"/>
                <w:color w:val="000000"/>
                <w:sz w:val="18"/>
                <w:szCs w:val="18"/>
              </w:rPr>
            </w:pPr>
            <w:r w:rsidRPr="00FD510D">
              <w:rPr>
                <w:rFonts w:eastAsia="Times New Roman" w:cs="Tahoma"/>
                <w:color w:val="000000"/>
                <w:sz w:val="18"/>
                <w:szCs w:val="18"/>
              </w:rPr>
              <w:t>Karlovačka županija</w:t>
            </w:r>
          </w:p>
        </w:tc>
        <w:tc>
          <w:tcPr>
            <w:tcW w:w="588" w:type="pct"/>
            <w:shd w:val="clear" w:color="auto" w:fill="auto"/>
          </w:tcPr>
          <w:p w14:paraId="52244CDE"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54</w:t>
            </w:r>
          </w:p>
        </w:tc>
        <w:tc>
          <w:tcPr>
            <w:tcW w:w="588" w:type="pct"/>
            <w:shd w:val="clear" w:color="auto" w:fill="auto"/>
          </w:tcPr>
          <w:p w14:paraId="55A5B94A"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3</w:t>
            </w:r>
          </w:p>
        </w:tc>
        <w:tc>
          <w:tcPr>
            <w:tcW w:w="588" w:type="pct"/>
          </w:tcPr>
          <w:p w14:paraId="51C22127"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c>
          <w:tcPr>
            <w:tcW w:w="588" w:type="pct"/>
          </w:tcPr>
          <w:p w14:paraId="1F7EA3C5"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c>
          <w:tcPr>
            <w:tcW w:w="588" w:type="pct"/>
          </w:tcPr>
          <w:p w14:paraId="585D84CC"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5</w:t>
            </w:r>
          </w:p>
        </w:tc>
        <w:tc>
          <w:tcPr>
            <w:tcW w:w="586" w:type="pct"/>
          </w:tcPr>
          <w:p w14:paraId="16BC63D9"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r>
    </w:tbl>
    <w:p w14:paraId="7E2CCBFA" w14:textId="77777777" w:rsidR="0018381F" w:rsidRPr="00FD510D" w:rsidRDefault="0018381F" w:rsidP="0018381F">
      <w:pPr>
        <w:jc w:val="left"/>
        <w:rPr>
          <w:rFonts w:cs="Tahoma"/>
          <w:i/>
          <w:color w:val="39617A"/>
          <w:sz w:val="18"/>
          <w:szCs w:val="18"/>
        </w:rPr>
      </w:pPr>
      <w:r w:rsidRPr="00FD510D">
        <w:rPr>
          <w:rFonts w:cs="Tahoma"/>
          <w:i/>
          <w:color w:val="39617A"/>
          <w:sz w:val="18"/>
          <w:szCs w:val="18"/>
        </w:rPr>
        <w:t>* uključuje umjetničke organizacije i trgovačko društvo</w:t>
      </w:r>
    </w:p>
    <w:p w14:paraId="179A3DE5" w14:textId="77777777" w:rsidR="0018381F" w:rsidRPr="00FD510D" w:rsidRDefault="0018381F" w:rsidP="0018381F">
      <w:pPr>
        <w:jc w:val="left"/>
        <w:rPr>
          <w:rFonts w:cs="Tahoma"/>
          <w:color w:val="39617A"/>
          <w:sz w:val="18"/>
          <w:szCs w:val="18"/>
        </w:rPr>
      </w:pPr>
      <w:r w:rsidRPr="00FD510D">
        <w:rPr>
          <w:rFonts w:cs="Tahoma"/>
          <w:color w:val="39617A"/>
          <w:sz w:val="18"/>
          <w:szCs w:val="18"/>
        </w:rPr>
        <w:t>Izvor: Ministarstvo kulture (2019.)</w:t>
      </w:r>
    </w:p>
    <w:p w14:paraId="13452846" w14:textId="77777777" w:rsidR="0018381F" w:rsidRPr="00FD510D" w:rsidRDefault="0018381F" w:rsidP="0018381F"/>
    <w:p w14:paraId="5F26D41A" w14:textId="77777777" w:rsidR="0018381F" w:rsidRPr="00FD510D" w:rsidRDefault="0018381F" w:rsidP="0045746B">
      <w:pPr>
        <w:pStyle w:val="Heading4"/>
      </w:pPr>
      <w:r w:rsidRPr="00FD510D">
        <w:t>Sport i rekreacija</w:t>
      </w:r>
    </w:p>
    <w:p w14:paraId="7CAF2956" w14:textId="1C5C79E3" w:rsidR="0018381F" w:rsidRPr="0045746B" w:rsidRDefault="0018381F" w:rsidP="0045746B">
      <w:r w:rsidRPr="0045746B">
        <w:t xml:space="preserve">Prema podacima Registra sportskih djelatnosti Karlovačke županije vidljivo je kako je od ukupno 193 sportskih pravnih osoba u Županiji </w:t>
      </w:r>
      <w:r w:rsidRPr="0045746B">
        <w:rPr>
          <w:b/>
        </w:rPr>
        <w:t xml:space="preserve">više od 75% registrirano </w:t>
      </w:r>
      <w:r w:rsidR="00841818">
        <w:rPr>
          <w:b/>
        </w:rPr>
        <w:t xml:space="preserve">je </w:t>
      </w:r>
      <w:r w:rsidRPr="0045746B">
        <w:rPr>
          <w:b/>
        </w:rPr>
        <w:t>na području VUP</w:t>
      </w:r>
      <w:r w:rsidR="0045746B">
        <w:rPr>
          <w:b/>
        </w:rPr>
        <w:t>KA</w:t>
      </w:r>
      <w:r w:rsidRPr="0045746B">
        <w:t xml:space="preserve">, od čega </w:t>
      </w:r>
      <w:r w:rsidRPr="00D179A8">
        <w:rPr>
          <w:b/>
        </w:rPr>
        <w:t>110</w:t>
      </w:r>
      <w:r w:rsidRPr="0045746B">
        <w:t xml:space="preserve"> na području Karlovca, </w:t>
      </w:r>
      <w:r w:rsidRPr="00D179A8">
        <w:rPr>
          <w:b/>
        </w:rPr>
        <w:t>28</w:t>
      </w:r>
      <w:r w:rsidRPr="0045746B">
        <w:t xml:space="preserve"> na području Dug</w:t>
      </w:r>
      <w:r w:rsidR="00841818">
        <w:t>e</w:t>
      </w:r>
      <w:r w:rsidRPr="0045746B">
        <w:t xml:space="preserve"> Rese te </w:t>
      </w:r>
      <w:r w:rsidRPr="00D179A8">
        <w:rPr>
          <w:b/>
        </w:rPr>
        <w:t>9</w:t>
      </w:r>
      <w:r w:rsidRPr="0045746B">
        <w:t xml:space="preserve"> u Ozlju. </w:t>
      </w:r>
      <w:r w:rsidR="0045746B">
        <w:t>N</w:t>
      </w:r>
      <w:r w:rsidRPr="0045746B">
        <w:t xml:space="preserve">ajzastupljeniji sport </w:t>
      </w:r>
      <w:r w:rsidR="0045746B">
        <w:t xml:space="preserve">je </w:t>
      </w:r>
      <w:r w:rsidRPr="0045746B">
        <w:t xml:space="preserve">nogomet (10,1%), zatim slijedi streljaštvo (6,5%), dok su kuglanje, planinarenje i taekwondo podjednako zastupljeni s 5,0% udjela u ukupnom broju sportskih klubova. </w:t>
      </w:r>
      <w:r w:rsidR="0045746B">
        <w:t>Na</w:t>
      </w:r>
      <w:r w:rsidRPr="0045746B">
        <w:t xml:space="preserve"> urbanom području </w:t>
      </w:r>
      <w:r w:rsidR="0045746B">
        <w:t xml:space="preserve">također </w:t>
      </w:r>
      <w:r w:rsidR="00841818">
        <w:t xml:space="preserve">djeluju </w:t>
      </w:r>
      <w:r w:rsidRPr="0045746B">
        <w:t>klubovi i udruge (7) koji promiču sportske aktivnosti za osobe s invaliditetom poput Atletskog kluba osoba s invaliditetom Karlovac, Športskog društva slijepih Karlovac, Streljačkog kluba invalidnih osoba Duga Resa i dr. Najmanje sportskih klubova zabilježeno je u sportovima kao što su boks, hokej, veslanje, golf, tenis te ostali borilački sportovi.</w:t>
      </w:r>
    </w:p>
    <w:p w14:paraId="1A67FF21" w14:textId="3FBE6602" w:rsidR="0018381F" w:rsidRPr="0045746B" w:rsidRDefault="0018381F" w:rsidP="0045746B">
      <w:r w:rsidRPr="0045746B">
        <w:lastRenderedPageBreak/>
        <w:t>U cilju unaprjeđenja i razvoja sporta na urbanom području djelu</w:t>
      </w:r>
      <w:r w:rsidR="00841818">
        <w:t>ju i 3 sportske zajednice</w:t>
      </w:r>
      <w:r w:rsidRPr="0045746B">
        <w:t xml:space="preserve">: Karlovačka sportska zajednica (115 klubova / udruga), Športska zajednica Grada Duge Rese (27 klubova / udruga) i Zajednica sportskih udruga Grada Ozlja (11 klubova / udruga) koje predstavljaju 3 od sveukupno 5 gradskih sportskih zajednica na području Karlovačke županije. </w:t>
      </w:r>
    </w:p>
    <w:p w14:paraId="76A6D4BB" w14:textId="21DADAA3" w:rsidR="0045746B" w:rsidRDefault="0018381F" w:rsidP="0045746B">
      <w:r w:rsidRPr="0045746B">
        <w:t>Na urbanom području postoji sportska infrastruktura koja služi potrebama građana, kako za profesionalno bavljenje sportom tako i za svim ostalim rekreativnim aktivnostima</w:t>
      </w:r>
      <w:r w:rsidR="005C1A5C">
        <w:t>. Međutim</w:t>
      </w:r>
      <w:r w:rsidR="00192EA4">
        <w:t>, postoje potrebe za unapr</w:t>
      </w:r>
      <w:r w:rsidR="00D179A8">
        <w:t>jeđenjem iste, naročito u smislu uređenja postojeće infrastrukture, kao i izgradnje manjih sportskih dvorana za potrebe osnovnih škola</w:t>
      </w:r>
      <w:r w:rsidRPr="0045746B">
        <w:t xml:space="preserve">. </w:t>
      </w:r>
      <w:r w:rsidR="00D179A8">
        <w:t xml:space="preserve">Nadalje, zahvaljujući svojem prirodnom položaju, sva tri grada imaju potrebe za uređenjem gradskih kupališta </w:t>
      </w:r>
      <w:r w:rsidR="00705AE3">
        <w:t xml:space="preserve">i šetnica </w:t>
      </w:r>
      <w:r w:rsidR="00D179A8">
        <w:t>na Kupi, Korani i Mrežnici.</w:t>
      </w:r>
    </w:p>
    <w:p w14:paraId="646B7E4F" w14:textId="77777777" w:rsidR="0018381F" w:rsidRPr="0045746B" w:rsidRDefault="0018381F" w:rsidP="0045746B"/>
    <w:p w14:paraId="0AD99171" w14:textId="77777777" w:rsidR="0018381F" w:rsidRPr="00FD510D" w:rsidRDefault="0018381F" w:rsidP="00D179A8">
      <w:pPr>
        <w:pStyle w:val="Heading4"/>
      </w:pPr>
      <w:r w:rsidRPr="00FD510D">
        <w:t xml:space="preserve">Civilno društvo </w:t>
      </w:r>
    </w:p>
    <w:p w14:paraId="4C5DA0D5" w14:textId="02A5D652" w:rsidR="0018381F" w:rsidRPr="00D179A8" w:rsidRDefault="00D179A8" w:rsidP="00D179A8">
      <w:r>
        <w:t>O</w:t>
      </w:r>
      <w:r w:rsidR="0018381F" w:rsidRPr="00D179A8">
        <w:t xml:space="preserve">rganizacije civilnih društva imaju značajnu ulogu u </w:t>
      </w:r>
      <w:r>
        <w:t>zadovoljenju</w:t>
      </w:r>
      <w:r w:rsidR="0018381F" w:rsidRPr="00D179A8">
        <w:t xml:space="preserve"> društvenih potreba, a osobito kroz identifikaciju problema na lokalnoj razini te njihovom aktualizacijom i rješavanjem kroz suradnju s ostalim relevantnim sudionicima</w:t>
      </w:r>
      <w:r w:rsidR="005C1A5C">
        <w:t>,</w:t>
      </w:r>
      <w:r w:rsidR="0018381F" w:rsidRPr="00D179A8">
        <w:t xml:space="preserve"> uključujući i nositelje lokalnih politika, javne ustanove te privatni sektor. </w:t>
      </w:r>
      <w:r>
        <w:t>U</w:t>
      </w:r>
      <w:r w:rsidR="0018381F" w:rsidRPr="00D179A8">
        <w:t xml:space="preserve"> Regi</w:t>
      </w:r>
      <w:r>
        <w:t>stru udruga Republike Hrvatske na dan 20.3.2019.</w:t>
      </w:r>
      <w:r w:rsidR="0018381F" w:rsidRPr="00D179A8">
        <w:t xml:space="preserve"> ukupno </w:t>
      </w:r>
      <w:r>
        <w:t xml:space="preserve">je </w:t>
      </w:r>
      <w:r w:rsidR="0018381F" w:rsidRPr="00D179A8">
        <w:t xml:space="preserve">bilo upisano </w:t>
      </w:r>
      <w:r w:rsidR="0018381F" w:rsidRPr="00D179A8">
        <w:rPr>
          <w:b/>
        </w:rPr>
        <w:t>857 udruga</w:t>
      </w:r>
      <w:r w:rsidR="0018381F" w:rsidRPr="00D179A8">
        <w:t xml:space="preserve"> koje imaju sjedište na području VUP-a Karlovac</w:t>
      </w:r>
      <w:r w:rsidR="005C1A5C">
        <w:t>,</w:t>
      </w:r>
      <w:r w:rsidR="0018381F" w:rsidRPr="00D179A8">
        <w:t xml:space="preserve"> što čini </w:t>
      </w:r>
      <w:r w:rsidR="0018381F" w:rsidRPr="00D179A8">
        <w:rPr>
          <w:b/>
        </w:rPr>
        <w:t>62,4% od sveukupnog broja udruga sa sjedištem u Karlovačkoj županiji</w:t>
      </w:r>
      <w:r w:rsidR="0018381F" w:rsidRPr="00D179A8">
        <w:t xml:space="preserve"> (1.373). Uspoređujući broj udruga s brojem stanovnika urbanog područja</w:t>
      </w:r>
      <w:r w:rsidR="005C1A5C">
        <w:t>,</w:t>
      </w:r>
      <w:r w:rsidR="0018381F" w:rsidRPr="00D179A8">
        <w:t xml:space="preserve"> može se uočiti kako na 1.000 stanovnika u prosjeku dolazi 11,6 udruga što je nešto više od omjera na županijskoj razini (10,7), a što je i očekivano s obzirom </w:t>
      </w:r>
      <w:r w:rsidR="005C1A5C">
        <w:t xml:space="preserve">na to da VUPKA </w:t>
      </w:r>
      <w:r w:rsidR="0018381F" w:rsidRPr="00D179A8">
        <w:t>u svom sastavu broji 3 od sveukupno 5 gradova u Županiji te pretpostavlja povećanu aktivnost građana i njihovu participaciju u društvenim procesima.</w:t>
      </w:r>
    </w:p>
    <w:p w14:paraId="132B332D" w14:textId="5453C3BE" w:rsidR="0018381F" w:rsidRPr="00D179A8" w:rsidRDefault="0018381F" w:rsidP="00D179A8">
      <w:r w:rsidRPr="00D179A8">
        <w:t>Prema području djelovanja</w:t>
      </w:r>
      <w:r w:rsidR="005C1A5C">
        <w:t>,</w:t>
      </w:r>
      <w:r w:rsidRPr="00D179A8">
        <w:t xml:space="preserve"> najviše je udruga registriranih u području sporta i rekreacije (23,8%), zatim slijede udruge koje djeluju na području kulture i umjetnosti (11,7%), udruge koje su aktivne u području socijalnih djelatnosti (9,1%) te u području obrazovanja, znanosti i istraživanja (7,4%). Opisana distribucija uvelike prati strukturu na županijskoj razini</w:t>
      </w:r>
      <w:r w:rsidR="005C1A5C">
        <w:t>,</w:t>
      </w:r>
      <w:r w:rsidRPr="00D179A8">
        <w:t xml:space="preserve"> gdje je primjetna nešto veća zastupljenost udru</w:t>
      </w:r>
      <w:r w:rsidR="00D179A8">
        <w:t xml:space="preserve">ga u djelatnosti gospodarstva. </w:t>
      </w:r>
    </w:p>
    <w:p w14:paraId="7B56FC1E" w14:textId="77777777" w:rsidR="0018381F" w:rsidRPr="00FD510D" w:rsidRDefault="0018381F" w:rsidP="0018381F">
      <w:pPr>
        <w:pStyle w:val="Caption"/>
      </w:pPr>
      <w:bookmarkStart w:id="27" w:name="_Toc420581436"/>
      <w:bookmarkStart w:id="28" w:name="_Toc437387485"/>
      <w:r w:rsidRPr="00FD510D">
        <w:t xml:space="preserve">Tablica </w:t>
      </w:r>
      <w:r>
        <w:fldChar w:fldCharType="begin"/>
      </w:r>
      <w:r>
        <w:instrText xml:space="preserve"> SEQ Tablica \* ARABIC </w:instrText>
      </w:r>
      <w:r>
        <w:fldChar w:fldCharType="separate"/>
      </w:r>
      <w:r w:rsidR="001358A9">
        <w:rPr>
          <w:noProof/>
        </w:rPr>
        <w:t>13</w:t>
      </w:r>
      <w:r>
        <w:rPr>
          <w:noProof/>
        </w:rPr>
        <w:fldChar w:fldCharType="end"/>
      </w:r>
      <w:r w:rsidRPr="00FD510D">
        <w:t>. Broj udruga VUP-a Karlovac s obzirom na područje djelovanja</w:t>
      </w:r>
      <w:bookmarkEnd w:id="27"/>
      <w:bookmarkEnd w:id="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9"/>
        <w:gridCol w:w="1241"/>
        <w:gridCol w:w="1093"/>
        <w:gridCol w:w="1170"/>
        <w:gridCol w:w="1316"/>
        <w:gridCol w:w="1461"/>
        <w:gridCol w:w="1164"/>
      </w:tblGrid>
      <w:tr w:rsidR="0018381F" w:rsidRPr="00FD510D" w14:paraId="162B48B1" w14:textId="77777777" w:rsidTr="0018381F">
        <w:trPr>
          <w:cantSplit/>
          <w:trHeight w:val="170"/>
        </w:trPr>
        <w:tc>
          <w:tcPr>
            <w:tcW w:w="1016" w:type="pct"/>
            <w:shd w:val="clear" w:color="auto" w:fill="39617A"/>
            <w:vAlign w:val="center"/>
          </w:tcPr>
          <w:p w14:paraId="531302A2"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Područje djelovanja</w:t>
            </w:r>
          </w:p>
        </w:tc>
        <w:tc>
          <w:tcPr>
            <w:tcW w:w="664" w:type="pct"/>
            <w:shd w:val="clear" w:color="auto" w:fill="39617A"/>
            <w:vAlign w:val="center"/>
          </w:tcPr>
          <w:p w14:paraId="1B58E4E2"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Sport</w:t>
            </w:r>
          </w:p>
        </w:tc>
        <w:tc>
          <w:tcPr>
            <w:tcW w:w="585" w:type="pct"/>
            <w:shd w:val="clear" w:color="auto" w:fill="39617A"/>
            <w:vAlign w:val="center"/>
          </w:tcPr>
          <w:p w14:paraId="3C517863"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Kultura i umjetnost</w:t>
            </w:r>
          </w:p>
        </w:tc>
        <w:tc>
          <w:tcPr>
            <w:tcW w:w="626" w:type="pct"/>
            <w:shd w:val="clear" w:color="auto" w:fill="39617A"/>
            <w:vAlign w:val="center"/>
          </w:tcPr>
          <w:p w14:paraId="1C842FFB"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Socijalna djelatnost</w:t>
            </w:r>
          </w:p>
        </w:tc>
        <w:tc>
          <w:tcPr>
            <w:tcW w:w="704" w:type="pct"/>
            <w:shd w:val="clear" w:color="auto" w:fill="39617A"/>
            <w:vAlign w:val="center"/>
          </w:tcPr>
          <w:p w14:paraId="163164A3"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Obrazovanje, znanost i istraživanje</w:t>
            </w:r>
          </w:p>
        </w:tc>
        <w:tc>
          <w:tcPr>
            <w:tcW w:w="782" w:type="pct"/>
            <w:shd w:val="clear" w:color="auto" w:fill="39617A"/>
            <w:vAlign w:val="center"/>
          </w:tcPr>
          <w:p w14:paraId="7FEE7A62"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Gospodarstvo</w:t>
            </w:r>
          </w:p>
        </w:tc>
        <w:tc>
          <w:tcPr>
            <w:tcW w:w="623" w:type="pct"/>
            <w:shd w:val="clear" w:color="auto" w:fill="39617A"/>
            <w:vAlign w:val="center"/>
          </w:tcPr>
          <w:p w14:paraId="7AD9F224"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Ostala područja</w:t>
            </w:r>
          </w:p>
        </w:tc>
      </w:tr>
      <w:tr w:rsidR="0018381F" w:rsidRPr="00FD510D" w14:paraId="1D551D14" w14:textId="77777777" w:rsidTr="0018381F">
        <w:trPr>
          <w:cantSplit/>
          <w:trHeight w:val="170"/>
        </w:trPr>
        <w:tc>
          <w:tcPr>
            <w:tcW w:w="1016" w:type="pct"/>
          </w:tcPr>
          <w:p w14:paraId="15905A49" w14:textId="77777777" w:rsidR="0018381F" w:rsidRPr="00FD510D" w:rsidRDefault="0018381F" w:rsidP="0018381F">
            <w:pPr>
              <w:rPr>
                <w:rFonts w:eastAsia="Times New Roman" w:cs="Tahoma"/>
                <w:color w:val="000000"/>
                <w:sz w:val="18"/>
                <w:szCs w:val="18"/>
              </w:rPr>
            </w:pPr>
            <w:r w:rsidRPr="00FD510D">
              <w:rPr>
                <w:rFonts w:eastAsia="Times New Roman" w:cs="Tahoma"/>
                <w:color w:val="000000"/>
                <w:sz w:val="18"/>
                <w:szCs w:val="18"/>
              </w:rPr>
              <w:t>Karlovac</w:t>
            </w:r>
          </w:p>
        </w:tc>
        <w:tc>
          <w:tcPr>
            <w:tcW w:w="664" w:type="pct"/>
            <w:shd w:val="clear" w:color="auto" w:fill="auto"/>
          </w:tcPr>
          <w:p w14:paraId="5DE46DE5"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200</w:t>
            </w:r>
          </w:p>
        </w:tc>
        <w:tc>
          <w:tcPr>
            <w:tcW w:w="585" w:type="pct"/>
            <w:shd w:val="clear" w:color="auto" w:fill="auto"/>
          </w:tcPr>
          <w:p w14:paraId="1F58E00E"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102</w:t>
            </w:r>
          </w:p>
        </w:tc>
        <w:tc>
          <w:tcPr>
            <w:tcW w:w="626" w:type="pct"/>
          </w:tcPr>
          <w:p w14:paraId="2F984836"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75</w:t>
            </w:r>
          </w:p>
        </w:tc>
        <w:tc>
          <w:tcPr>
            <w:tcW w:w="704" w:type="pct"/>
          </w:tcPr>
          <w:p w14:paraId="00171244"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63</w:t>
            </w:r>
          </w:p>
        </w:tc>
        <w:tc>
          <w:tcPr>
            <w:tcW w:w="782" w:type="pct"/>
          </w:tcPr>
          <w:p w14:paraId="10247B98"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40</w:t>
            </w:r>
          </w:p>
        </w:tc>
        <w:tc>
          <w:tcPr>
            <w:tcW w:w="623" w:type="pct"/>
          </w:tcPr>
          <w:p w14:paraId="62A6353C"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347</w:t>
            </w:r>
          </w:p>
        </w:tc>
      </w:tr>
      <w:tr w:rsidR="0018381F" w:rsidRPr="00FD510D" w14:paraId="6BC00F39" w14:textId="77777777" w:rsidTr="0018381F">
        <w:trPr>
          <w:cantSplit/>
          <w:trHeight w:val="170"/>
        </w:trPr>
        <w:tc>
          <w:tcPr>
            <w:tcW w:w="1016" w:type="pct"/>
          </w:tcPr>
          <w:p w14:paraId="65494734" w14:textId="77777777" w:rsidR="0018381F" w:rsidRPr="00FD510D" w:rsidRDefault="0018381F" w:rsidP="0018381F">
            <w:pPr>
              <w:rPr>
                <w:rFonts w:eastAsia="Times New Roman" w:cs="Tahoma"/>
                <w:color w:val="000000"/>
                <w:sz w:val="18"/>
                <w:szCs w:val="18"/>
              </w:rPr>
            </w:pPr>
            <w:r w:rsidRPr="00FD510D">
              <w:rPr>
                <w:rFonts w:eastAsia="Times New Roman" w:cs="Tahoma"/>
                <w:color w:val="000000"/>
                <w:sz w:val="18"/>
                <w:szCs w:val="18"/>
              </w:rPr>
              <w:t>Duga Resa</w:t>
            </w:r>
          </w:p>
        </w:tc>
        <w:tc>
          <w:tcPr>
            <w:tcW w:w="664" w:type="pct"/>
            <w:shd w:val="clear" w:color="auto" w:fill="auto"/>
          </w:tcPr>
          <w:p w14:paraId="473D85E9"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34</w:t>
            </w:r>
          </w:p>
        </w:tc>
        <w:tc>
          <w:tcPr>
            <w:tcW w:w="585" w:type="pct"/>
            <w:shd w:val="clear" w:color="auto" w:fill="auto"/>
          </w:tcPr>
          <w:p w14:paraId="1E470454"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11</w:t>
            </w:r>
          </w:p>
        </w:tc>
        <w:tc>
          <w:tcPr>
            <w:tcW w:w="626" w:type="pct"/>
          </w:tcPr>
          <w:p w14:paraId="257DC556"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8</w:t>
            </w:r>
          </w:p>
        </w:tc>
        <w:tc>
          <w:tcPr>
            <w:tcW w:w="704" w:type="pct"/>
          </w:tcPr>
          <w:p w14:paraId="65083E45"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7</w:t>
            </w:r>
          </w:p>
        </w:tc>
        <w:tc>
          <w:tcPr>
            <w:tcW w:w="782" w:type="pct"/>
          </w:tcPr>
          <w:p w14:paraId="0849C898"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6</w:t>
            </w:r>
          </w:p>
        </w:tc>
        <w:tc>
          <w:tcPr>
            <w:tcW w:w="623" w:type="pct"/>
          </w:tcPr>
          <w:p w14:paraId="11A1156F"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50</w:t>
            </w:r>
          </w:p>
        </w:tc>
      </w:tr>
      <w:tr w:rsidR="0018381F" w:rsidRPr="00FD510D" w14:paraId="50939597" w14:textId="77777777" w:rsidTr="0018381F">
        <w:trPr>
          <w:cantSplit/>
          <w:trHeight w:val="170"/>
        </w:trPr>
        <w:tc>
          <w:tcPr>
            <w:tcW w:w="1016" w:type="pct"/>
          </w:tcPr>
          <w:p w14:paraId="4214FDFC" w14:textId="77777777" w:rsidR="0018381F" w:rsidRPr="00FD510D" w:rsidRDefault="0018381F" w:rsidP="0018381F">
            <w:pPr>
              <w:rPr>
                <w:rFonts w:eastAsia="Times New Roman" w:cs="Tahoma"/>
                <w:color w:val="000000"/>
                <w:sz w:val="18"/>
                <w:szCs w:val="18"/>
              </w:rPr>
            </w:pPr>
            <w:r w:rsidRPr="00FD510D">
              <w:rPr>
                <w:rFonts w:eastAsia="Times New Roman" w:cs="Tahoma"/>
                <w:color w:val="000000"/>
                <w:sz w:val="18"/>
                <w:szCs w:val="18"/>
              </w:rPr>
              <w:t>Ozalj</w:t>
            </w:r>
          </w:p>
        </w:tc>
        <w:tc>
          <w:tcPr>
            <w:tcW w:w="664" w:type="pct"/>
            <w:shd w:val="clear" w:color="auto" w:fill="auto"/>
          </w:tcPr>
          <w:p w14:paraId="3A608530"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14</w:t>
            </w:r>
          </w:p>
        </w:tc>
        <w:tc>
          <w:tcPr>
            <w:tcW w:w="585" w:type="pct"/>
            <w:shd w:val="clear" w:color="auto" w:fill="auto"/>
          </w:tcPr>
          <w:p w14:paraId="23E257B5"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9</w:t>
            </w:r>
          </w:p>
        </w:tc>
        <w:tc>
          <w:tcPr>
            <w:tcW w:w="626" w:type="pct"/>
          </w:tcPr>
          <w:p w14:paraId="3D4B895B"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12</w:t>
            </w:r>
          </w:p>
        </w:tc>
        <w:tc>
          <w:tcPr>
            <w:tcW w:w="704" w:type="pct"/>
          </w:tcPr>
          <w:p w14:paraId="15E1304B"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7</w:t>
            </w:r>
          </w:p>
        </w:tc>
        <w:tc>
          <w:tcPr>
            <w:tcW w:w="782" w:type="pct"/>
          </w:tcPr>
          <w:p w14:paraId="7B06649D"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12</w:t>
            </w:r>
          </w:p>
        </w:tc>
        <w:tc>
          <w:tcPr>
            <w:tcW w:w="623" w:type="pct"/>
          </w:tcPr>
          <w:p w14:paraId="3F4EE428"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43</w:t>
            </w:r>
          </w:p>
        </w:tc>
      </w:tr>
      <w:tr w:rsidR="0018381F" w:rsidRPr="00FD510D" w14:paraId="341071A2" w14:textId="77777777" w:rsidTr="0018381F">
        <w:trPr>
          <w:cantSplit/>
          <w:trHeight w:val="170"/>
        </w:trPr>
        <w:tc>
          <w:tcPr>
            <w:tcW w:w="1016" w:type="pct"/>
          </w:tcPr>
          <w:p w14:paraId="48DEB180" w14:textId="77777777" w:rsidR="0018381F" w:rsidRPr="00FD510D" w:rsidRDefault="0018381F" w:rsidP="0018381F">
            <w:pPr>
              <w:rPr>
                <w:rFonts w:eastAsia="Times New Roman" w:cs="Tahoma"/>
                <w:b/>
                <w:color w:val="000000"/>
                <w:sz w:val="18"/>
                <w:szCs w:val="18"/>
              </w:rPr>
            </w:pPr>
            <w:r w:rsidRPr="00FD510D">
              <w:rPr>
                <w:rFonts w:eastAsia="Times New Roman" w:cs="Tahoma"/>
                <w:b/>
                <w:color w:val="000000"/>
                <w:sz w:val="18"/>
                <w:szCs w:val="18"/>
              </w:rPr>
              <w:t>Ukupno</w:t>
            </w:r>
          </w:p>
        </w:tc>
        <w:tc>
          <w:tcPr>
            <w:tcW w:w="664" w:type="pct"/>
            <w:shd w:val="clear" w:color="auto" w:fill="auto"/>
          </w:tcPr>
          <w:p w14:paraId="224C47B4"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248</w:t>
            </w:r>
          </w:p>
        </w:tc>
        <w:tc>
          <w:tcPr>
            <w:tcW w:w="585" w:type="pct"/>
            <w:shd w:val="clear" w:color="auto" w:fill="auto"/>
          </w:tcPr>
          <w:p w14:paraId="636793D0"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122</w:t>
            </w:r>
          </w:p>
        </w:tc>
        <w:tc>
          <w:tcPr>
            <w:tcW w:w="626" w:type="pct"/>
          </w:tcPr>
          <w:p w14:paraId="179E8116"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95</w:t>
            </w:r>
          </w:p>
        </w:tc>
        <w:tc>
          <w:tcPr>
            <w:tcW w:w="704" w:type="pct"/>
          </w:tcPr>
          <w:p w14:paraId="36CAD966"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77</w:t>
            </w:r>
          </w:p>
        </w:tc>
        <w:tc>
          <w:tcPr>
            <w:tcW w:w="782" w:type="pct"/>
          </w:tcPr>
          <w:p w14:paraId="1F02DE92"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58</w:t>
            </w:r>
          </w:p>
        </w:tc>
        <w:tc>
          <w:tcPr>
            <w:tcW w:w="623" w:type="pct"/>
          </w:tcPr>
          <w:p w14:paraId="4C214993"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440</w:t>
            </w:r>
          </w:p>
        </w:tc>
      </w:tr>
      <w:tr w:rsidR="0018381F" w:rsidRPr="00FD510D" w14:paraId="4FBC1598" w14:textId="77777777" w:rsidTr="0018381F">
        <w:trPr>
          <w:cantSplit/>
          <w:trHeight w:val="170"/>
        </w:trPr>
        <w:tc>
          <w:tcPr>
            <w:tcW w:w="1016" w:type="pct"/>
          </w:tcPr>
          <w:p w14:paraId="75E41689" w14:textId="77777777" w:rsidR="0018381F" w:rsidRPr="00FD510D" w:rsidRDefault="0018381F" w:rsidP="0018381F">
            <w:pPr>
              <w:rPr>
                <w:rFonts w:eastAsia="Times New Roman" w:cs="Tahoma"/>
                <w:color w:val="000000"/>
                <w:sz w:val="18"/>
                <w:szCs w:val="18"/>
              </w:rPr>
            </w:pPr>
            <w:r w:rsidRPr="00FD510D">
              <w:rPr>
                <w:rFonts w:eastAsia="Times New Roman" w:cs="Tahoma"/>
                <w:color w:val="000000"/>
                <w:sz w:val="18"/>
                <w:szCs w:val="18"/>
              </w:rPr>
              <w:t>Karlovačka županija</w:t>
            </w:r>
          </w:p>
        </w:tc>
        <w:tc>
          <w:tcPr>
            <w:tcW w:w="664" w:type="pct"/>
            <w:shd w:val="clear" w:color="auto" w:fill="auto"/>
          </w:tcPr>
          <w:p w14:paraId="4A4178EF"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359</w:t>
            </w:r>
          </w:p>
        </w:tc>
        <w:tc>
          <w:tcPr>
            <w:tcW w:w="585" w:type="pct"/>
            <w:shd w:val="clear" w:color="auto" w:fill="auto"/>
          </w:tcPr>
          <w:p w14:paraId="4CC949B5"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193</w:t>
            </w:r>
          </w:p>
        </w:tc>
        <w:tc>
          <w:tcPr>
            <w:tcW w:w="626" w:type="pct"/>
          </w:tcPr>
          <w:p w14:paraId="611D7945"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143</w:t>
            </w:r>
          </w:p>
        </w:tc>
        <w:tc>
          <w:tcPr>
            <w:tcW w:w="704" w:type="pct"/>
          </w:tcPr>
          <w:p w14:paraId="42C24813"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103</w:t>
            </w:r>
          </w:p>
        </w:tc>
        <w:tc>
          <w:tcPr>
            <w:tcW w:w="782" w:type="pct"/>
          </w:tcPr>
          <w:p w14:paraId="3253CBFB"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114</w:t>
            </w:r>
          </w:p>
        </w:tc>
        <w:tc>
          <w:tcPr>
            <w:tcW w:w="623" w:type="pct"/>
          </w:tcPr>
          <w:p w14:paraId="53C5362C"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701</w:t>
            </w:r>
          </w:p>
        </w:tc>
      </w:tr>
    </w:tbl>
    <w:p w14:paraId="7D95395D" w14:textId="77777777" w:rsidR="0018381F" w:rsidRPr="00FD510D" w:rsidRDefault="0018381F" w:rsidP="0018381F">
      <w:pPr>
        <w:jc w:val="left"/>
        <w:rPr>
          <w:rFonts w:cs="Tahoma"/>
          <w:color w:val="39617A"/>
          <w:sz w:val="18"/>
          <w:szCs w:val="18"/>
        </w:rPr>
      </w:pPr>
      <w:r w:rsidRPr="00FD510D">
        <w:rPr>
          <w:rFonts w:cs="Tahoma"/>
          <w:color w:val="39617A"/>
          <w:sz w:val="18"/>
          <w:szCs w:val="18"/>
        </w:rPr>
        <w:t>Izvor: Registar udruga Republike Hrvatske (2019.)</w:t>
      </w:r>
    </w:p>
    <w:p w14:paraId="2A817027" w14:textId="77777777" w:rsidR="0018381F" w:rsidRPr="00FD510D" w:rsidRDefault="0018381F" w:rsidP="0018381F">
      <w:pPr>
        <w:rPr>
          <w:sz w:val="20"/>
          <w:szCs w:val="20"/>
        </w:rPr>
      </w:pPr>
    </w:p>
    <w:p w14:paraId="42B84888" w14:textId="77777777" w:rsidR="0018381F" w:rsidRPr="00FD510D" w:rsidRDefault="0018381F" w:rsidP="00D179A8">
      <w:pPr>
        <w:pStyle w:val="Heading4"/>
      </w:pPr>
      <w:r w:rsidRPr="00FD510D">
        <w:t>Sigurnost stanovništva i zaštita imovine</w:t>
      </w:r>
    </w:p>
    <w:p w14:paraId="4B28B745" w14:textId="60B15F3F" w:rsidR="00922512" w:rsidRPr="000C1ED2" w:rsidRDefault="00922512" w:rsidP="00922512">
      <w:r w:rsidRPr="000C1ED2">
        <w:t xml:space="preserve">Prema posljednjem </w:t>
      </w:r>
      <w:r>
        <w:t xml:space="preserve">provedenom </w:t>
      </w:r>
      <w:r w:rsidRPr="000C1ED2">
        <w:rPr>
          <w:b/>
        </w:rPr>
        <w:t>istraživanju o sigurnosti gradova</w:t>
      </w:r>
      <w:r w:rsidRPr="000C1ED2">
        <w:t xml:space="preserve">, u 2017. godini, Karlovac kao središte urbanog područja </w:t>
      </w:r>
      <w:r w:rsidR="005C1A5C" w:rsidRPr="000C1ED2">
        <w:t>u ukupnom broju kaznenih djela</w:t>
      </w:r>
      <w:r w:rsidR="005C1A5C">
        <w:t xml:space="preserve"> zauzima nezahvalno 23. mjesto, </w:t>
      </w:r>
      <w:r w:rsidR="005C1A5C" w:rsidRPr="000C1ED2">
        <w:t xml:space="preserve"> </w:t>
      </w:r>
      <w:r w:rsidRPr="000C1ED2">
        <w:t>s 3,02 kaznena d</w:t>
      </w:r>
      <w:r w:rsidR="005C1A5C">
        <w:t xml:space="preserve">jela na 1.000 stanovnika. </w:t>
      </w:r>
      <w:r w:rsidRPr="000C1ED2">
        <w:t xml:space="preserve">Međutim, u odnosu na prethodnu 2016. godinu, sigurnosna se situacija popravila s obzirom </w:t>
      </w:r>
      <w:r w:rsidR="005C1A5C">
        <w:t xml:space="preserve">na to </w:t>
      </w:r>
      <w:r w:rsidRPr="000C1ED2">
        <w:t xml:space="preserve">da je Karlovac </w:t>
      </w:r>
      <w:r w:rsidR="005C1A5C">
        <w:t>u toj godini</w:t>
      </w:r>
      <w:r w:rsidRPr="000C1ED2">
        <w:t xml:space="preserve"> bio rangiran gotovo na samom dnu ljestvice, tj. na 27. mjestu od ukupno 29 najvećih hrvatskih gradova. Navedeno potvrđuju i podaci </w:t>
      </w:r>
      <w:r w:rsidRPr="000C1ED2">
        <w:lastRenderedPageBreak/>
        <w:t xml:space="preserve">nadležnih policijskih postaja (PP Duga Resa, PP Karlovac i PP Ozalj) o </w:t>
      </w:r>
      <w:r w:rsidR="005C1A5C">
        <w:t>broju</w:t>
      </w:r>
      <w:r w:rsidRPr="000C1ED2">
        <w:t xml:space="preserve"> prijavljenih kaznenih djela </w:t>
      </w:r>
      <w:r w:rsidR="005C1A5C">
        <w:t>koji se</w:t>
      </w:r>
      <w:r w:rsidRPr="000C1ED2">
        <w:t xml:space="preserve"> nakon 2014. </w:t>
      </w:r>
      <w:r w:rsidR="005C1A5C">
        <w:t xml:space="preserve">godine </w:t>
      </w:r>
      <w:r w:rsidRPr="000C1ED2">
        <w:t xml:space="preserve">ponovo počeo normalizirati te do 2017. bilježi pad po prosječnoj godišnjoj stopi od 9,0%. Slična kretanja prisutna su i na županijskoj razini, s iznimkom područja pod nadležnosti PP Ozalj na kojem </w:t>
      </w:r>
      <w:r w:rsidR="005C1A5C">
        <w:t xml:space="preserve">je </w:t>
      </w:r>
      <w:r w:rsidRPr="000C1ED2">
        <w:t>primijećen porast broja prijavljenih kaznenih djela.</w:t>
      </w:r>
    </w:p>
    <w:p w14:paraId="740B9FEA" w14:textId="77777777" w:rsidR="00922512" w:rsidRPr="00FD510D" w:rsidRDefault="00922512" w:rsidP="00922512">
      <w:pPr>
        <w:pStyle w:val="Caption"/>
      </w:pPr>
      <w:bookmarkStart w:id="29" w:name="_Toc437387486"/>
      <w:bookmarkStart w:id="30" w:name="_Toc420581431"/>
      <w:r w:rsidRPr="00FD510D">
        <w:t xml:space="preserve">Tablica </w:t>
      </w:r>
      <w:r>
        <w:fldChar w:fldCharType="begin"/>
      </w:r>
      <w:r>
        <w:instrText xml:space="preserve"> SEQ Tablica \* ARABIC </w:instrText>
      </w:r>
      <w:r>
        <w:fldChar w:fldCharType="separate"/>
      </w:r>
      <w:r>
        <w:rPr>
          <w:noProof/>
        </w:rPr>
        <w:t>13</w:t>
      </w:r>
      <w:r>
        <w:rPr>
          <w:noProof/>
        </w:rPr>
        <w:fldChar w:fldCharType="end"/>
      </w:r>
      <w:r w:rsidRPr="00FD510D">
        <w:t xml:space="preserve">. </w:t>
      </w:r>
      <w:r>
        <w:t>Broj prijavljenih kaznenih dijela</w:t>
      </w:r>
      <w:r w:rsidRPr="00FD510D">
        <w:t xml:space="preserve"> na području VUP-a Karlovac</w:t>
      </w:r>
      <w:bookmarkEnd w:id="29"/>
      <w:r w:rsidRPr="00FD510D">
        <w:t xml:space="preserve"> </w:t>
      </w:r>
      <w:bookmarkEnd w:id="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0"/>
        <w:gridCol w:w="1244"/>
        <w:gridCol w:w="1245"/>
        <w:gridCol w:w="1245"/>
        <w:gridCol w:w="1245"/>
        <w:gridCol w:w="1245"/>
      </w:tblGrid>
      <w:tr w:rsidR="00922512" w:rsidRPr="00FD510D" w14:paraId="45E538DE" w14:textId="77777777" w:rsidTr="00922512">
        <w:trPr>
          <w:cantSplit/>
          <w:trHeight w:val="170"/>
        </w:trPr>
        <w:tc>
          <w:tcPr>
            <w:tcW w:w="1670" w:type="pct"/>
            <w:shd w:val="clear" w:color="auto" w:fill="39617A"/>
            <w:vAlign w:val="center"/>
          </w:tcPr>
          <w:p w14:paraId="7D02C9A4" w14:textId="77777777" w:rsidR="00922512" w:rsidRPr="00FD510D" w:rsidRDefault="00922512" w:rsidP="00922512">
            <w:pPr>
              <w:jc w:val="center"/>
              <w:rPr>
                <w:rFonts w:eastAsia="Times New Roman" w:cs="Tahoma"/>
                <w:color w:val="FFFFFF"/>
                <w:sz w:val="18"/>
                <w:szCs w:val="18"/>
              </w:rPr>
            </w:pPr>
            <w:r w:rsidRPr="00FD510D">
              <w:rPr>
                <w:rFonts w:eastAsia="Times New Roman" w:cs="Tahoma"/>
                <w:color w:val="FFFFFF"/>
                <w:sz w:val="18"/>
                <w:szCs w:val="18"/>
              </w:rPr>
              <w:t>Policijska postaja</w:t>
            </w:r>
          </w:p>
        </w:tc>
        <w:tc>
          <w:tcPr>
            <w:tcW w:w="666" w:type="pct"/>
            <w:shd w:val="clear" w:color="auto" w:fill="39617A"/>
            <w:vAlign w:val="center"/>
          </w:tcPr>
          <w:p w14:paraId="6EFE9FAC" w14:textId="77777777" w:rsidR="00922512" w:rsidRPr="00FD510D" w:rsidRDefault="00922512" w:rsidP="00922512">
            <w:pPr>
              <w:jc w:val="center"/>
              <w:rPr>
                <w:rFonts w:eastAsia="Times New Roman" w:cs="Tahoma"/>
                <w:color w:val="FFFFFF"/>
                <w:sz w:val="18"/>
                <w:szCs w:val="18"/>
              </w:rPr>
            </w:pPr>
            <w:r w:rsidRPr="00FD510D">
              <w:rPr>
                <w:rFonts w:eastAsia="Times New Roman" w:cs="Tahoma"/>
                <w:color w:val="FFFFFF"/>
                <w:sz w:val="18"/>
                <w:szCs w:val="18"/>
              </w:rPr>
              <w:t>2013.</w:t>
            </w:r>
          </w:p>
        </w:tc>
        <w:tc>
          <w:tcPr>
            <w:tcW w:w="666" w:type="pct"/>
            <w:shd w:val="clear" w:color="auto" w:fill="39617A"/>
            <w:vAlign w:val="center"/>
          </w:tcPr>
          <w:p w14:paraId="39407681" w14:textId="77777777" w:rsidR="00922512" w:rsidRPr="00FD510D" w:rsidRDefault="00922512" w:rsidP="00922512">
            <w:pPr>
              <w:jc w:val="center"/>
              <w:rPr>
                <w:rFonts w:eastAsia="Times New Roman" w:cs="Tahoma"/>
                <w:color w:val="FFFFFF"/>
                <w:sz w:val="18"/>
                <w:szCs w:val="18"/>
              </w:rPr>
            </w:pPr>
            <w:r w:rsidRPr="00FD510D">
              <w:rPr>
                <w:rFonts w:eastAsia="Times New Roman" w:cs="Tahoma"/>
                <w:color w:val="FFFFFF"/>
                <w:sz w:val="18"/>
                <w:szCs w:val="18"/>
              </w:rPr>
              <w:t>2014.</w:t>
            </w:r>
          </w:p>
        </w:tc>
        <w:tc>
          <w:tcPr>
            <w:tcW w:w="666" w:type="pct"/>
            <w:shd w:val="clear" w:color="auto" w:fill="39617A"/>
            <w:vAlign w:val="center"/>
          </w:tcPr>
          <w:p w14:paraId="790F17CA" w14:textId="77777777" w:rsidR="00922512" w:rsidRPr="00FD510D" w:rsidRDefault="00922512" w:rsidP="00922512">
            <w:pPr>
              <w:jc w:val="center"/>
              <w:rPr>
                <w:rFonts w:eastAsia="Times New Roman" w:cs="Tahoma"/>
                <w:color w:val="FFFFFF"/>
                <w:sz w:val="18"/>
                <w:szCs w:val="18"/>
              </w:rPr>
            </w:pPr>
            <w:r w:rsidRPr="00FD510D">
              <w:rPr>
                <w:rFonts w:eastAsia="Times New Roman" w:cs="Tahoma"/>
                <w:color w:val="FFFFFF"/>
                <w:sz w:val="18"/>
                <w:szCs w:val="18"/>
              </w:rPr>
              <w:t>2015.</w:t>
            </w:r>
          </w:p>
        </w:tc>
        <w:tc>
          <w:tcPr>
            <w:tcW w:w="666" w:type="pct"/>
            <w:shd w:val="clear" w:color="auto" w:fill="39617A"/>
            <w:vAlign w:val="center"/>
          </w:tcPr>
          <w:p w14:paraId="531093EC" w14:textId="77777777" w:rsidR="00922512" w:rsidRPr="00FD510D" w:rsidRDefault="00922512" w:rsidP="00922512">
            <w:pPr>
              <w:jc w:val="center"/>
              <w:rPr>
                <w:rFonts w:eastAsia="Times New Roman" w:cs="Tahoma"/>
                <w:color w:val="FFFFFF"/>
                <w:sz w:val="18"/>
                <w:szCs w:val="18"/>
              </w:rPr>
            </w:pPr>
            <w:r w:rsidRPr="00FD510D">
              <w:rPr>
                <w:rFonts w:eastAsia="Times New Roman" w:cs="Tahoma"/>
                <w:color w:val="FFFFFF"/>
                <w:sz w:val="18"/>
                <w:szCs w:val="18"/>
              </w:rPr>
              <w:t>2016.</w:t>
            </w:r>
          </w:p>
        </w:tc>
        <w:tc>
          <w:tcPr>
            <w:tcW w:w="667" w:type="pct"/>
            <w:shd w:val="clear" w:color="auto" w:fill="39617A"/>
            <w:vAlign w:val="center"/>
          </w:tcPr>
          <w:p w14:paraId="3E07A22C" w14:textId="77777777" w:rsidR="00922512" w:rsidRPr="00FD510D" w:rsidRDefault="00922512" w:rsidP="00922512">
            <w:pPr>
              <w:jc w:val="center"/>
              <w:rPr>
                <w:rFonts w:eastAsia="Times New Roman" w:cs="Tahoma"/>
                <w:color w:val="FFFFFF"/>
                <w:sz w:val="18"/>
                <w:szCs w:val="18"/>
              </w:rPr>
            </w:pPr>
            <w:r w:rsidRPr="00FD510D">
              <w:rPr>
                <w:rFonts w:eastAsia="Times New Roman" w:cs="Tahoma"/>
                <w:color w:val="FFFFFF"/>
                <w:sz w:val="18"/>
                <w:szCs w:val="18"/>
              </w:rPr>
              <w:t>2017.</w:t>
            </w:r>
          </w:p>
        </w:tc>
      </w:tr>
      <w:tr w:rsidR="00922512" w:rsidRPr="00FD510D" w14:paraId="3AB470F4" w14:textId="77777777" w:rsidTr="00922512">
        <w:trPr>
          <w:cantSplit/>
          <w:trHeight w:val="170"/>
        </w:trPr>
        <w:tc>
          <w:tcPr>
            <w:tcW w:w="1670" w:type="pct"/>
          </w:tcPr>
          <w:p w14:paraId="05C3700C" w14:textId="77777777" w:rsidR="00922512" w:rsidRPr="00FD510D" w:rsidRDefault="00922512" w:rsidP="00922512">
            <w:pPr>
              <w:rPr>
                <w:rFonts w:eastAsia="Times New Roman" w:cs="Tahoma"/>
                <w:color w:val="000000"/>
                <w:sz w:val="18"/>
                <w:szCs w:val="18"/>
              </w:rPr>
            </w:pPr>
            <w:r w:rsidRPr="00FD510D">
              <w:rPr>
                <w:rFonts w:eastAsia="Times New Roman" w:cs="Tahoma"/>
                <w:color w:val="000000"/>
                <w:sz w:val="18"/>
                <w:szCs w:val="18"/>
              </w:rPr>
              <w:t>PP Karlovac</w:t>
            </w:r>
          </w:p>
        </w:tc>
        <w:tc>
          <w:tcPr>
            <w:tcW w:w="666" w:type="pct"/>
            <w:shd w:val="clear" w:color="auto" w:fill="auto"/>
          </w:tcPr>
          <w:p w14:paraId="35AE3634"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888</w:t>
            </w:r>
          </w:p>
        </w:tc>
        <w:tc>
          <w:tcPr>
            <w:tcW w:w="666" w:type="pct"/>
            <w:shd w:val="clear" w:color="auto" w:fill="auto"/>
          </w:tcPr>
          <w:p w14:paraId="77624B6B"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1.523</w:t>
            </w:r>
          </w:p>
        </w:tc>
        <w:tc>
          <w:tcPr>
            <w:tcW w:w="666" w:type="pct"/>
          </w:tcPr>
          <w:p w14:paraId="10F4429B"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1.353</w:t>
            </w:r>
          </w:p>
        </w:tc>
        <w:tc>
          <w:tcPr>
            <w:tcW w:w="666" w:type="pct"/>
          </w:tcPr>
          <w:p w14:paraId="05ABFC2B"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1.015</w:t>
            </w:r>
          </w:p>
        </w:tc>
        <w:tc>
          <w:tcPr>
            <w:tcW w:w="667" w:type="pct"/>
          </w:tcPr>
          <w:p w14:paraId="31F5B884"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917</w:t>
            </w:r>
          </w:p>
        </w:tc>
      </w:tr>
      <w:tr w:rsidR="00922512" w:rsidRPr="00FD510D" w14:paraId="2B9A1B22" w14:textId="77777777" w:rsidTr="00922512">
        <w:trPr>
          <w:cantSplit/>
          <w:trHeight w:val="170"/>
        </w:trPr>
        <w:tc>
          <w:tcPr>
            <w:tcW w:w="1670" w:type="pct"/>
          </w:tcPr>
          <w:p w14:paraId="375E01AE" w14:textId="77777777" w:rsidR="00922512" w:rsidRPr="00FD510D" w:rsidRDefault="00922512" w:rsidP="00922512">
            <w:pPr>
              <w:rPr>
                <w:rFonts w:eastAsia="Times New Roman" w:cs="Tahoma"/>
                <w:color w:val="000000"/>
                <w:sz w:val="18"/>
                <w:szCs w:val="18"/>
              </w:rPr>
            </w:pPr>
            <w:r w:rsidRPr="00FD510D">
              <w:rPr>
                <w:rFonts w:eastAsia="Times New Roman" w:cs="Tahoma"/>
                <w:color w:val="000000"/>
                <w:sz w:val="18"/>
                <w:szCs w:val="18"/>
              </w:rPr>
              <w:t>PP Duga Resa</w:t>
            </w:r>
          </w:p>
        </w:tc>
        <w:tc>
          <w:tcPr>
            <w:tcW w:w="666" w:type="pct"/>
            <w:shd w:val="clear" w:color="auto" w:fill="auto"/>
          </w:tcPr>
          <w:p w14:paraId="2C733D2A"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214</w:t>
            </w:r>
          </w:p>
        </w:tc>
        <w:tc>
          <w:tcPr>
            <w:tcW w:w="666" w:type="pct"/>
            <w:shd w:val="clear" w:color="auto" w:fill="auto"/>
          </w:tcPr>
          <w:p w14:paraId="5BFE3CA3"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176</w:t>
            </w:r>
          </w:p>
        </w:tc>
        <w:tc>
          <w:tcPr>
            <w:tcW w:w="666" w:type="pct"/>
          </w:tcPr>
          <w:p w14:paraId="436924E3"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179</w:t>
            </w:r>
          </w:p>
        </w:tc>
        <w:tc>
          <w:tcPr>
            <w:tcW w:w="666" w:type="pct"/>
          </w:tcPr>
          <w:p w14:paraId="33B8F2FB"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249</w:t>
            </w:r>
          </w:p>
        </w:tc>
        <w:tc>
          <w:tcPr>
            <w:tcW w:w="667" w:type="pct"/>
          </w:tcPr>
          <w:p w14:paraId="594E4AD8"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254</w:t>
            </w:r>
          </w:p>
        </w:tc>
      </w:tr>
      <w:tr w:rsidR="00922512" w:rsidRPr="00FD510D" w14:paraId="03DF250B" w14:textId="77777777" w:rsidTr="00922512">
        <w:trPr>
          <w:cantSplit/>
          <w:trHeight w:val="170"/>
        </w:trPr>
        <w:tc>
          <w:tcPr>
            <w:tcW w:w="1670" w:type="pct"/>
          </w:tcPr>
          <w:p w14:paraId="520FB8F3" w14:textId="77777777" w:rsidR="00922512" w:rsidRPr="00FD510D" w:rsidRDefault="00922512" w:rsidP="00922512">
            <w:pPr>
              <w:rPr>
                <w:rFonts w:eastAsia="Times New Roman" w:cs="Tahoma"/>
                <w:color w:val="000000"/>
                <w:sz w:val="18"/>
                <w:szCs w:val="18"/>
              </w:rPr>
            </w:pPr>
            <w:r w:rsidRPr="00FD510D">
              <w:rPr>
                <w:rFonts w:eastAsia="Times New Roman" w:cs="Tahoma"/>
                <w:color w:val="000000"/>
                <w:sz w:val="18"/>
                <w:szCs w:val="18"/>
              </w:rPr>
              <w:t>PP Ozalj</w:t>
            </w:r>
          </w:p>
        </w:tc>
        <w:tc>
          <w:tcPr>
            <w:tcW w:w="666" w:type="pct"/>
            <w:shd w:val="clear" w:color="auto" w:fill="auto"/>
          </w:tcPr>
          <w:p w14:paraId="403714B3"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71</w:t>
            </w:r>
          </w:p>
        </w:tc>
        <w:tc>
          <w:tcPr>
            <w:tcW w:w="666" w:type="pct"/>
            <w:shd w:val="clear" w:color="auto" w:fill="auto"/>
          </w:tcPr>
          <w:p w14:paraId="1C21E960"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69</w:t>
            </w:r>
          </w:p>
        </w:tc>
        <w:tc>
          <w:tcPr>
            <w:tcW w:w="666" w:type="pct"/>
          </w:tcPr>
          <w:p w14:paraId="5C02D340"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71</w:t>
            </w:r>
          </w:p>
        </w:tc>
        <w:tc>
          <w:tcPr>
            <w:tcW w:w="666" w:type="pct"/>
          </w:tcPr>
          <w:p w14:paraId="736F341C"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112</w:t>
            </w:r>
          </w:p>
        </w:tc>
        <w:tc>
          <w:tcPr>
            <w:tcW w:w="667" w:type="pct"/>
          </w:tcPr>
          <w:p w14:paraId="0C2F0BAA"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161</w:t>
            </w:r>
          </w:p>
        </w:tc>
      </w:tr>
      <w:tr w:rsidR="00922512" w:rsidRPr="00FD510D" w14:paraId="1E0479CA" w14:textId="77777777" w:rsidTr="00922512">
        <w:trPr>
          <w:cantSplit/>
          <w:trHeight w:val="170"/>
        </w:trPr>
        <w:tc>
          <w:tcPr>
            <w:tcW w:w="1670" w:type="pct"/>
          </w:tcPr>
          <w:p w14:paraId="229CD7E3" w14:textId="77777777" w:rsidR="00922512" w:rsidRPr="00FD510D" w:rsidRDefault="00922512" w:rsidP="00922512">
            <w:pPr>
              <w:rPr>
                <w:rFonts w:eastAsia="Times New Roman" w:cs="Tahoma"/>
                <w:b/>
                <w:color w:val="000000"/>
                <w:sz w:val="18"/>
                <w:szCs w:val="18"/>
              </w:rPr>
            </w:pPr>
            <w:r w:rsidRPr="00FD510D">
              <w:rPr>
                <w:rFonts w:eastAsia="Times New Roman" w:cs="Tahoma"/>
                <w:b/>
                <w:color w:val="000000"/>
                <w:sz w:val="18"/>
                <w:szCs w:val="18"/>
              </w:rPr>
              <w:t>Ukupno</w:t>
            </w:r>
          </w:p>
        </w:tc>
        <w:tc>
          <w:tcPr>
            <w:tcW w:w="666" w:type="pct"/>
            <w:shd w:val="clear" w:color="auto" w:fill="auto"/>
          </w:tcPr>
          <w:p w14:paraId="7612DE7A" w14:textId="77777777" w:rsidR="00922512" w:rsidRPr="00FD510D" w:rsidRDefault="00922512" w:rsidP="00922512">
            <w:pPr>
              <w:jc w:val="center"/>
              <w:rPr>
                <w:rFonts w:eastAsia="Times New Roman" w:cs="Tahoma"/>
                <w:b/>
                <w:color w:val="000000"/>
                <w:sz w:val="18"/>
                <w:szCs w:val="18"/>
              </w:rPr>
            </w:pPr>
            <w:r w:rsidRPr="00FD510D">
              <w:rPr>
                <w:rFonts w:eastAsia="Times New Roman" w:cs="Tahoma"/>
                <w:b/>
                <w:color w:val="000000"/>
                <w:sz w:val="18"/>
                <w:szCs w:val="18"/>
              </w:rPr>
              <w:t>1.173</w:t>
            </w:r>
          </w:p>
        </w:tc>
        <w:tc>
          <w:tcPr>
            <w:tcW w:w="666" w:type="pct"/>
            <w:shd w:val="clear" w:color="auto" w:fill="auto"/>
          </w:tcPr>
          <w:p w14:paraId="4CEDE54E" w14:textId="77777777" w:rsidR="00922512" w:rsidRPr="00FD510D" w:rsidRDefault="00922512" w:rsidP="00922512">
            <w:pPr>
              <w:jc w:val="center"/>
              <w:rPr>
                <w:rFonts w:eastAsia="Times New Roman" w:cs="Tahoma"/>
                <w:b/>
                <w:color w:val="000000"/>
                <w:sz w:val="18"/>
                <w:szCs w:val="18"/>
              </w:rPr>
            </w:pPr>
            <w:r w:rsidRPr="00FD510D">
              <w:rPr>
                <w:rFonts w:eastAsia="Times New Roman" w:cs="Tahoma"/>
                <w:b/>
                <w:color w:val="000000"/>
                <w:sz w:val="18"/>
                <w:szCs w:val="18"/>
              </w:rPr>
              <w:t>1.768</w:t>
            </w:r>
          </w:p>
        </w:tc>
        <w:tc>
          <w:tcPr>
            <w:tcW w:w="666" w:type="pct"/>
          </w:tcPr>
          <w:p w14:paraId="5D82CC42" w14:textId="77777777" w:rsidR="00922512" w:rsidRPr="00FD510D" w:rsidRDefault="00922512" w:rsidP="00922512">
            <w:pPr>
              <w:jc w:val="center"/>
              <w:rPr>
                <w:rFonts w:eastAsia="Times New Roman" w:cs="Tahoma"/>
                <w:b/>
                <w:color w:val="000000"/>
                <w:sz w:val="18"/>
                <w:szCs w:val="18"/>
              </w:rPr>
            </w:pPr>
            <w:r w:rsidRPr="00FD510D">
              <w:rPr>
                <w:rFonts w:eastAsia="Times New Roman" w:cs="Tahoma"/>
                <w:b/>
                <w:color w:val="000000"/>
                <w:sz w:val="18"/>
                <w:szCs w:val="18"/>
              </w:rPr>
              <w:t>1.603</w:t>
            </w:r>
          </w:p>
        </w:tc>
        <w:tc>
          <w:tcPr>
            <w:tcW w:w="666" w:type="pct"/>
          </w:tcPr>
          <w:p w14:paraId="7DE2E188" w14:textId="77777777" w:rsidR="00922512" w:rsidRPr="00FD510D" w:rsidRDefault="00922512" w:rsidP="00922512">
            <w:pPr>
              <w:jc w:val="center"/>
              <w:rPr>
                <w:rFonts w:eastAsia="Times New Roman" w:cs="Tahoma"/>
                <w:b/>
                <w:color w:val="000000"/>
                <w:sz w:val="18"/>
                <w:szCs w:val="18"/>
              </w:rPr>
            </w:pPr>
            <w:r w:rsidRPr="00FD510D">
              <w:rPr>
                <w:rFonts w:eastAsia="Times New Roman" w:cs="Tahoma"/>
                <w:b/>
                <w:color w:val="000000"/>
                <w:sz w:val="18"/>
                <w:szCs w:val="18"/>
              </w:rPr>
              <w:t>1.376</w:t>
            </w:r>
          </w:p>
        </w:tc>
        <w:tc>
          <w:tcPr>
            <w:tcW w:w="667" w:type="pct"/>
          </w:tcPr>
          <w:p w14:paraId="03F30B48" w14:textId="77777777" w:rsidR="00922512" w:rsidRPr="00FD510D" w:rsidRDefault="00922512" w:rsidP="00922512">
            <w:pPr>
              <w:jc w:val="center"/>
              <w:rPr>
                <w:rFonts w:eastAsia="Times New Roman" w:cs="Tahoma"/>
                <w:b/>
                <w:color w:val="000000"/>
                <w:sz w:val="18"/>
                <w:szCs w:val="18"/>
              </w:rPr>
            </w:pPr>
            <w:r w:rsidRPr="00FD510D">
              <w:rPr>
                <w:rFonts w:eastAsia="Times New Roman" w:cs="Tahoma"/>
                <w:b/>
                <w:color w:val="000000"/>
                <w:sz w:val="18"/>
                <w:szCs w:val="18"/>
              </w:rPr>
              <w:t>1.332</w:t>
            </w:r>
          </w:p>
        </w:tc>
      </w:tr>
      <w:tr w:rsidR="00922512" w:rsidRPr="00FD510D" w14:paraId="58095A05" w14:textId="77777777" w:rsidTr="00922512">
        <w:trPr>
          <w:cantSplit/>
          <w:trHeight w:val="170"/>
        </w:trPr>
        <w:tc>
          <w:tcPr>
            <w:tcW w:w="1670" w:type="pct"/>
          </w:tcPr>
          <w:p w14:paraId="2CC0E970" w14:textId="77777777" w:rsidR="00922512" w:rsidRPr="00FD510D" w:rsidRDefault="00922512" w:rsidP="00922512">
            <w:pPr>
              <w:rPr>
                <w:rFonts w:eastAsia="Times New Roman" w:cs="Tahoma"/>
                <w:color w:val="000000"/>
                <w:sz w:val="18"/>
                <w:szCs w:val="18"/>
              </w:rPr>
            </w:pPr>
            <w:r w:rsidRPr="00FD510D">
              <w:rPr>
                <w:rFonts w:eastAsia="Times New Roman" w:cs="Tahoma"/>
                <w:color w:val="000000"/>
                <w:sz w:val="18"/>
                <w:szCs w:val="18"/>
              </w:rPr>
              <w:t xml:space="preserve">PU </w:t>
            </w:r>
            <w:r>
              <w:rPr>
                <w:rFonts w:eastAsia="Times New Roman" w:cs="Tahoma"/>
                <w:color w:val="000000"/>
                <w:sz w:val="18"/>
                <w:szCs w:val="18"/>
              </w:rPr>
              <w:t>K</w:t>
            </w:r>
            <w:r w:rsidRPr="00FD510D">
              <w:rPr>
                <w:rFonts w:eastAsia="Times New Roman" w:cs="Tahoma"/>
                <w:color w:val="000000"/>
                <w:sz w:val="18"/>
                <w:szCs w:val="18"/>
              </w:rPr>
              <w:t>arlovačka</w:t>
            </w:r>
          </w:p>
        </w:tc>
        <w:tc>
          <w:tcPr>
            <w:tcW w:w="666" w:type="pct"/>
            <w:shd w:val="clear" w:color="auto" w:fill="auto"/>
          </w:tcPr>
          <w:p w14:paraId="7FC84A38"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1.658</w:t>
            </w:r>
          </w:p>
        </w:tc>
        <w:tc>
          <w:tcPr>
            <w:tcW w:w="666" w:type="pct"/>
            <w:shd w:val="clear" w:color="auto" w:fill="auto"/>
          </w:tcPr>
          <w:p w14:paraId="41D4530F"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2.260</w:t>
            </w:r>
          </w:p>
        </w:tc>
        <w:tc>
          <w:tcPr>
            <w:tcW w:w="666" w:type="pct"/>
          </w:tcPr>
          <w:p w14:paraId="09834516"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2.106</w:t>
            </w:r>
          </w:p>
        </w:tc>
        <w:tc>
          <w:tcPr>
            <w:tcW w:w="666" w:type="pct"/>
          </w:tcPr>
          <w:p w14:paraId="0BFE2048"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1.817</w:t>
            </w:r>
          </w:p>
        </w:tc>
        <w:tc>
          <w:tcPr>
            <w:tcW w:w="667" w:type="pct"/>
          </w:tcPr>
          <w:p w14:paraId="2F2921FB" w14:textId="77777777" w:rsidR="00922512" w:rsidRPr="00FD510D" w:rsidRDefault="00922512" w:rsidP="00922512">
            <w:pPr>
              <w:jc w:val="center"/>
              <w:rPr>
                <w:rFonts w:eastAsia="Times New Roman" w:cs="Tahoma"/>
                <w:color w:val="000000"/>
                <w:sz w:val="18"/>
                <w:szCs w:val="18"/>
              </w:rPr>
            </w:pPr>
            <w:r w:rsidRPr="00FD510D">
              <w:rPr>
                <w:rFonts w:eastAsia="Times New Roman" w:cs="Tahoma"/>
                <w:color w:val="000000"/>
                <w:sz w:val="18"/>
                <w:szCs w:val="18"/>
              </w:rPr>
              <w:t>1.735</w:t>
            </w:r>
          </w:p>
        </w:tc>
      </w:tr>
    </w:tbl>
    <w:p w14:paraId="79CF68B9" w14:textId="77777777" w:rsidR="00922512" w:rsidRPr="00FD510D" w:rsidRDefault="00922512" w:rsidP="00922512">
      <w:pPr>
        <w:jc w:val="left"/>
        <w:rPr>
          <w:rFonts w:cs="Tahoma"/>
          <w:color w:val="39617A"/>
          <w:sz w:val="18"/>
          <w:szCs w:val="18"/>
        </w:rPr>
      </w:pPr>
      <w:r w:rsidRPr="00FD510D">
        <w:rPr>
          <w:rFonts w:cs="Tahoma"/>
          <w:color w:val="39617A"/>
          <w:sz w:val="18"/>
          <w:szCs w:val="18"/>
        </w:rPr>
        <w:t>Izvor: Policijska uprava karlovačka, MUP RH</w:t>
      </w:r>
    </w:p>
    <w:p w14:paraId="5F25E0AA" w14:textId="77777777" w:rsidR="00922512" w:rsidRDefault="00922512" w:rsidP="00D179A8"/>
    <w:p w14:paraId="0CEE579F" w14:textId="37D693DD" w:rsidR="0018381F" w:rsidRPr="00D179A8" w:rsidRDefault="005C1A5C" w:rsidP="00D179A8">
      <w:r>
        <w:t xml:space="preserve">Na urbanom području VUPKA </w:t>
      </w:r>
      <w:r w:rsidR="0018381F" w:rsidRPr="00D179A8">
        <w:t>djeluju 3 policijske postaje (PP Duga Resa, PP Karlovac i PP Ozalj) u čijoj se nadležnosti nalazi još 9 općina, što sveukupno čini područje od 1.504 km</w:t>
      </w:r>
      <w:r w:rsidR="0018381F" w:rsidRPr="00D179A8">
        <w:rPr>
          <w:vertAlign w:val="superscript"/>
        </w:rPr>
        <w:t>2</w:t>
      </w:r>
      <w:r w:rsidR="0018381F" w:rsidRPr="00D179A8">
        <w:t xml:space="preserve"> koje broji sveukupno  91.100 stanovnika (Popis 2011.). U Gradu Karlovcu također je smješteno i sjedište Policijske uprave karlovačke putem koje se prati i analizira stanje sigurnosti te pojave koje pogoduju nast</w:t>
      </w:r>
      <w:r>
        <w:t>anku i razvitku kriminaliteta te</w:t>
      </w:r>
      <w:r w:rsidR="0018381F" w:rsidRPr="00D179A8">
        <w:t xml:space="preserve"> organizira, usklađuje, usmjerava i nadzire rad pripadajućih joj policijskih postaja. U Karlovcu se također nalaze Županijski sud, Prekršajni sud, Općinski sud (u čijoj se nadležnosti nalazi i Zemljišnoknjižni odjel u Ozlju), stalna služba Trgovačkog suda u Zagrebu, zatim Općinsko državno odvjetništvo te Županijsko državno odvjetništvo. Za prekršajne postupke prvog stupnja u Gradu Dugoj Resi djeluje Stalna služba Prekr</w:t>
      </w:r>
      <w:r w:rsidR="00985EA4">
        <w:t xml:space="preserve">šajnog suda </w:t>
      </w:r>
      <w:r>
        <w:t>u Karlov</w:t>
      </w:r>
      <w:r w:rsidR="00985EA4">
        <w:t>c</w:t>
      </w:r>
      <w:r>
        <w:t>u</w:t>
      </w:r>
      <w:r w:rsidR="00985EA4">
        <w:t xml:space="preserve">. </w:t>
      </w:r>
    </w:p>
    <w:p w14:paraId="6BED16DF" w14:textId="3ADD5416" w:rsidR="0018381F" w:rsidRPr="00D179A8" w:rsidRDefault="0018381F" w:rsidP="00D179A8">
      <w:r w:rsidRPr="00D179A8">
        <w:t xml:space="preserve">Što se tiče zatvorskog sustava, najbliža kaznionica nalazi se u Turopolju (poluotvorena) dok se Zatvorska bolnica nalazi u Zagrebu. Na </w:t>
      </w:r>
      <w:r w:rsidR="00985EA4">
        <w:t>području VUPKA postoji i</w:t>
      </w:r>
      <w:r w:rsidRPr="00D179A8">
        <w:t xml:space="preserve"> zatvor u Karlovcu koji je smješten u staroj </w:t>
      </w:r>
      <w:r w:rsidR="005C1A5C">
        <w:t xml:space="preserve">gradskoj </w:t>
      </w:r>
      <w:r w:rsidRPr="00D179A8">
        <w:t xml:space="preserve">jezgri </w:t>
      </w:r>
      <w:r w:rsidR="00985EA4">
        <w:t>Zvijezdi, a koji dje</w:t>
      </w:r>
      <w:r w:rsidR="00194E23">
        <w:t xml:space="preserve">luje kao </w:t>
      </w:r>
      <w:r w:rsidR="00985EA4" w:rsidRPr="00D179A8">
        <w:t>istražn</w:t>
      </w:r>
      <w:r w:rsidR="00922512">
        <w:t>i</w:t>
      </w:r>
      <w:r w:rsidR="00985EA4" w:rsidRPr="00D179A8">
        <w:t xml:space="preserve"> zatvor, </w:t>
      </w:r>
      <w:r w:rsidR="00922512">
        <w:t>odnosno zatvor za prekršaje i kazne</w:t>
      </w:r>
      <w:r w:rsidR="00985EA4" w:rsidRPr="00D179A8">
        <w:t xml:space="preserve"> do šest mjeseci. </w:t>
      </w:r>
    </w:p>
    <w:p w14:paraId="01934CAC" w14:textId="742888F1" w:rsidR="0018381F" w:rsidRDefault="0018381F" w:rsidP="00D179A8">
      <w:r w:rsidRPr="00D179A8">
        <w:t xml:space="preserve">U Karlovcu je smješten i </w:t>
      </w:r>
      <w:r w:rsidR="00A616B7">
        <w:t xml:space="preserve">Područni ured za zaštitu i spašavanje </w:t>
      </w:r>
      <w:r w:rsidR="004914B1">
        <w:t>Karlovac</w:t>
      </w:r>
      <w:r w:rsidRPr="00D179A8">
        <w:t xml:space="preserve"> koji ima trajnu zadaću organiziranja i koordiniranje djelovanja hitnih službi u svim oblicima zaštite i spašavanja ljudskih života na području Karlovačke županije</w:t>
      </w:r>
      <w:r w:rsidR="00A616B7">
        <w:t xml:space="preserve"> uključujući i područje VUP-a. </w:t>
      </w:r>
      <w:r w:rsidR="005C1A5C">
        <w:t xml:space="preserve">Karlovac. </w:t>
      </w:r>
      <w:r w:rsidR="00A616B7">
        <w:t xml:space="preserve">U Karlovcu djeluje i Vatrogasna zajednica KŽ i </w:t>
      </w:r>
      <w:r w:rsidRPr="00D179A8">
        <w:t xml:space="preserve">Vatrogasna zajednica grada Karlovca koja </w:t>
      </w:r>
      <w:r w:rsidR="00A616B7">
        <w:t>jedina na području KŽ osim dobrovoljnih ima i javnu vatrogasnu postrojbu</w:t>
      </w:r>
      <w:r w:rsidRPr="00D179A8">
        <w:t xml:space="preserve">. Na području Duge Rese </w:t>
      </w:r>
      <w:r w:rsidR="00A616B7">
        <w:t>i Ozlja</w:t>
      </w:r>
      <w:r w:rsidR="005C1A5C">
        <w:t>,</w:t>
      </w:r>
      <w:r w:rsidR="00A616B7">
        <w:t xml:space="preserve"> Vatrogasne zajednice</w:t>
      </w:r>
      <w:r w:rsidRPr="00D179A8">
        <w:t xml:space="preserve"> </w:t>
      </w:r>
      <w:r w:rsidR="005C1A5C">
        <w:t>okupljaju 3</w:t>
      </w:r>
      <w:r w:rsidR="00A616B7">
        <w:t xml:space="preserve"> odnosno </w:t>
      </w:r>
      <w:r w:rsidRPr="00D179A8">
        <w:t xml:space="preserve">9 dobrovoljnih vatrogasnih društva. </w:t>
      </w:r>
    </w:p>
    <w:p w14:paraId="5E8DC771" w14:textId="36107D06" w:rsidR="00CA0C4A" w:rsidRPr="00CA0C4A" w:rsidRDefault="00CA0C4A" w:rsidP="00CA0C4A">
      <w:r>
        <w:t xml:space="preserve">U Karlovcu također djeluje </w:t>
      </w:r>
      <w:r w:rsidR="005C1A5C">
        <w:t>stanica</w:t>
      </w:r>
      <w:r>
        <w:t xml:space="preserve"> Hrvatske gorske službe spašavanja (HGSS) koja broji 27 članova. </w:t>
      </w:r>
      <w:r w:rsidRPr="00CA0C4A">
        <w:t>Članstvo stanice je redovito uključeno u dežurstva na području cijele Hrvatske pa timovi karlovačkih spašavatelja s liječnikom tijekom ljeta sudjel</w:t>
      </w:r>
      <w:r>
        <w:t>uju u helikopterskom dežurstvu u</w:t>
      </w:r>
      <w:r w:rsidRPr="00CA0C4A">
        <w:t xml:space="preserve"> Nacionalnom parku Paklenica</w:t>
      </w:r>
      <w:r w:rsidR="005C1A5C">
        <w:t>,</w:t>
      </w:r>
      <w:r w:rsidRPr="00CA0C4A">
        <w:t xml:space="preserve"> gdje su vrlo česte intervencije </w:t>
      </w:r>
      <w:r w:rsidR="005C1A5C">
        <w:t>H</w:t>
      </w:r>
      <w:r>
        <w:t>GSS</w:t>
      </w:r>
      <w:r w:rsidRPr="00CA0C4A">
        <w:t>-a</w:t>
      </w:r>
      <w:r>
        <w:t>.</w:t>
      </w:r>
    </w:p>
    <w:p w14:paraId="30BFE7AC" w14:textId="77777777" w:rsidR="00CA0C4A" w:rsidRPr="00D179A8" w:rsidRDefault="00CA0C4A" w:rsidP="00D179A8"/>
    <w:p w14:paraId="0AF10614" w14:textId="77777777" w:rsidR="0018381F" w:rsidRPr="00A616B7" w:rsidRDefault="0018381F" w:rsidP="00A616B7"/>
    <w:p w14:paraId="5B82EB75" w14:textId="77777777" w:rsidR="0018381F" w:rsidRPr="00FD510D" w:rsidRDefault="0018381F" w:rsidP="00A616B7">
      <w:pPr>
        <w:pStyle w:val="Heading4"/>
      </w:pPr>
      <w:r w:rsidRPr="00FD510D">
        <w:t>Zdravstvena infrastruktura i usluge</w:t>
      </w:r>
    </w:p>
    <w:p w14:paraId="6A97D5A6" w14:textId="5A9F6167" w:rsidR="0018381F" w:rsidRPr="00B83ACA" w:rsidRDefault="00985970" w:rsidP="0018381F">
      <w:r>
        <w:t xml:space="preserve">Na području VUPKA </w:t>
      </w:r>
      <w:r w:rsidR="0018381F" w:rsidRPr="00A616B7">
        <w:t xml:space="preserve">utvrđena je mreža javne zdravstvene službe koja obuhvaća primarnu </w:t>
      </w:r>
      <w:r>
        <w:t>zdravstvenu</w:t>
      </w:r>
      <w:r w:rsidR="0018381F" w:rsidRPr="00A616B7">
        <w:t xml:space="preserve"> </w:t>
      </w:r>
      <w:r>
        <w:t>djelatnost</w:t>
      </w:r>
      <w:r w:rsidR="0018381F" w:rsidRPr="00A616B7">
        <w:t xml:space="preserve">, </w:t>
      </w:r>
      <w:r w:rsidR="00B83ACA">
        <w:t xml:space="preserve">a </w:t>
      </w:r>
      <w:r w:rsidR="0018381F" w:rsidRPr="00A616B7">
        <w:t xml:space="preserve">usluge sekundarne zdravstvene zaštite stanovnicima urbanog područja </w:t>
      </w:r>
      <w:r>
        <w:t xml:space="preserve">pružaju Opća bolnica Karlovac, </w:t>
      </w:r>
      <w:r w:rsidR="0018381F" w:rsidRPr="00A616B7">
        <w:t xml:space="preserve">Poliklinika za rehabilitaciju slušanja i govora Suvag u Karlovcu te Specijalna bolnica za produženo liječenje u Dugoj Resi. Usluge zdravstvene djelatnosti na tercijarnoj razini stanovnici </w:t>
      </w:r>
      <w:r w:rsidR="0018381F" w:rsidRPr="00A616B7">
        <w:lastRenderedPageBreak/>
        <w:t xml:space="preserve">koriste većinom u Zagrebu. U okviru primarne zdravstvene zaštite potrebno svaki od </w:t>
      </w:r>
      <w:r w:rsidR="00B83ACA">
        <w:t>triju</w:t>
      </w:r>
      <w:r w:rsidR="0018381F" w:rsidRPr="00A616B7">
        <w:t xml:space="preserve"> gradova koji se nalaze u sastavu </w:t>
      </w:r>
      <w:r>
        <w:t>VUPKA</w:t>
      </w:r>
      <w:r w:rsidR="0018381F" w:rsidRPr="00A616B7">
        <w:t xml:space="preserve"> ima Dom zdravlja</w:t>
      </w:r>
      <w:r>
        <w:t>,</w:t>
      </w:r>
      <w:r w:rsidR="0018381F" w:rsidRPr="00A616B7">
        <w:t xml:space="preserve"> čime je ostvarena potpuna pokrivenost na primarnoj razini.</w:t>
      </w:r>
    </w:p>
    <w:p w14:paraId="5DEC37EA" w14:textId="77777777" w:rsidR="0018381F" w:rsidRPr="00FD510D" w:rsidRDefault="0018381F" w:rsidP="0018381F">
      <w:pPr>
        <w:pStyle w:val="Caption"/>
      </w:pPr>
      <w:bookmarkStart w:id="31" w:name="_Toc420581437"/>
      <w:bookmarkStart w:id="32" w:name="_Toc437387487"/>
      <w:r w:rsidRPr="00FD510D">
        <w:t xml:space="preserve">Tablica </w:t>
      </w:r>
      <w:r>
        <w:fldChar w:fldCharType="begin"/>
      </w:r>
      <w:r>
        <w:instrText xml:space="preserve"> SEQ Tablica \* ARABIC </w:instrText>
      </w:r>
      <w:r>
        <w:fldChar w:fldCharType="separate"/>
      </w:r>
      <w:r w:rsidR="001358A9">
        <w:rPr>
          <w:noProof/>
        </w:rPr>
        <w:t>14</w:t>
      </w:r>
      <w:r>
        <w:rPr>
          <w:noProof/>
        </w:rPr>
        <w:fldChar w:fldCharType="end"/>
      </w:r>
      <w:r w:rsidRPr="00FD510D">
        <w:t>. Ugovoreni sadržaji primarne zdravstvene zaštite na području VUP-a Karlovac</w:t>
      </w:r>
      <w:bookmarkEnd w:id="31"/>
      <w:bookmarkEnd w:id="3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99"/>
        <w:gridCol w:w="1433"/>
        <w:gridCol w:w="1727"/>
        <w:gridCol w:w="985"/>
      </w:tblGrid>
      <w:tr w:rsidR="0018381F" w:rsidRPr="00FD510D" w14:paraId="266A9E55" w14:textId="77777777" w:rsidTr="0018381F">
        <w:trPr>
          <w:cantSplit/>
          <w:trHeight w:val="170"/>
        </w:trPr>
        <w:tc>
          <w:tcPr>
            <w:tcW w:w="2782" w:type="pct"/>
            <w:shd w:val="clear" w:color="auto" w:fill="39617A"/>
            <w:vAlign w:val="center"/>
          </w:tcPr>
          <w:p w14:paraId="4A29FA74"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Usluge primarne zdravstvene zaštite</w:t>
            </w:r>
          </w:p>
        </w:tc>
        <w:tc>
          <w:tcPr>
            <w:tcW w:w="767" w:type="pct"/>
            <w:shd w:val="clear" w:color="auto" w:fill="39617A"/>
            <w:vAlign w:val="center"/>
          </w:tcPr>
          <w:p w14:paraId="477A03F0"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Karlovac</w:t>
            </w:r>
          </w:p>
        </w:tc>
        <w:tc>
          <w:tcPr>
            <w:tcW w:w="924" w:type="pct"/>
            <w:shd w:val="clear" w:color="auto" w:fill="39617A"/>
            <w:vAlign w:val="center"/>
          </w:tcPr>
          <w:p w14:paraId="2EF5F930"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Duga Resa</w:t>
            </w:r>
          </w:p>
        </w:tc>
        <w:tc>
          <w:tcPr>
            <w:tcW w:w="527" w:type="pct"/>
            <w:shd w:val="clear" w:color="auto" w:fill="39617A"/>
            <w:vAlign w:val="center"/>
          </w:tcPr>
          <w:p w14:paraId="2D65689A"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Ozalj</w:t>
            </w:r>
          </w:p>
        </w:tc>
      </w:tr>
      <w:tr w:rsidR="0018381F" w:rsidRPr="00FD510D" w14:paraId="5E3C255F" w14:textId="77777777" w:rsidTr="0018381F">
        <w:trPr>
          <w:cantSplit/>
          <w:trHeight w:val="170"/>
        </w:trPr>
        <w:tc>
          <w:tcPr>
            <w:tcW w:w="2782" w:type="pct"/>
          </w:tcPr>
          <w:p w14:paraId="6348FA2B"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Opća/obiteljska medicina</w:t>
            </w:r>
          </w:p>
        </w:tc>
        <w:tc>
          <w:tcPr>
            <w:tcW w:w="767" w:type="pct"/>
            <w:shd w:val="clear" w:color="auto" w:fill="auto"/>
            <w:vAlign w:val="center"/>
          </w:tcPr>
          <w:p w14:paraId="01B234EB"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33 (34)*</w:t>
            </w:r>
          </w:p>
        </w:tc>
        <w:tc>
          <w:tcPr>
            <w:tcW w:w="924" w:type="pct"/>
            <w:shd w:val="clear" w:color="auto" w:fill="auto"/>
            <w:vAlign w:val="center"/>
          </w:tcPr>
          <w:p w14:paraId="2CA4C110"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8</w:t>
            </w:r>
          </w:p>
        </w:tc>
        <w:tc>
          <w:tcPr>
            <w:tcW w:w="527" w:type="pct"/>
            <w:vAlign w:val="center"/>
          </w:tcPr>
          <w:p w14:paraId="478F444D"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4</w:t>
            </w:r>
          </w:p>
        </w:tc>
      </w:tr>
      <w:tr w:rsidR="0018381F" w:rsidRPr="00FD510D" w14:paraId="6C2AEE80" w14:textId="77777777" w:rsidTr="0018381F">
        <w:trPr>
          <w:cantSplit/>
          <w:trHeight w:val="170"/>
        </w:trPr>
        <w:tc>
          <w:tcPr>
            <w:tcW w:w="2782" w:type="pct"/>
          </w:tcPr>
          <w:p w14:paraId="4472A0D4"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Zdravstvena zaštita predškolske djece</w:t>
            </w:r>
          </w:p>
        </w:tc>
        <w:tc>
          <w:tcPr>
            <w:tcW w:w="767" w:type="pct"/>
            <w:shd w:val="clear" w:color="auto" w:fill="auto"/>
            <w:vAlign w:val="center"/>
          </w:tcPr>
          <w:p w14:paraId="7C90AD65"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4</w:t>
            </w:r>
          </w:p>
        </w:tc>
        <w:tc>
          <w:tcPr>
            <w:tcW w:w="924" w:type="pct"/>
            <w:shd w:val="clear" w:color="auto" w:fill="auto"/>
            <w:vAlign w:val="center"/>
          </w:tcPr>
          <w:p w14:paraId="5558E75D"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c>
          <w:tcPr>
            <w:tcW w:w="527" w:type="pct"/>
            <w:vAlign w:val="center"/>
          </w:tcPr>
          <w:p w14:paraId="4EB0B55F"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0</w:t>
            </w:r>
          </w:p>
        </w:tc>
      </w:tr>
      <w:tr w:rsidR="0018381F" w:rsidRPr="00FD510D" w14:paraId="17183D5D" w14:textId="77777777" w:rsidTr="0018381F">
        <w:trPr>
          <w:cantSplit/>
          <w:trHeight w:val="170"/>
        </w:trPr>
        <w:tc>
          <w:tcPr>
            <w:tcW w:w="2782" w:type="pct"/>
          </w:tcPr>
          <w:p w14:paraId="460CA168"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Zdravstvena zaštita žena</w:t>
            </w:r>
          </w:p>
        </w:tc>
        <w:tc>
          <w:tcPr>
            <w:tcW w:w="767" w:type="pct"/>
            <w:shd w:val="clear" w:color="auto" w:fill="auto"/>
            <w:vAlign w:val="center"/>
          </w:tcPr>
          <w:p w14:paraId="6D98E4D3"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5</w:t>
            </w:r>
          </w:p>
        </w:tc>
        <w:tc>
          <w:tcPr>
            <w:tcW w:w="924" w:type="pct"/>
            <w:shd w:val="clear" w:color="auto" w:fill="auto"/>
            <w:vAlign w:val="center"/>
          </w:tcPr>
          <w:p w14:paraId="1D8F6EE3"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c>
          <w:tcPr>
            <w:tcW w:w="527" w:type="pct"/>
            <w:vAlign w:val="center"/>
          </w:tcPr>
          <w:p w14:paraId="229DB43D"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r>
      <w:tr w:rsidR="0018381F" w:rsidRPr="00FD510D" w14:paraId="7793C19F" w14:textId="77777777" w:rsidTr="0018381F">
        <w:trPr>
          <w:cantSplit/>
          <w:trHeight w:val="170"/>
        </w:trPr>
        <w:tc>
          <w:tcPr>
            <w:tcW w:w="2782" w:type="pct"/>
          </w:tcPr>
          <w:p w14:paraId="17F6CAEA"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Dentalna zdravstvena zaštita</w:t>
            </w:r>
          </w:p>
        </w:tc>
        <w:tc>
          <w:tcPr>
            <w:tcW w:w="767" w:type="pct"/>
            <w:shd w:val="clear" w:color="auto" w:fill="auto"/>
            <w:vAlign w:val="center"/>
          </w:tcPr>
          <w:p w14:paraId="71D33A56"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30 (32)*</w:t>
            </w:r>
          </w:p>
        </w:tc>
        <w:tc>
          <w:tcPr>
            <w:tcW w:w="924" w:type="pct"/>
            <w:shd w:val="clear" w:color="auto" w:fill="auto"/>
            <w:vAlign w:val="center"/>
          </w:tcPr>
          <w:p w14:paraId="4F71F272"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7</w:t>
            </w:r>
          </w:p>
        </w:tc>
        <w:tc>
          <w:tcPr>
            <w:tcW w:w="527" w:type="pct"/>
            <w:vAlign w:val="center"/>
          </w:tcPr>
          <w:p w14:paraId="616EED55"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3</w:t>
            </w:r>
          </w:p>
        </w:tc>
      </w:tr>
      <w:tr w:rsidR="0018381F" w:rsidRPr="00FD510D" w14:paraId="363BF315" w14:textId="77777777" w:rsidTr="0018381F">
        <w:trPr>
          <w:cantSplit/>
          <w:trHeight w:val="170"/>
        </w:trPr>
        <w:tc>
          <w:tcPr>
            <w:tcW w:w="2782" w:type="pct"/>
          </w:tcPr>
          <w:p w14:paraId="7A77F89A"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Laboratorijska dijagnostika</w:t>
            </w:r>
          </w:p>
        </w:tc>
        <w:tc>
          <w:tcPr>
            <w:tcW w:w="767" w:type="pct"/>
            <w:shd w:val="clear" w:color="auto" w:fill="auto"/>
            <w:vAlign w:val="center"/>
          </w:tcPr>
          <w:p w14:paraId="67893849"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2</w:t>
            </w:r>
          </w:p>
        </w:tc>
        <w:tc>
          <w:tcPr>
            <w:tcW w:w="924" w:type="pct"/>
            <w:shd w:val="clear" w:color="auto" w:fill="auto"/>
            <w:vAlign w:val="center"/>
          </w:tcPr>
          <w:p w14:paraId="16412A9B"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c>
          <w:tcPr>
            <w:tcW w:w="527" w:type="pct"/>
            <w:vAlign w:val="center"/>
          </w:tcPr>
          <w:p w14:paraId="5D0C26DE"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w:t>
            </w:r>
          </w:p>
        </w:tc>
      </w:tr>
      <w:tr w:rsidR="0018381F" w:rsidRPr="00FD510D" w14:paraId="719EB07E" w14:textId="77777777" w:rsidTr="0018381F">
        <w:trPr>
          <w:cantSplit/>
          <w:trHeight w:val="170"/>
        </w:trPr>
        <w:tc>
          <w:tcPr>
            <w:tcW w:w="2782" w:type="pct"/>
          </w:tcPr>
          <w:p w14:paraId="34E93DB4"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Ljekarne</w:t>
            </w:r>
          </w:p>
        </w:tc>
        <w:tc>
          <w:tcPr>
            <w:tcW w:w="767" w:type="pct"/>
            <w:shd w:val="clear" w:color="auto" w:fill="auto"/>
            <w:vAlign w:val="center"/>
          </w:tcPr>
          <w:p w14:paraId="72F0EA65"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13</w:t>
            </w:r>
          </w:p>
        </w:tc>
        <w:tc>
          <w:tcPr>
            <w:tcW w:w="924" w:type="pct"/>
            <w:shd w:val="clear" w:color="auto" w:fill="auto"/>
            <w:vAlign w:val="center"/>
          </w:tcPr>
          <w:p w14:paraId="1F5D13E3"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3</w:t>
            </w:r>
          </w:p>
        </w:tc>
        <w:tc>
          <w:tcPr>
            <w:tcW w:w="527" w:type="pct"/>
            <w:vAlign w:val="center"/>
          </w:tcPr>
          <w:p w14:paraId="50D0B438"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2</w:t>
            </w:r>
          </w:p>
        </w:tc>
      </w:tr>
      <w:tr w:rsidR="0018381F" w:rsidRPr="00FD510D" w14:paraId="2D2343BE" w14:textId="77777777" w:rsidTr="0018381F">
        <w:trPr>
          <w:cantSplit/>
          <w:trHeight w:val="170"/>
        </w:trPr>
        <w:tc>
          <w:tcPr>
            <w:tcW w:w="2782" w:type="pct"/>
          </w:tcPr>
          <w:p w14:paraId="6FE5BE0B" w14:textId="77777777" w:rsidR="0018381F" w:rsidRPr="00FD510D" w:rsidRDefault="0018381F" w:rsidP="0018381F">
            <w:pPr>
              <w:rPr>
                <w:rFonts w:eastAsia="Times New Roman" w:cs="Tahoma"/>
                <w:b/>
                <w:color w:val="000000"/>
                <w:sz w:val="18"/>
                <w:szCs w:val="18"/>
              </w:rPr>
            </w:pPr>
            <w:r w:rsidRPr="00FD510D">
              <w:rPr>
                <w:rFonts w:eastAsia="Times New Roman" w:cs="Tahoma"/>
                <w:b/>
                <w:color w:val="000000"/>
                <w:sz w:val="18"/>
                <w:szCs w:val="18"/>
              </w:rPr>
              <w:t>Ukupno</w:t>
            </w:r>
          </w:p>
        </w:tc>
        <w:tc>
          <w:tcPr>
            <w:tcW w:w="767" w:type="pct"/>
            <w:shd w:val="clear" w:color="auto" w:fill="auto"/>
          </w:tcPr>
          <w:p w14:paraId="5BB897F7"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87</w:t>
            </w:r>
          </w:p>
        </w:tc>
        <w:tc>
          <w:tcPr>
            <w:tcW w:w="924" w:type="pct"/>
            <w:shd w:val="clear" w:color="auto" w:fill="auto"/>
          </w:tcPr>
          <w:p w14:paraId="53AAD531"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21</w:t>
            </w:r>
          </w:p>
        </w:tc>
        <w:tc>
          <w:tcPr>
            <w:tcW w:w="527" w:type="pct"/>
          </w:tcPr>
          <w:p w14:paraId="5BC1994F" w14:textId="77777777" w:rsidR="0018381F" w:rsidRPr="00FD510D" w:rsidRDefault="0018381F" w:rsidP="0018381F">
            <w:pPr>
              <w:jc w:val="center"/>
              <w:rPr>
                <w:rFonts w:eastAsia="Times New Roman" w:cs="Tahoma"/>
                <w:b/>
                <w:color w:val="000000"/>
                <w:sz w:val="18"/>
                <w:szCs w:val="18"/>
              </w:rPr>
            </w:pPr>
            <w:r w:rsidRPr="00FD510D">
              <w:rPr>
                <w:rFonts w:eastAsia="Times New Roman" w:cs="Tahoma"/>
                <w:b/>
                <w:color w:val="000000"/>
                <w:sz w:val="18"/>
                <w:szCs w:val="18"/>
              </w:rPr>
              <w:t>11</w:t>
            </w:r>
          </w:p>
        </w:tc>
      </w:tr>
    </w:tbl>
    <w:p w14:paraId="3CEA93E9" w14:textId="77777777" w:rsidR="0018381F" w:rsidRPr="00FD510D" w:rsidRDefault="0018381F" w:rsidP="0018381F">
      <w:pPr>
        <w:jc w:val="left"/>
        <w:rPr>
          <w:rFonts w:cs="Tahoma"/>
          <w:color w:val="39617A"/>
          <w:sz w:val="18"/>
          <w:szCs w:val="18"/>
        </w:rPr>
      </w:pPr>
      <w:r w:rsidRPr="00FD510D">
        <w:rPr>
          <w:rFonts w:cs="Tahoma"/>
          <w:color w:val="39617A"/>
          <w:sz w:val="18"/>
          <w:szCs w:val="18"/>
        </w:rPr>
        <w:t>* Potreban broj timova</w:t>
      </w:r>
    </w:p>
    <w:p w14:paraId="0E391ADA" w14:textId="77777777" w:rsidR="0018381F" w:rsidRPr="00FD510D" w:rsidRDefault="0018381F" w:rsidP="0018381F">
      <w:pPr>
        <w:jc w:val="left"/>
        <w:rPr>
          <w:rFonts w:cs="Tahoma"/>
          <w:color w:val="39617A"/>
          <w:sz w:val="18"/>
          <w:szCs w:val="18"/>
        </w:rPr>
      </w:pPr>
      <w:r w:rsidRPr="00FD510D">
        <w:rPr>
          <w:rFonts w:cs="Tahoma"/>
          <w:color w:val="39617A"/>
          <w:sz w:val="18"/>
          <w:szCs w:val="18"/>
        </w:rPr>
        <w:t>Izvor: HZZO, 2019.</w:t>
      </w:r>
    </w:p>
    <w:p w14:paraId="17CF22DC" w14:textId="0E815902" w:rsidR="00B83ACA" w:rsidRPr="00B83ACA" w:rsidRDefault="0018381F" w:rsidP="00B83ACA">
      <w:r w:rsidRPr="00B83ACA">
        <w:t>Sekundarna zdravstvena zaštita na urbanom području provodi se u Općoj bolnici Karlovac, Poliklinici za rehabilitaciju slušanja i govora SUVAG te u Specijalnoj bolnici za produženo liječenje u Dugoj Resi. Opća bolnica Karlovac pruža zdravstvenu njegu u 15 specijalističkih područja (interna medicina, kirurgija, ginekologija i opstetricija, neurologija, pedijatrija, psihijatrija, infektologija, urologija, oftalmologija, otorinolaringologija, anesteziologija, fizikalna medicina i rehabilitacija, radi</w:t>
      </w:r>
      <w:r w:rsidR="00985970">
        <w:t>ologija, transfuzijska medicina</w:t>
      </w:r>
      <w:r w:rsidRPr="00B83ACA">
        <w:t xml:space="preserve"> te palijativno liječenje. U bolnici se nalazi i jedinstvena jedinica za prijam hitnih bolesnika (OHBP). </w:t>
      </w:r>
      <w:r w:rsidR="00B83ACA">
        <w:t>U</w:t>
      </w:r>
      <w:r w:rsidRPr="00B83ACA">
        <w:t xml:space="preserve"> Općoj bolnici Karlovac nalazi </w:t>
      </w:r>
      <w:r w:rsidR="00B83ACA">
        <w:t xml:space="preserve">se </w:t>
      </w:r>
      <w:r w:rsidRPr="00B83ACA">
        <w:t xml:space="preserve">i Centar za dijalizu koji je otvoren 1985. </w:t>
      </w:r>
      <w:r w:rsidR="00985970" w:rsidRPr="00B83ACA">
        <w:t>G</w:t>
      </w:r>
      <w:r w:rsidRPr="00B83ACA">
        <w:t>odine</w:t>
      </w:r>
      <w:r w:rsidR="00985970">
        <w:t>, te</w:t>
      </w:r>
      <w:r w:rsidRPr="00B83ACA">
        <w:t xml:space="preserve"> zajedn</w:t>
      </w:r>
      <w:r w:rsidR="00985970">
        <w:t>o s onim u Općoj bolnici Ogulin predstavlja</w:t>
      </w:r>
      <w:r w:rsidR="00192EA4">
        <w:t xml:space="preserve"> jedine centre za dijalizu u K</w:t>
      </w:r>
      <w:r w:rsidRPr="00B83ACA">
        <w:t>a</w:t>
      </w:r>
      <w:r w:rsidR="00192EA4">
        <w:t>r</w:t>
      </w:r>
      <w:r w:rsidRPr="00B83ACA">
        <w:t>lovačkoj županiji. U Specijalnoj bolnici za produže</w:t>
      </w:r>
      <w:r w:rsidR="00985970">
        <w:t>no liječenje u Dugoj Resi nalaze</w:t>
      </w:r>
      <w:r w:rsidRPr="00B83ACA">
        <w:t xml:space="preserve"> se 4 odjela za produženo liječenje (interna medicina</w:t>
      </w:r>
      <w:r w:rsidR="00985970">
        <w:t xml:space="preserve"> I i II</w:t>
      </w:r>
      <w:r w:rsidRPr="00B83ACA">
        <w:t>, neurologija</w:t>
      </w:r>
      <w:r w:rsidR="00B83ACA" w:rsidRPr="00B83ACA">
        <w:t xml:space="preserve"> i fizikalna medicina) te Odjel</w:t>
      </w:r>
      <w:r w:rsidRPr="00B83ACA">
        <w:t xml:space="preserve"> za palijativno liječenje. </w:t>
      </w:r>
      <w:r w:rsidR="00B83ACA">
        <w:t>Što se tiče odnosa</w:t>
      </w:r>
      <w:r w:rsidR="00B83ACA" w:rsidRPr="00B83ACA">
        <w:t xml:space="preserve"> broja raspoloživih kreveta na 1.000 stanovnika u obje bolnice možemo uočiti kako je na urbanom području osigurano 6,9 kreveta na 1.000 stanovnika (uključujući postelje za dugotrajno liječenje i palijativnu skrb)</w:t>
      </w:r>
      <w:r w:rsidR="00985970">
        <w:t>,</w:t>
      </w:r>
      <w:r w:rsidR="00B83ACA" w:rsidRPr="00B83ACA">
        <w:t xml:space="preserve"> što je gotovo 1,5 puta povoljniji omjer u odnosu na Karlovačku županiju (4,7) i Republiku Hrvatsku (4,8).</w:t>
      </w:r>
    </w:p>
    <w:p w14:paraId="6B73E5AF" w14:textId="57923503" w:rsidR="0018381F" w:rsidRPr="00B83ACA" w:rsidRDefault="0018381F" w:rsidP="00B83ACA">
      <w:r w:rsidRPr="00B83ACA">
        <w:t>Izvanbolnička specijalističko-konzilijarna i dijagnostička zdravstvena zaštita uključuje fizikalnu medicinu i rehabilitaciju, fizikalnu terapiju u kući, ortodonciju, otorinolaringologiju, pedijatriju, oftalmologiju, radiologiju (MR) te mikrobiologiju s parazitologijom na sljedećim lokacijama:</w:t>
      </w:r>
    </w:p>
    <w:p w14:paraId="583F53FF" w14:textId="26B34D50" w:rsidR="0018381F" w:rsidRPr="00FD510D" w:rsidRDefault="0018381F" w:rsidP="0018381F">
      <w:pPr>
        <w:pStyle w:val="Caption"/>
      </w:pPr>
      <w:bookmarkStart w:id="33" w:name="_Toc420581438"/>
      <w:bookmarkStart w:id="34" w:name="_Toc437387488"/>
      <w:r w:rsidRPr="00FD510D">
        <w:t xml:space="preserve">Tablica </w:t>
      </w:r>
      <w:r>
        <w:fldChar w:fldCharType="begin"/>
      </w:r>
      <w:r>
        <w:instrText xml:space="preserve"> SEQ Tablica \* ARABIC </w:instrText>
      </w:r>
      <w:r>
        <w:fldChar w:fldCharType="separate"/>
      </w:r>
      <w:r w:rsidR="001358A9">
        <w:rPr>
          <w:noProof/>
        </w:rPr>
        <w:t>15</w:t>
      </w:r>
      <w:r>
        <w:rPr>
          <w:noProof/>
        </w:rPr>
        <w:fldChar w:fldCharType="end"/>
      </w:r>
      <w:r w:rsidRPr="00FD510D">
        <w:t>. Izvanbolnička specijalističko-konzilijarna i dijagnostička zdravstvena zaštita na području VUP</w:t>
      </w:r>
      <w:r w:rsidR="00985970">
        <w:t>KA</w:t>
      </w:r>
      <w:bookmarkEnd w:id="33"/>
      <w:bookmarkEnd w:id="3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7"/>
        <w:gridCol w:w="1134"/>
        <w:gridCol w:w="2971"/>
      </w:tblGrid>
      <w:tr w:rsidR="0018381F" w:rsidRPr="00FD510D" w14:paraId="38BD1C31" w14:textId="77777777" w:rsidTr="0018381F">
        <w:trPr>
          <w:cantSplit/>
          <w:trHeight w:val="170"/>
        </w:trPr>
        <w:tc>
          <w:tcPr>
            <w:tcW w:w="4957" w:type="dxa"/>
            <w:shd w:val="clear" w:color="auto" w:fill="39617A"/>
            <w:vAlign w:val="center"/>
          </w:tcPr>
          <w:p w14:paraId="10864D5C"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Ustanova/privatna praksa</w:t>
            </w:r>
          </w:p>
        </w:tc>
        <w:tc>
          <w:tcPr>
            <w:tcW w:w="1134" w:type="dxa"/>
            <w:shd w:val="clear" w:color="auto" w:fill="39617A"/>
            <w:vAlign w:val="center"/>
          </w:tcPr>
          <w:p w14:paraId="0B526F3C"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Lokacija rada</w:t>
            </w:r>
          </w:p>
        </w:tc>
        <w:tc>
          <w:tcPr>
            <w:tcW w:w="2971" w:type="dxa"/>
            <w:shd w:val="clear" w:color="auto" w:fill="39617A"/>
            <w:vAlign w:val="center"/>
          </w:tcPr>
          <w:p w14:paraId="7481F5BC" w14:textId="77777777" w:rsidR="0018381F" w:rsidRPr="00FD510D" w:rsidRDefault="0018381F" w:rsidP="0018381F">
            <w:pPr>
              <w:jc w:val="center"/>
              <w:rPr>
                <w:rFonts w:eastAsia="Times New Roman" w:cs="Tahoma"/>
                <w:color w:val="FFFFFF"/>
                <w:sz w:val="18"/>
                <w:szCs w:val="18"/>
              </w:rPr>
            </w:pPr>
            <w:r w:rsidRPr="00FD510D">
              <w:rPr>
                <w:rFonts w:eastAsia="Times New Roman" w:cs="Tahoma"/>
                <w:color w:val="FFFFFF"/>
                <w:sz w:val="18"/>
                <w:szCs w:val="18"/>
              </w:rPr>
              <w:t>Djelatnost</w:t>
            </w:r>
          </w:p>
        </w:tc>
      </w:tr>
      <w:tr w:rsidR="0018381F" w:rsidRPr="00FD510D" w14:paraId="04F29E0A" w14:textId="77777777" w:rsidTr="0018381F">
        <w:trPr>
          <w:cantSplit/>
          <w:trHeight w:val="170"/>
        </w:trPr>
        <w:tc>
          <w:tcPr>
            <w:tcW w:w="4957" w:type="dxa"/>
          </w:tcPr>
          <w:p w14:paraId="49EF570C"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Dom zdravlja Ozalj</w:t>
            </w:r>
          </w:p>
        </w:tc>
        <w:tc>
          <w:tcPr>
            <w:tcW w:w="1134" w:type="dxa"/>
            <w:shd w:val="clear" w:color="auto" w:fill="auto"/>
          </w:tcPr>
          <w:p w14:paraId="7DEB39A1"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Ozalj</w:t>
            </w:r>
          </w:p>
        </w:tc>
        <w:tc>
          <w:tcPr>
            <w:tcW w:w="2971" w:type="dxa"/>
            <w:shd w:val="clear" w:color="auto" w:fill="auto"/>
          </w:tcPr>
          <w:p w14:paraId="440EC043"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fizikalna medicina i rehabilitacija</w:t>
            </w:r>
          </w:p>
        </w:tc>
      </w:tr>
      <w:tr w:rsidR="0018381F" w:rsidRPr="00FD510D" w14:paraId="17B5DE26" w14:textId="77777777" w:rsidTr="0018381F">
        <w:trPr>
          <w:cantSplit/>
          <w:trHeight w:val="170"/>
        </w:trPr>
        <w:tc>
          <w:tcPr>
            <w:tcW w:w="4957" w:type="dxa"/>
          </w:tcPr>
          <w:p w14:paraId="6AA594FC"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Ustanova za zdravstvenu njegu u kući "KARLOVAC"</w:t>
            </w:r>
          </w:p>
        </w:tc>
        <w:tc>
          <w:tcPr>
            <w:tcW w:w="1134" w:type="dxa"/>
            <w:shd w:val="clear" w:color="auto" w:fill="auto"/>
          </w:tcPr>
          <w:p w14:paraId="6D517FF4"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Ozalj</w:t>
            </w:r>
          </w:p>
        </w:tc>
        <w:tc>
          <w:tcPr>
            <w:tcW w:w="2971" w:type="dxa"/>
            <w:shd w:val="clear" w:color="auto" w:fill="auto"/>
          </w:tcPr>
          <w:p w14:paraId="6AA6AFDF"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fizikalna terapija u kući</w:t>
            </w:r>
          </w:p>
        </w:tc>
      </w:tr>
      <w:tr w:rsidR="0018381F" w:rsidRPr="00FD510D" w14:paraId="2AA8E8AC" w14:textId="77777777" w:rsidTr="0018381F">
        <w:trPr>
          <w:cantSplit/>
          <w:trHeight w:val="170"/>
        </w:trPr>
        <w:tc>
          <w:tcPr>
            <w:tcW w:w="4957" w:type="dxa"/>
          </w:tcPr>
          <w:p w14:paraId="37180D01"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Ustanova za zdravstvenu njegu u kući "KARLOVAC"</w:t>
            </w:r>
          </w:p>
        </w:tc>
        <w:tc>
          <w:tcPr>
            <w:tcW w:w="1134" w:type="dxa"/>
            <w:shd w:val="clear" w:color="auto" w:fill="auto"/>
          </w:tcPr>
          <w:p w14:paraId="30B7B7DB"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Duga Resa</w:t>
            </w:r>
          </w:p>
        </w:tc>
        <w:tc>
          <w:tcPr>
            <w:tcW w:w="2971" w:type="dxa"/>
            <w:shd w:val="clear" w:color="auto" w:fill="auto"/>
          </w:tcPr>
          <w:p w14:paraId="131513E5"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fizikalna terapija u kući</w:t>
            </w:r>
          </w:p>
        </w:tc>
      </w:tr>
      <w:tr w:rsidR="0018381F" w:rsidRPr="00FD510D" w14:paraId="34CCDB8B" w14:textId="77777777" w:rsidTr="0018381F">
        <w:trPr>
          <w:cantSplit/>
          <w:trHeight w:val="170"/>
        </w:trPr>
        <w:tc>
          <w:tcPr>
            <w:tcW w:w="4957" w:type="dxa"/>
          </w:tcPr>
          <w:p w14:paraId="2CF2D5F8"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Dom zdravlja Karlovac</w:t>
            </w:r>
          </w:p>
        </w:tc>
        <w:tc>
          <w:tcPr>
            <w:tcW w:w="1134" w:type="dxa"/>
            <w:shd w:val="clear" w:color="auto" w:fill="auto"/>
          </w:tcPr>
          <w:p w14:paraId="7B074981"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Karlovac</w:t>
            </w:r>
          </w:p>
        </w:tc>
        <w:tc>
          <w:tcPr>
            <w:tcW w:w="2971" w:type="dxa"/>
            <w:shd w:val="clear" w:color="auto" w:fill="auto"/>
          </w:tcPr>
          <w:p w14:paraId="619BE5D4"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ortodoncija</w:t>
            </w:r>
          </w:p>
        </w:tc>
      </w:tr>
      <w:tr w:rsidR="0018381F" w:rsidRPr="00FD510D" w14:paraId="1E0E5B0E" w14:textId="77777777" w:rsidTr="0018381F">
        <w:trPr>
          <w:cantSplit/>
          <w:trHeight w:val="170"/>
        </w:trPr>
        <w:tc>
          <w:tcPr>
            <w:tcW w:w="4957" w:type="dxa"/>
          </w:tcPr>
          <w:p w14:paraId="320F420F"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Privatna fizioterapeutska praksa Ivan Pavlov, viši fizioterapeut</w:t>
            </w:r>
          </w:p>
        </w:tc>
        <w:tc>
          <w:tcPr>
            <w:tcW w:w="1134" w:type="dxa"/>
            <w:shd w:val="clear" w:color="auto" w:fill="auto"/>
          </w:tcPr>
          <w:p w14:paraId="0E65F5C5"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Karlovac</w:t>
            </w:r>
          </w:p>
        </w:tc>
        <w:tc>
          <w:tcPr>
            <w:tcW w:w="2971" w:type="dxa"/>
            <w:shd w:val="clear" w:color="auto" w:fill="auto"/>
          </w:tcPr>
          <w:p w14:paraId="78924282"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fizikalna terapija u kući</w:t>
            </w:r>
          </w:p>
        </w:tc>
      </w:tr>
      <w:tr w:rsidR="0018381F" w:rsidRPr="00FD510D" w14:paraId="16459DD2" w14:textId="77777777" w:rsidTr="0018381F">
        <w:trPr>
          <w:cantSplit/>
          <w:trHeight w:val="170"/>
        </w:trPr>
        <w:tc>
          <w:tcPr>
            <w:tcW w:w="4957" w:type="dxa"/>
          </w:tcPr>
          <w:p w14:paraId="27C7FC3B"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lastRenderedPageBreak/>
              <w:t>Ustanova za zdravstvenu njegu u kući "KARLOVAC"</w:t>
            </w:r>
          </w:p>
        </w:tc>
        <w:tc>
          <w:tcPr>
            <w:tcW w:w="1134" w:type="dxa"/>
            <w:shd w:val="clear" w:color="auto" w:fill="auto"/>
          </w:tcPr>
          <w:p w14:paraId="3E243C99"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Karlovac</w:t>
            </w:r>
          </w:p>
        </w:tc>
        <w:tc>
          <w:tcPr>
            <w:tcW w:w="2971" w:type="dxa"/>
            <w:shd w:val="clear" w:color="auto" w:fill="auto"/>
          </w:tcPr>
          <w:p w14:paraId="0F359945"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fizikalna terapija u kući</w:t>
            </w:r>
          </w:p>
        </w:tc>
      </w:tr>
      <w:tr w:rsidR="0018381F" w:rsidRPr="00FD510D" w14:paraId="78C922B0" w14:textId="77777777" w:rsidTr="0018381F">
        <w:trPr>
          <w:cantSplit/>
          <w:trHeight w:val="170"/>
        </w:trPr>
        <w:tc>
          <w:tcPr>
            <w:tcW w:w="4957" w:type="dxa"/>
          </w:tcPr>
          <w:p w14:paraId="07C44C25"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Poliklinika za rehabilitaciju slušanja i govora "Suvag"- Karlovac</w:t>
            </w:r>
          </w:p>
        </w:tc>
        <w:tc>
          <w:tcPr>
            <w:tcW w:w="1134" w:type="dxa"/>
            <w:shd w:val="clear" w:color="auto" w:fill="auto"/>
          </w:tcPr>
          <w:p w14:paraId="10A9EC87"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Karlovac</w:t>
            </w:r>
          </w:p>
        </w:tc>
        <w:tc>
          <w:tcPr>
            <w:tcW w:w="2971" w:type="dxa"/>
            <w:shd w:val="clear" w:color="auto" w:fill="auto"/>
          </w:tcPr>
          <w:p w14:paraId="61E3BCA6"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otorinolaringologija</w:t>
            </w:r>
          </w:p>
        </w:tc>
      </w:tr>
      <w:tr w:rsidR="0018381F" w:rsidRPr="00FD510D" w14:paraId="38B22763" w14:textId="77777777" w:rsidTr="0018381F">
        <w:trPr>
          <w:cantSplit/>
          <w:trHeight w:val="170"/>
        </w:trPr>
        <w:tc>
          <w:tcPr>
            <w:tcW w:w="4957" w:type="dxa"/>
          </w:tcPr>
          <w:p w14:paraId="5744B9D7"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Poliklinika za rehabilitaciju slušanja i govora "Suvag"- Karlovac</w:t>
            </w:r>
          </w:p>
        </w:tc>
        <w:tc>
          <w:tcPr>
            <w:tcW w:w="1134" w:type="dxa"/>
            <w:shd w:val="clear" w:color="auto" w:fill="auto"/>
          </w:tcPr>
          <w:p w14:paraId="029A4959"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Karlovac</w:t>
            </w:r>
          </w:p>
        </w:tc>
        <w:tc>
          <w:tcPr>
            <w:tcW w:w="2971" w:type="dxa"/>
            <w:shd w:val="clear" w:color="auto" w:fill="auto"/>
          </w:tcPr>
          <w:p w14:paraId="73FC7F72"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pedijatrija</w:t>
            </w:r>
          </w:p>
        </w:tc>
      </w:tr>
      <w:tr w:rsidR="0018381F" w:rsidRPr="00FD510D" w14:paraId="515EC912" w14:textId="77777777" w:rsidTr="0018381F">
        <w:trPr>
          <w:cantSplit/>
          <w:trHeight w:val="170"/>
        </w:trPr>
        <w:tc>
          <w:tcPr>
            <w:tcW w:w="4957" w:type="dxa"/>
          </w:tcPr>
          <w:p w14:paraId="259DCBD2"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Poliklinika za oftalmologiju i otorinolaringologiju Ghetaldus</w:t>
            </w:r>
          </w:p>
        </w:tc>
        <w:tc>
          <w:tcPr>
            <w:tcW w:w="1134" w:type="dxa"/>
            <w:shd w:val="clear" w:color="auto" w:fill="auto"/>
          </w:tcPr>
          <w:p w14:paraId="31A0FC60"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Karlovac</w:t>
            </w:r>
          </w:p>
        </w:tc>
        <w:tc>
          <w:tcPr>
            <w:tcW w:w="2971" w:type="dxa"/>
            <w:shd w:val="clear" w:color="auto" w:fill="auto"/>
          </w:tcPr>
          <w:p w14:paraId="07FEB47D"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oftalmologija</w:t>
            </w:r>
          </w:p>
        </w:tc>
      </w:tr>
      <w:tr w:rsidR="0018381F" w:rsidRPr="00FD510D" w14:paraId="672999AE" w14:textId="77777777" w:rsidTr="0018381F">
        <w:trPr>
          <w:cantSplit/>
          <w:trHeight w:val="170"/>
        </w:trPr>
        <w:tc>
          <w:tcPr>
            <w:tcW w:w="4957" w:type="dxa"/>
          </w:tcPr>
          <w:p w14:paraId="3C549114"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Poliklinika VURA</w:t>
            </w:r>
          </w:p>
        </w:tc>
        <w:tc>
          <w:tcPr>
            <w:tcW w:w="1134" w:type="dxa"/>
            <w:shd w:val="clear" w:color="auto" w:fill="auto"/>
          </w:tcPr>
          <w:p w14:paraId="134E886E"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Karlovac</w:t>
            </w:r>
          </w:p>
        </w:tc>
        <w:tc>
          <w:tcPr>
            <w:tcW w:w="2971" w:type="dxa"/>
            <w:shd w:val="clear" w:color="auto" w:fill="auto"/>
          </w:tcPr>
          <w:p w14:paraId="46D4A779"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 xml:space="preserve">radiologija (MR)  </w:t>
            </w:r>
          </w:p>
        </w:tc>
      </w:tr>
      <w:tr w:rsidR="0018381F" w:rsidRPr="00FD510D" w14:paraId="72FE55AB" w14:textId="77777777" w:rsidTr="0018381F">
        <w:trPr>
          <w:cantSplit/>
          <w:trHeight w:val="170"/>
        </w:trPr>
        <w:tc>
          <w:tcPr>
            <w:tcW w:w="4957" w:type="dxa"/>
          </w:tcPr>
          <w:p w14:paraId="41F9A86A"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Zavod za javno zdravstvo Karlovačke županije</w:t>
            </w:r>
          </w:p>
        </w:tc>
        <w:tc>
          <w:tcPr>
            <w:tcW w:w="1134" w:type="dxa"/>
            <w:shd w:val="clear" w:color="auto" w:fill="auto"/>
          </w:tcPr>
          <w:p w14:paraId="21BEBC2F" w14:textId="77777777" w:rsidR="0018381F" w:rsidRPr="00FD510D" w:rsidRDefault="0018381F" w:rsidP="0018381F">
            <w:pPr>
              <w:jc w:val="center"/>
              <w:rPr>
                <w:rFonts w:eastAsia="Times New Roman" w:cs="Tahoma"/>
                <w:color w:val="000000"/>
                <w:sz w:val="18"/>
                <w:szCs w:val="18"/>
              </w:rPr>
            </w:pPr>
            <w:r w:rsidRPr="00FD510D">
              <w:rPr>
                <w:rFonts w:eastAsia="Times New Roman" w:cs="Tahoma"/>
                <w:color w:val="000000"/>
                <w:sz w:val="18"/>
                <w:szCs w:val="18"/>
              </w:rPr>
              <w:t>Karlovac</w:t>
            </w:r>
          </w:p>
        </w:tc>
        <w:tc>
          <w:tcPr>
            <w:tcW w:w="2971" w:type="dxa"/>
            <w:shd w:val="clear" w:color="auto" w:fill="auto"/>
          </w:tcPr>
          <w:p w14:paraId="2D460A1A" w14:textId="77777777" w:rsidR="0018381F" w:rsidRPr="00FD510D" w:rsidRDefault="0018381F" w:rsidP="0018381F">
            <w:pPr>
              <w:jc w:val="left"/>
              <w:rPr>
                <w:rFonts w:eastAsia="Times New Roman" w:cs="Tahoma"/>
                <w:color w:val="000000"/>
                <w:sz w:val="18"/>
                <w:szCs w:val="18"/>
              </w:rPr>
            </w:pPr>
            <w:r w:rsidRPr="00FD510D">
              <w:rPr>
                <w:rFonts w:eastAsia="Times New Roman" w:cs="Tahoma"/>
                <w:color w:val="000000"/>
                <w:sz w:val="18"/>
                <w:szCs w:val="18"/>
              </w:rPr>
              <w:t>mikrobiologija s parazitologijom</w:t>
            </w:r>
          </w:p>
        </w:tc>
      </w:tr>
    </w:tbl>
    <w:p w14:paraId="2229733D" w14:textId="77777777" w:rsidR="0018381F" w:rsidRPr="00FD510D" w:rsidRDefault="0018381F" w:rsidP="0018381F">
      <w:pPr>
        <w:jc w:val="left"/>
        <w:rPr>
          <w:rFonts w:cs="Tahoma"/>
          <w:color w:val="39617A"/>
          <w:sz w:val="18"/>
          <w:szCs w:val="18"/>
        </w:rPr>
      </w:pPr>
      <w:r w:rsidRPr="00FD510D">
        <w:rPr>
          <w:rFonts w:cs="Tahoma"/>
          <w:color w:val="39617A"/>
          <w:sz w:val="18"/>
          <w:szCs w:val="18"/>
        </w:rPr>
        <w:t>Izvor: HZZO, 2019.</w:t>
      </w:r>
    </w:p>
    <w:p w14:paraId="4DB637BF" w14:textId="47A9BBD2" w:rsidR="0018381F" w:rsidRPr="00B83ACA" w:rsidRDefault="0018381F" w:rsidP="00B83ACA">
      <w:r w:rsidRPr="00B83ACA">
        <w:t>Od županijskih ustanova u Karlovcu djeluju i Zavod za hitnu medicinu Karlovačke županije te Zavod za javno zdravstvo. Zavod za hitnu medicinu Karlovačke županije provodi mjere hitne medicinske pomoći i osigurava prijevoz oboljelih, stradalih i ozlijeđenih u odgovarajuću zdravstvenu ustanovu te pruža medicinsku pomoć za vrijeme prijevoza</w:t>
      </w:r>
      <w:r w:rsidR="00B83ACA">
        <w:t xml:space="preserve">, a u </w:t>
      </w:r>
      <w:r w:rsidRPr="00B83ACA">
        <w:t>svom djelokrugu pokriva 3.622 km</w:t>
      </w:r>
      <w:r w:rsidRPr="00B83ACA">
        <w:rPr>
          <w:vertAlign w:val="superscript"/>
        </w:rPr>
        <w:t>2</w:t>
      </w:r>
      <w:r w:rsidR="00B83ACA">
        <w:t>.</w:t>
      </w:r>
    </w:p>
    <w:p w14:paraId="37E7C2CA" w14:textId="75AB3254" w:rsidR="0018381F" w:rsidRPr="00194E23" w:rsidRDefault="0018381F" w:rsidP="00194E23">
      <w:r w:rsidRPr="00B83ACA">
        <w:t>Rad Zavoda za javno zdravstvo odvija se u sjedištu ustanove u Karlovcu te u četiri ispostave (Duga Resa, Ogulin, Ozalj i Slunj). U okviru Zavoda djeluju sljedeće službe: Služba za epidemiologiju, Služba za zdravstvenu ekologiju, Služba za školsku medicinu, Služba za mikrobiologiju i parazitologiju te Služba za zaštitu mentalnog zdravlja, prevenciju i izvanbolničko liječenje ovisnosti. Uz navedene službe u Zavodu dje</w:t>
      </w:r>
      <w:r w:rsidR="00194E23">
        <w:t>luje i mikrobiološka ambulanta.</w:t>
      </w:r>
    </w:p>
    <w:p w14:paraId="773B7378" w14:textId="55974540" w:rsidR="00F57086" w:rsidRPr="00194E23" w:rsidRDefault="0018381F" w:rsidP="00194E23">
      <w:r w:rsidRPr="00194E23">
        <w:t xml:space="preserve">S obzirom </w:t>
      </w:r>
      <w:r w:rsidR="00985970">
        <w:t xml:space="preserve">na to </w:t>
      </w:r>
      <w:r w:rsidRPr="00194E23">
        <w:t xml:space="preserve">da na urbanom području postoje teško dostupna i staračka domaćinstva, </w:t>
      </w:r>
      <w:r w:rsidR="00194E23">
        <w:t>što</w:t>
      </w:r>
      <w:r w:rsidRPr="00194E23">
        <w:t xml:space="preserve"> se osobito odnosi na žumberačka naselja </w:t>
      </w:r>
      <w:r w:rsidR="00194E23">
        <w:t xml:space="preserve">na području grada Ozlja, postoji potreba za organizacijom mobilnih ambulanti. </w:t>
      </w:r>
    </w:p>
    <w:p w14:paraId="3EC9CA8D" w14:textId="77777777" w:rsidR="00F57086" w:rsidRPr="00194E23" w:rsidRDefault="00F57086" w:rsidP="00194E23"/>
    <w:p w14:paraId="5E6C6082" w14:textId="2B274B9B" w:rsidR="00F57086" w:rsidRDefault="00F57086" w:rsidP="00F57086">
      <w:pPr>
        <w:pStyle w:val="Heading3"/>
      </w:pPr>
      <w:bookmarkStart w:id="35" w:name="_Toc437390580"/>
      <w:r>
        <w:t>Odgoj i obrazovanje</w:t>
      </w:r>
      <w:bookmarkEnd w:id="35"/>
    </w:p>
    <w:p w14:paraId="713B58F9" w14:textId="77777777" w:rsidR="00194E23" w:rsidRPr="00FD510D" w:rsidRDefault="00194E23" w:rsidP="00194E23">
      <w:pPr>
        <w:pStyle w:val="Heading4"/>
      </w:pPr>
      <w:r w:rsidRPr="00FD510D">
        <w:t>Predškolski odgoj</w:t>
      </w:r>
    </w:p>
    <w:p w14:paraId="52E61843" w14:textId="064FDAE3" w:rsidR="00194E23" w:rsidRPr="00F13D61" w:rsidRDefault="00985970" w:rsidP="00F13D61">
      <w:r>
        <w:t xml:space="preserve">Na urbanom području VUPKA </w:t>
      </w:r>
      <w:r w:rsidR="00194E23" w:rsidRPr="00194E23">
        <w:t xml:space="preserve">djeluje sveukupno </w:t>
      </w:r>
      <w:r w:rsidR="00F13D61">
        <w:rPr>
          <w:b/>
        </w:rPr>
        <w:t>6</w:t>
      </w:r>
      <w:r w:rsidR="00194E23" w:rsidRPr="0029423A">
        <w:rPr>
          <w:b/>
        </w:rPr>
        <w:t xml:space="preserve"> </w:t>
      </w:r>
      <w:r w:rsidR="00F13D61">
        <w:rPr>
          <w:b/>
        </w:rPr>
        <w:t xml:space="preserve">od ukupno 12 </w:t>
      </w:r>
      <w:r w:rsidR="00194E23" w:rsidRPr="0029423A">
        <w:rPr>
          <w:b/>
        </w:rPr>
        <w:t xml:space="preserve">ustanova za predškolski odgoj </w:t>
      </w:r>
      <w:r w:rsidR="00F13D61">
        <w:rPr>
          <w:b/>
        </w:rPr>
        <w:t>na području</w:t>
      </w:r>
      <w:r w:rsidR="00194E23" w:rsidRPr="0029423A">
        <w:rPr>
          <w:b/>
        </w:rPr>
        <w:t xml:space="preserve"> </w:t>
      </w:r>
      <w:r>
        <w:rPr>
          <w:b/>
        </w:rPr>
        <w:t>Županije</w:t>
      </w:r>
      <w:r w:rsidR="00194E23" w:rsidRPr="0029423A">
        <w:rPr>
          <w:b/>
        </w:rPr>
        <w:t>.</w:t>
      </w:r>
      <w:r w:rsidR="00194E23" w:rsidRPr="00194E23">
        <w:t xml:space="preserve"> Na području Grada Karlovca, uz DV "Karlovac", </w:t>
      </w:r>
      <w:r w:rsidR="00F13D61">
        <w:t xml:space="preserve"> DV "Četiri rijeke" i </w:t>
      </w:r>
      <w:r w:rsidR="00F13D61" w:rsidRPr="00194E23">
        <w:t>DV "Tintilinić"</w:t>
      </w:r>
      <w:r w:rsidR="00F13D61">
        <w:t xml:space="preserve"> (privatni) djeluje i </w:t>
      </w:r>
      <w:r w:rsidR="00194E23" w:rsidRPr="00194E23">
        <w:t>Centa</w:t>
      </w:r>
      <w:r w:rsidR="00F13D61">
        <w:t>r</w:t>
      </w:r>
      <w:r w:rsidR="00194E23" w:rsidRPr="00194E23">
        <w:t xml:space="preserve"> za odgo</w:t>
      </w:r>
      <w:r w:rsidR="0029423A">
        <w:t>j i obrazovanje djece i mladeži</w:t>
      </w:r>
      <w:r w:rsidR="00194E23" w:rsidRPr="00194E23">
        <w:t xml:space="preserve"> </w:t>
      </w:r>
      <w:r w:rsidR="00F13D61">
        <w:t xml:space="preserve">u kojem se </w:t>
      </w:r>
      <w:r w:rsidR="00194E23" w:rsidRPr="00194E23">
        <w:t xml:space="preserve">provodi i poseban program predškole </w:t>
      </w:r>
      <w:r w:rsidR="0029423A" w:rsidRPr="00194E23">
        <w:t>z</w:t>
      </w:r>
      <w:r w:rsidR="0029423A">
        <w:t>a djecu s poteškoćama u razvoju, verificiran od strane MZO-a</w:t>
      </w:r>
      <w:r w:rsidR="00194E23" w:rsidRPr="00194E23">
        <w:t>.</w:t>
      </w:r>
      <w:r w:rsidR="005E79E1">
        <w:t xml:space="preserve"> Dječji vrtići na području Karlovca djeluju u 10 objekata, a rad se odvija u 30 do 40 odgojnih skupina, od čega 10 do 15 jasličkih.</w:t>
      </w:r>
      <w:r>
        <w:t xml:space="preserve"> Na području Grada Duge</w:t>
      </w:r>
      <w:r w:rsidR="00194E23" w:rsidRPr="00194E23">
        <w:t xml:space="preserve"> Rese djeluje Dječji vrtić "Duga Resa"</w:t>
      </w:r>
      <w:r w:rsidR="005E79E1">
        <w:t xml:space="preserve"> koji rad obavlja u 4 objekta</w:t>
      </w:r>
      <w:r w:rsidR="00194E23" w:rsidRPr="00194E23">
        <w:t xml:space="preserve">, a na ozaljskom području DV "Zvončić Ozalj". </w:t>
      </w:r>
    </w:p>
    <w:p w14:paraId="603DABD6" w14:textId="6E3D9B92" w:rsidR="00194E23" w:rsidRPr="00F13D61" w:rsidRDefault="00194E23" w:rsidP="00F13D61">
      <w:r w:rsidRPr="00F13D61">
        <w:t>U pedagoškoj je godini 2017./2018. bilo upisano 2.204 djece odnosno 9,6% manje u odnosu na prethodnu 2016./2017. godinu. Najveći pad broja upisane djece zabilježen je u DV Duga Resa (26,8%)</w:t>
      </w:r>
      <w:r w:rsidR="00985970">
        <w:t>,</w:t>
      </w:r>
      <w:r w:rsidRPr="00F13D61">
        <w:t xml:space="preserve"> dok dječji vrtić u Ozlju, suprotno trend</w:t>
      </w:r>
      <w:r w:rsidR="00985970">
        <w:t>ovima u drugi</w:t>
      </w:r>
      <w:r w:rsidRPr="00F13D61">
        <w:t>m vrtićima, bilježi porast od 8,6%. Početkom pedagoške godine 2017./2018.</w:t>
      </w:r>
      <w:r w:rsidR="00985970">
        <w:t>,</w:t>
      </w:r>
      <w:r w:rsidRPr="00F13D61">
        <w:t xml:space="preserve"> u vrtićima je bilo zaposleno 276 zaposlenika (od čega 163 odgojitelja), što je 5 zaposlenika više u odnosu na prethodnu pedagošku godinu</w:t>
      </w:r>
      <w:r w:rsidR="00985970">
        <w:t>. M</w:t>
      </w:r>
      <w:r w:rsidRPr="00F13D61">
        <w:t>eđutim</w:t>
      </w:r>
      <w:r w:rsidR="00985970">
        <w:t>,</w:t>
      </w:r>
      <w:r w:rsidRPr="00F13D61">
        <w:t xml:space="preserve"> broj odgojitelja se smanjio za 4,7%. </w:t>
      </w:r>
    </w:p>
    <w:p w14:paraId="582DDCE7" w14:textId="40CCF902" w:rsidR="00194E23" w:rsidRPr="005E79E1" w:rsidRDefault="00194E23" w:rsidP="005E79E1">
      <w:r w:rsidRPr="005E79E1">
        <w:t>Potrebe u dječjim vrtićima izražene su u vidu jačanja kapaciteta osoblja, nabavu pomagala i opreme</w:t>
      </w:r>
      <w:r w:rsidR="00985970">
        <w:t>,</w:t>
      </w:r>
      <w:r w:rsidRPr="005E79E1">
        <w:t xml:space="preserve"> ali postoje i potrebe za infrastrukturnim zahvatima. Primjerice</w:t>
      </w:r>
      <w:r w:rsidR="00985970">
        <w:t xml:space="preserve">, u Karlovcu </w:t>
      </w:r>
      <w:r w:rsidRPr="005E79E1">
        <w:t>uz po</w:t>
      </w:r>
      <w:r w:rsidR="00985970">
        <w:t>stojeću prekapacitiranost grupa</w:t>
      </w:r>
      <w:r w:rsidRPr="005E79E1">
        <w:t xml:space="preserve"> postoji i potreba za poboljšanjem tehničkog stanja vrtićkih objekata. </w:t>
      </w:r>
    </w:p>
    <w:p w14:paraId="72807FED" w14:textId="77777777" w:rsidR="00194E23" w:rsidRPr="005E79E1" w:rsidRDefault="00194E23" w:rsidP="005E79E1"/>
    <w:p w14:paraId="46B8AA86" w14:textId="77777777" w:rsidR="00194E23" w:rsidRPr="00FD510D" w:rsidRDefault="00194E23" w:rsidP="005E79E1">
      <w:pPr>
        <w:pStyle w:val="Heading4"/>
      </w:pPr>
      <w:r w:rsidRPr="00FD510D">
        <w:t>Osnovnoškolsko obrazovanje</w:t>
      </w:r>
    </w:p>
    <w:p w14:paraId="09A04A60" w14:textId="465FCC55" w:rsidR="00194E23" w:rsidRPr="005E79E1" w:rsidRDefault="00194E23" w:rsidP="005E79E1">
      <w:r w:rsidRPr="005E79E1">
        <w:t xml:space="preserve">Na urbanom području VUP-a Karlovac djeluje </w:t>
      </w:r>
      <w:r w:rsidRPr="005E79E1">
        <w:rPr>
          <w:b/>
        </w:rPr>
        <w:t>1</w:t>
      </w:r>
      <w:r w:rsidR="009E0951">
        <w:rPr>
          <w:b/>
        </w:rPr>
        <w:t>3</w:t>
      </w:r>
      <w:r w:rsidRPr="005E79E1">
        <w:rPr>
          <w:b/>
        </w:rPr>
        <w:t xml:space="preserve"> osnovnih škola</w:t>
      </w:r>
      <w:r w:rsidRPr="005E79E1">
        <w:t xml:space="preserve"> od čega ih je </w:t>
      </w:r>
      <w:r w:rsidR="009E0951">
        <w:t>10</w:t>
      </w:r>
      <w:r w:rsidRPr="005E79E1">
        <w:t xml:space="preserve"> </w:t>
      </w:r>
      <w:r w:rsidR="00985970">
        <w:t>u Gradu Karlovcu, 2 u Gradu Dugoj</w:t>
      </w:r>
      <w:r w:rsidRPr="005E79E1">
        <w:t xml:space="preserve"> Resi te 1 u Gradu Ozlju, a što ukupno čini 42,9% od sveukupnog broja osnovnih škola u </w:t>
      </w:r>
      <w:r w:rsidRPr="005E79E1">
        <w:lastRenderedPageBreak/>
        <w:t xml:space="preserve">Županiji. U Karlovcu također </w:t>
      </w:r>
      <w:r w:rsidR="00985970" w:rsidRPr="005E79E1">
        <w:t xml:space="preserve">djeluje </w:t>
      </w:r>
      <w:r w:rsidRPr="005E79E1">
        <w:t xml:space="preserve">Centar za odgoj i obrazovanje djece i mladeži </w:t>
      </w:r>
      <w:r w:rsidR="00985970">
        <w:t>u kojem</w:t>
      </w:r>
      <w:r w:rsidRPr="005E79E1">
        <w:t xml:space="preserve"> se provodi osnovnoškolsko obrazovanje učenika po posebnom osnovnoškolskom programu uz individualizirani pristup.</w:t>
      </w:r>
    </w:p>
    <w:p w14:paraId="1421ACD6" w14:textId="20595AB8" w:rsidR="00194E23" w:rsidRPr="005E79E1" w:rsidRDefault="00194E23" w:rsidP="005E79E1">
      <w:r w:rsidRPr="005E79E1">
        <w:t>Rad škola organiziran je kroz 269 razred</w:t>
      </w:r>
      <w:r w:rsidR="00985970">
        <w:t>nih</w:t>
      </w:r>
      <w:r w:rsidRPr="005E79E1">
        <w:t xml:space="preserve"> odjela, raspoređenih većinom u dvije smjene</w:t>
      </w:r>
      <w:r w:rsidR="00985970">
        <w:t>,</w:t>
      </w:r>
      <w:r w:rsidRPr="005E79E1">
        <w:t xml:space="preserve"> o kojima brine 269 učitelja. U školskoj je godini 2017./2018. bilo upisano sveukupno </w:t>
      </w:r>
      <w:r w:rsidRPr="00381498">
        <w:rPr>
          <w:b/>
        </w:rPr>
        <w:t>5.060 učenika</w:t>
      </w:r>
      <w:r w:rsidR="00985970">
        <w:rPr>
          <w:b/>
        </w:rPr>
        <w:t>,</w:t>
      </w:r>
      <w:r w:rsidRPr="005E79E1">
        <w:t xml:space="preserve"> što je 34 učenika manje u odnosu na prethodnu </w:t>
      </w:r>
      <w:r w:rsidR="00985970">
        <w:t>(</w:t>
      </w:r>
      <w:r w:rsidRPr="005E79E1">
        <w:t>2016./2017.</w:t>
      </w:r>
      <w:r w:rsidR="00985970">
        <w:t>)</w:t>
      </w:r>
      <w:r w:rsidRPr="005E79E1">
        <w:t xml:space="preserve"> godinu. S druge strane, broj učitelja je porastao za 5,9% te je iznosio 506. Iz niže prikazanih podataka je vidljivo kako se broj učenika od početka promatranog razdoblja smanjivao po prosječnoj godišnjoj stopi od 0,6%</w:t>
      </w:r>
      <w:r w:rsidR="00985970">
        <w:t>,</w:t>
      </w:r>
      <w:r w:rsidRPr="005E79E1">
        <w:t xml:space="preserve"> dok je broj učitelja uz određene oscilacije u 2016./2017. </w:t>
      </w:r>
      <w:r w:rsidR="00985970">
        <w:t xml:space="preserve">godinu </w:t>
      </w:r>
      <w:r w:rsidRPr="005E79E1">
        <w:t>bilježio rast po prosječnoj godišnjoj stopi od 0,3%</w:t>
      </w:r>
      <w:r w:rsidR="00985970">
        <w:t>,</w:t>
      </w:r>
      <w:r w:rsidRPr="005E79E1">
        <w:t xml:space="preserve"> što je s druge strane pozitivno utjecalo na omjer učitelja i učenika. Smanjenjem broja učenika osobito je pogođeno karlovačko područje (-3,7% u odnosu na početak promatranog razdoblja) dok</w:t>
      </w:r>
      <w:r w:rsidR="00985970">
        <w:t>,</w:t>
      </w:r>
      <w:r w:rsidRPr="005E79E1">
        <w:t xml:space="preserve"> primjerice</w:t>
      </w:r>
      <w:r w:rsidR="00985970">
        <w:t>,</w:t>
      </w:r>
      <w:r w:rsidRPr="005E79E1">
        <w:t xml:space="preserve"> broj učenika u osnovnim školama na </w:t>
      </w:r>
      <w:r w:rsidR="00985970">
        <w:t>području Duge</w:t>
      </w:r>
      <w:r w:rsidRPr="005E79E1">
        <w:t xml:space="preserve"> Rese bilježi porast za 5,5%.  Dugoročno gledano, pad broja učenika negativno se može odraziti i na potrebe za učiteljima i stručnim osobljem </w:t>
      </w:r>
      <w:r w:rsidR="00985970">
        <w:t xml:space="preserve">te </w:t>
      </w:r>
      <w:r w:rsidRPr="005E79E1">
        <w:t xml:space="preserve">na održavanje infrastrukture s obzirom </w:t>
      </w:r>
      <w:r w:rsidR="00985970">
        <w:t xml:space="preserve">na to </w:t>
      </w:r>
      <w:r w:rsidRPr="005E79E1">
        <w:t>da se financijska sredstva dodjeljuju prema broju učenika. U Ozlju su prije nekoliko godina prestale raditi 2 područne škole, a velika disperziranost ozaljskih naselja otegotno utječe na pr</w:t>
      </w:r>
      <w:r w:rsidR="00381498">
        <w:t>ijevoz učenika u matičnu školu.</w:t>
      </w:r>
    </w:p>
    <w:p w14:paraId="6AF04F01" w14:textId="1E676867" w:rsidR="00194E23" w:rsidRPr="00FD510D" w:rsidRDefault="00194E23" w:rsidP="00194E23">
      <w:pPr>
        <w:pStyle w:val="Caption"/>
      </w:pPr>
      <w:bookmarkStart w:id="36" w:name="_Toc420581440"/>
      <w:bookmarkStart w:id="37" w:name="_Toc437387489"/>
      <w:r w:rsidRPr="00FD510D">
        <w:t xml:space="preserve">Tablica </w:t>
      </w:r>
      <w:r>
        <w:fldChar w:fldCharType="begin"/>
      </w:r>
      <w:r>
        <w:instrText xml:space="preserve"> SEQ Tablica \* ARABIC </w:instrText>
      </w:r>
      <w:r>
        <w:fldChar w:fldCharType="separate"/>
      </w:r>
      <w:r w:rsidR="001358A9">
        <w:rPr>
          <w:noProof/>
        </w:rPr>
        <w:t>16</w:t>
      </w:r>
      <w:r>
        <w:rPr>
          <w:noProof/>
        </w:rPr>
        <w:fldChar w:fldCharType="end"/>
      </w:r>
      <w:r w:rsidRPr="00FD510D">
        <w:t xml:space="preserve">. Osnovne škole, razredni odjeli, učenici i učitelji </w:t>
      </w:r>
      <w:r w:rsidR="009E0951">
        <w:t xml:space="preserve">na području VUPKA, </w:t>
      </w:r>
      <w:r w:rsidRPr="00FD510D">
        <w:t xml:space="preserve">2013.-2017. </w:t>
      </w:r>
      <w:r w:rsidR="007B3776">
        <w:t>g</w:t>
      </w:r>
      <w:bookmarkEnd w:id="36"/>
      <w:r w:rsidR="007B3776">
        <w:t>.</w:t>
      </w:r>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8"/>
        <w:gridCol w:w="2605"/>
        <w:gridCol w:w="2166"/>
        <w:gridCol w:w="1168"/>
        <w:gridCol w:w="1217"/>
      </w:tblGrid>
      <w:tr w:rsidR="00194E23" w:rsidRPr="00FD510D" w14:paraId="588AB1DF" w14:textId="77777777" w:rsidTr="00194E23">
        <w:trPr>
          <w:cantSplit/>
          <w:trHeight w:val="170"/>
        </w:trPr>
        <w:tc>
          <w:tcPr>
            <w:tcW w:w="1171" w:type="pct"/>
            <w:shd w:val="clear" w:color="auto" w:fill="39617A"/>
          </w:tcPr>
          <w:p w14:paraId="2013BB39"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Školska godina</w:t>
            </w:r>
          </w:p>
        </w:tc>
        <w:tc>
          <w:tcPr>
            <w:tcW w:w="1394" w:type="pct"/>
            <w:shd w:val="clear" w:color="auto" w:fill="39617A"/>
          </w:tcPr>
          <w:p w14:paraId="300235E0"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Br. osnovnih škola</w:t>
            </w:r>
          </w:p>
        </w:tc>
        <w:tc>
          <w:tcPr>
            <w:tcW w:w="1159" w:type="pct"/>
            <w:shd w:val="clear" w:color="auto" w:fill="39617A"/>
          </w:tcPr>
          <w:p w14:paraId="5FD9A6BE"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Razredni odjeli</w:t>
            </w:r>
          </w:p>
        </w:tc>
        <w:tc>
          <w:tcPr>
            <w:tcW w:w="625" w:type="pct"/>
            <w:shd w:val="clear" w:color="auto" w:fill="39617A"/>
          </w:tcPr>
          <w:p w14:paraId="3BDEB518"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Učitelji</w:t>
            </w:r>
          </w:p>
        </w:tc>
        <w:tc>
          <w:tcPr>
            <w:tcW w:w="651" w:type="pct"/>
            <w:shd w:val="clear" w:color="auto" w:fill="39617A"/>
          </w:tcPr>
          <w:p w14:paraId="69D62D09"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Učenici</w:t>
            </w:r>
          </w:p>
        </w:tc>
      </w:tr>
      <w:tr w:rsidR="00194E23" w:rsidRPr="00FD510D" w14:paraId="4E97C4D3" w14:textId="77777777" w:rsidTr="00194E23">
        <w:trPr>
          <w:cantSplit/>
          <w:trHeight w:val="170"/>
        </w:trPr>
        <w:tc>
          <w:tcPr>
            <w:tcW w:w="1171" w:type="pct"/>
          </w:tcPr>
          <w:p w14:paraId="5BD69EA9"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2013./2014.</w:t>
            </w:r>
          </w:p>
        </w:tc>
        <w:tc>
          <w:tcPr>
            <w:tcW w:w="1394" w:type="pct"/>
            <w:shd w:val="clear" w:color="auto" w:fill="auto"/>
          </w:tcPr>
          <w:p w14:paraId="5391B3C0"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33</w:t>
            </w:r>
          </w:p>
        </w:tc>
        <w:tc>
          <w:tcPr>
            <w:tcW w:w="1159" w:type="pct"/>
            <w:shd w:val="clear" w:color="auto" w:fill="auto"/>
          </w:tcPr>
          <w:p w14:paraId="17A9BE58"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277</w:t>
            </w:r>
          </w:p>
        </w:tc>
        <w:tc>
          <w:tcPr>
            <w:tcW w:w="625" w:type="pct"/>
          </w:tcPr>
          <w:p w14:paraId="65F7F787"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499</w:t>
            </w:r>
          </w:p>
        </w:tc>
        <w:tc>
          <w:tcPr>
            <w:tcW w:w="651" w:type="pct"/>
          </w:tcPr>
          <w:p w14:paraId="74DFF3C5"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5.173</w:t>
            </w:r>
          </w:p>
        </w:tc>
      </w:tr>
      <w:tr w:rsidR="00194E23" w:rsidRPr="00FD510D" w14:paraId="5F2DCA04" w14:textId="77777777" w:rsidTr="00194E23">
        <w:trPr>
          <w:cantSplit/>
          <w:trHeight w:val="170"/>
        </w:trPr>
        <w:tc>
          <w:tcPr>
            <w:tcW w:w="1171" w:type="pct"/>
          </w:tcPr>
          <w:p w14:paraId="2F66C106"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2014./2015.</w:t>
            </w:r>
          </w:p>
        </w:tc>
        <w:tc>
          <w:tcPr>
            <w:tcW w:w="1394" w:type="pct"/>
            <w:shd w:val="clear" w:color="auto" w:fill="auto"/>
          </w:tcPr>
          <w:p w14:paraId="1407CC03"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33</w:t>
            </w:r>
          </w:p>
        </w:tc>
        <w:tc>
          <w:tcPr>
            <w:tcW w:w="1159" w:type="pct"/>
            <w:shd w:val="clear" w:color="auto" w:fill="auto"/>
          </w:tcPr>
          <w:p w14:paraId="0A2A57D9"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272</w:t>
            </w:r>
          </w:p>
        </w:tc>
        <w:tc>
          <w:tcPr>
            <w:tcW w:w="625" w:type="pct"/>
          </w:tcPr>
          <w:p w14:paraId="1578E19F"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497</w:t>
            </w:r>
          </w:p>
        </w:tc>
        <w:tc>
          <w:tcPr>
            <w:tcW w:w="651" w:type="pct"/>
          </w:tcPr>
          <w:p w14:paraId="597456AB"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5.105</w:t>
            </w:r>
          </w:p>
        </w:tc>
      </w:tr>
      <w:tr w:rsidR="00194E23" w:rsidRPr="00FD510D" w14:paraId="1CB164E7" w14:textId="77777777" w:rsidTr="00194E23">
        <w:trPr>
          <w:cantSplit/>
          <w:trHeight w:val="170"/>
        </w:trPr>
        <w:tc>
          <w:tcPr>
            <w:tcW w:w="1171" w:type="pct"/>
          </w:tcPr>
          <w:p w14:paraId="7AABEADE"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2015./2016.</w:t>
            </w:r>
          </w:p>
        </w:tc>
        <w:tc>
          <w:tcPr>
            <w:tcW w:w="1394" w:type="pct"/>
            <w:shd w:val="clear" w:color="auto" w:fill="auto"/>
          </w:tcPr>
          <w:p w14:paraId="305E4AAC"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33</w:t>
            </w:r>
          </w:p>
        </w:tc>
        <w:tc>
          <w:tcPr>
            <w:tcW w:w="1159" w:type="pct"/>
            <w:shd w:val="clear" w:color="auto" w:fill="auto"/>
          </w:tcPr>
          <w:p w14:paraId="2C63846C"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271</w:t>
            </w:r>
          </w:p>
        </w:tc>
        <w:tc>
          <w:tcPr>
            <w:tcW w:w="625" w:type="pct"/>
          </w:tcPr>
          <w:p w14:paraId="00DBF835"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492</w:t>
            </w:r>
          </w:p>
        </w:tc>
        <w:tc>
          <w:tcPr>
            <w:tcW w:w="651" w:type="pct"/>
          </w:tcPr>
          <w:p w14:paraId="11CDBBFC"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5.109</w:t>
            </w:r>
          </w:p>
        </w:tc>
      </w:tr>
      <w:tr w:rsidR="00194E23" w:rsidRPr="00FD510D" w14:paraId="569C928D" w14:textId="77777777" w:rsidTr="00194E23">
        <w:trPr>
          <w:cantSplit/>
          <w:trHeight w:val="170"/>
        </w:trPr>
        <w:tc>
          <w:tcPr>
            <w:tcW w:w="1171" w:type="pct"/>
          </w:tcPr>
          <w:p w14:paraId="5C78B34B"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2016./2017.</w:t>
            </w:r>
          </w:p>
        </w:tc>
        <w:tc>
          <w:tcPr>
            <w:tcW w:w="1394" w:type="pct"/>
            <w:shd w:val="clear" w:color="auto" w:fill="auto"/>
          </w:tcPr>
          <w:p w14:paraId="1D831D60"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32</w:t>
            </w:r>
          </w:p>
        </w:tc>
        <w:tc>
          <w:tcPr>
            <w:tcW w:w="1159" w:type="pct"/>
            <w:shd w:val="clear" w:color="auto" w:fill="auto"/>
          </w:tcPr>
          <w:p w14:paraId="4A0AB4DB"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254</w:t>
            </w:r>
          </w:p>
        </w:tc>
        <w:tc>
          <w:tcPr>
            <w:tcW w:w="625" w:type="pct"/>
          </w:tcPr>
          <w:p w14:paraId="17C90C4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478</w:t>
            </w:r>
          </w:p>
        </w:tc>
        <w:tc>
          <w:tcPr>
            <w:tcW w:w="651" w:type="pct"/>
          </w:tcPr>
          <w:p w14:paraId="16E7D329"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5.094</w:t>
            </w:r>
          </w:p>
        </w:tc>
      </w:tr>
      <w:tr w:rsidR="00194E23" w:rsidRPr="00FD510D" w14:paraId="3DB3D037" w14:textId="77777777" w:rsidTr="00194E23">
        <w:trPr>
          <w:cantSplit/>
          <w:trHeight w:val="170"/>
        </w:trPr>
        <w:tc>
          <w:tcPr>
            <w:tcW w:w="1171" w:type="pct"/>
          </w:tcPr>
          <w:p w14:paraId="4FAF1013"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2017./2018.</w:t>
            </w:r>
          </w:p>
        </w:tc>
        <w:tc>
          <w:tcPr>
            <w:tcW w:w="1394" w:type="pct"/>
            <w:shd w:val="clear" w:color="auto" w:fill="auto"/>
          </w:tcPr>
          <w:p w14:paraId="0A08957A"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32</w:t>
            </w:r>
          </w:p>
        </w:tc>
        <w:tc>
          <w:tcPr>
            <w:tcW w:w="1159" w:type="pct"/>
            <w:shd w:val="clear" w:color="auto" w:fill="auto"/>
          </w:tcPr>
          <w:p w14:paraId="065B245E"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269</w:t>
            </w:r>
          </w:p>
        </w:tc>
        <w:tc>
          <w:tcPr>
            <w:tcW w:w="625" w:type="pct"/>
          </w:tcPr>
          <w:p w14:paraId="718EE2B7"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506</w:t>
            </w:r>
          </w:p>
        </w:tc>
        <w:tc>
          <w:tcPr>
            <w:tcW w:w="651" w:type="pct"/>
          </w:tcPr>
          <w:p w14:paraId="119C8C0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5.060</w:t>
            </w:r>
          </w:p>
        </w:tc>
      </w:tr>
    </w:tbl>
    <w:p w14:paraId="36479D41" w14:textId="77777777" w:rsidR="00194E23" w:rsidRPr="00FD510D" w:rsidRDefault="00194E23" w:rsidP="00194E23">
      <w:pPr>
        <w:jc w:val="left"/>
        <w:rPr>
          <w:rFonts w:cs="Tahoma"/>
          <w:color w:val="39617A"/>
          <w:sz w:val="18"/>
          <w:szCs w:val="18"/>
        </w:rPr>
      </w:pPr>
      <w:r w:rsidRPr="00FD510D">
        <w:rPr>
          <w:rFonts w:cs="Tahoma"/>
          <w:color w:val="39617A"/>
          <w:sz w:val="18"/>
          <w:szCs w:val="18"/>
        </w:rPr>
        <w:t>Izvor: DZS, Osnovne škole i dječji vrtići i druge pravne osobe koje ostvaruju programe predškolskog odgoja</w:t>
      </w:r>
    </w:p>
    <w:p w14:paraId="6DE3082C" w14:textId="20F4F411" w:rsidR="00194E23" w:rsidRDefault="00194E23" w:rsidP="00381498">
      <w:r w:rsidRPr="00381498">
        <w:t xml:space="preserve">Osnovne škole za djecu i mladež s teškoćama u razvoju u Karlovcu pohađalo </w:t>
      </w:r>
      <w:r w:rsidR="00985970">
        <w:t>je 37 učenika unutar 11 razrednih</w:t>
      </w:r>
      <w:r w:rsidRPr="00381498">
        <w:t xml:space="preserve"> odjela. Riječ je o OŠ Braća Seljan i OŠ Banija u kojima su posebno formirani razredi za djecu s poteškoćama u razvoju. U </w:t>
      </w:r>
      <w:r w:rsidRPr="007B3776">
        <w:rPr>
          <w:b/>
        </w:rPr>
        <w:t>Centru za odgoj i obrazovanje djece i mladeži Karlovac</w:t>
      </w:r>
      <w:r w:rsidRPr="00381498">
        <w:t xml:space="preserve"> formirana je 2008. godine skupina za učenike s višestrukim teškoćama u razvoju. U školskoj godini 2016./2017. odjel za učenike s cerebralnom paralizom i većim teškoćama u razvoju čine tri odgojno-obrazovne</w:t>
      </w:r>
      <w:r w:rsidR="00985970">
        <w:t xml:space="preserve"> skupine koje pohađa 16 učenika</w:t>
      </w:r>
      <w:r w:rsidRPr="00381498">
        <w:t xml:space="preserve"> u dobi od 7.</w:t>
      </w:r>
      <w:r w:rsidR="00985970">
        <w:t xml:space="preserve"> </w:t>
      </w:r>
      <w:r w:rsidRPr="00381498">
        <w:t xml:space="preserve">do 21. godine života, a učenici se školuju prema posebnom  programu za stjecanje kompetencija u aktivnostima svakodnevnoga života i rada uz individualizirane postupke. U Centru se učenici također školuju prema posebnom programu za stjecanje kompetencija u aktivnostima svakodnevnog života i rada. </w:t>
      </w:r>
    </w:p>
    <w:p w14:paraId="0551BD5E" w14:textId="77777777" w:rsidR="007B3776" w:rsidRPr="007B3776" w:rsidRDefault="007B3776" w:rsidP="007B3776">
      <w:r w:rsidRPr="007B3776">
        <w:t xml:space="preserve">Na području Grada Karlovca djeluje i </w:t>
      </w:r>
      <w:r w:rsidRPr="007B3776">
        <w:rPr>
          <w:b/>
        </w:rPr>
        <w:t>Glazbena škola Karlovac</w:t>
      </w:r>
      <w:r w:rsidRPr="007B3776">
        <w:t xml:space="preserve"> koju je početkom školske godine 2017./2018. pohađalo ukupno 369 učenika. U školi se provodi stručna nastava u 5 odjela sa specijaliziranim učionicama opremljenim instrumentima za izvođenje individualne nastave, a škola ima i 2 koncertne dvorane.</w:t>
      </w:r>
    </w:p>
    <w:p w14:paraId="682CC55E" w14:textId="1AF5FA09" w:rsidR="00194E23" w:rsidRPr="00381498" w:rsidRDefault="00194E23" w:rsidP="00381498">
      <w:r w:rsidRPr="00381498">
        <w:t>Većina osnovnih škola ima organiziranu nastavu u dvije smjene kao i programe produženog boravka. Međutim</w:t>
      </w:r>
      <w:r w:rsidR="00985970">
        <w:t>,</w:t>
      </w:r>
      <w:r w:rsidRPr="00381498">
        <w:t xml:space="preserve"> za potpuno usklađivanje s</w:t>
      </w:r>
      <w:r w:rsidR="00985970">
        <w:t xml:space="preserve"> Državnim pedagoškim standardom</w:t>
      </w:r>
      <w:r w:rsidRPr="00381498">
        <w:t xml:space="preserve"> odnosno za postizanje jednosmjenskog rada u svim školama, potrebna su i nova ulaganja u povećanje postojećih prostornih kapaciteta odnosno u izgradnju novih objekata. Isto tako, u nekim školama ne postoje odgovarajući uvjeti za provedbu nastave tjelesne i zdravstvene kulture, a velik broj škola ne zadovoljava uvjete za pristupačnost osobama s invaliditetom.</w:t>
      </w:r>
    </w:p>
    <w:p w14:paraId="189C9A17" w14:textId="77777777" w:rsidR="00194E23" w:rsidRPr="00381498" w:rsidRDefault="00194E23" w:rsidP="00381498"/>
    <w:p w14:paraId="4AD03042" w14:textId="77777777" w:rsidR="00194E23" w:rsidRPr="00FD510D" w:rsidRDefault="00194E23" w:rsidP="00381498">
      <w:pPr>
        <w:pStyle w:val="Heading4"/>
      </w:pPr>
      <w:r w:rsidRPr="00FD510D">
        <w:lastRenderedPageBreak/>
        <w:t xml:space="preserve">Srednjoškolsko obrazovanje </w:t>
      </w:r>
    </w:p>
    <w:p w14:paraId="67981E66" w14:textId="50770EC8" w:rsidR="00194E23" w:rsidRPr="007B3776" w:rsidRDefault="00194E23" w:rsidP="007B3776">
      <w:r w:rsidRPr="00381498">
        <w:t>Srednjoškolsko obrazovanje na urbanom području VUP Karlovac provodi se u</w:t>
      </w:r>
      <w:r w:rsidR="00985970">
        <w:t xml:space="preserve"> Gradu Karlovcu (8) i Gradu Dugoj</w:t>
      </w:r>
      <w:r w:rsidRPr="00381498">
        <w:t xml:space="preserve"> Resi (1) dok na području Grada Ozlja nema organiziranog srednjoškolskog obrazovanja (većina učenika nastavlja srednjoškolsko obrazovanje u Karlovcu). </w:t>
      </w:r>
      <w:r w:rsidRPr="00381498">
        <w:rPr>
          <w:b/>
        </w:rPr>
        <w:t>Srednje škole na urbanom području čine 75% od sveukupnog broja redovnih srednjih škola u Županiji, a pohađa ih 80,2% svih učenika upisanih u srednje škole u Karlovačkoj županiji.</w:t>
      </w:r>
      <w:r w:rsidRPr="00381498">
        <w:t xml:space="preserve"> </w:t>
      </w:r>
    </w:p>
    <w:p w14:paraId="2961FB59" w14:textId="5C4240D8" w:rsidR="00194E23" w:rsidRPr="007B3776" w:rsidRDefault="00194E23" w:rsidP="00194E23">
      <w:r w:rsidRPr="007B3776">
        <w:t xml:space="preserve">Rad srednjih škola početkom školske godine 2017./2018. na urbanom području </w:t>
      </w:r>
      <w:r w:rsidR="00985970">
        <w:t>je organiziran kroz 168 razrednih</w:t>
      </w:r>
      <w:r w:rsidRPr="007B3776">
        <w:t xml:space="preserve"> odjela koje pohađa ukupno </w:t>
      </w:r>
      <w:r w:rsidRPr="007B3776">
        <w:rPr>
          <w:b/>
        </w:rPr>
        <w:t>3.447 učenika</w:t>
      </w:r>
      <w:r w:rsidRPr="007B3776">
        <w:t>. Unatoč blagom porastu broja učenika s početka promatranog razdoblja (2013./2014.), nakon 2014. godine njihov broj se počinje snažno smanjivati. Tako je školske godine 2017./2018. u odnosu na 2013./2014. upisan</w:t>
      </w:r>
      <w:r w:rsidR="00985970">
        <w:t>o</w:t>
      </w:r>
      <w:r w:rsidRPr="007B3776">
        <w:t xml:space="preserve"> sveukupno 268 učenika manje. Broj nastavnog osoblja se u istom razdoblju povećao s 364,5 na 409,5 (ekvivalent pune zaposlenosti) čime je, kao i kod osnovnoškolskog obrazovanja, ostvaren povoljniji odnos broja nastavnika po učeniku. Kao i u slučaju osnovnoškolskog obrazovanja, smanjenje broja učenika na urbanom području uzrokovano je padom broja učenika u školama Grada Karlovca (-8,4% u odnosu na početak promatranog razdoblja)</w:t>
      </w:r>
      <w:r w:rsidR="00985970">
        <w:t>,</w:t>
      </w:r>
      <w:r w:rsidRPr="007B3776">
        <w:t xml:space="preserve"> dok broj učenika u srednjoj školi u Dugoj Re</w:t>
      </w:r>
      <w:r w:rsidR="007B3776">
        <w:t>si bilježi porast.</w:t>
      </w:r>
    </w:p>
    <w:p w14:paraId="2EF43C8E" w14:textId="16406BF4" w:rsidR="00194E23" w:rsidRPr="00FD510D" w:rsidRDefault="00194E23" w:rsidP="00194E23">
      <w:pPr>
        <w:pStyle w:val="Caption"/>
      </w:pPr>
      <w:bookmarkStart w:id="38" w:name="_Toc420581441"/>
      <w:bookmarkStart w:id="39" w:name="_Toc437387490"/>
      <w:r w:rsidRPr="00FD510D">
        <w:t xml:space="preserve">Tablica </w:t>
      </w:r>
      <w:r>
        <w:fldChar w:fldCharType="begin"/>
      </w:r>
      <w:r>
        <w:instrText xml:space="preserve"> SEQ Tablica \* ARABIC </w:instrText>
      </w:r>
      <w:r>
        <w:fldChar w:fldCharType="separate"/>
      </w:r>
      <w:r w:rsidR="001358A9">
        <w:rPr>
          <w:noProof/>
        </w:rPr>
        <w:t>17</w:t>
      </w:r>
      <w:r>
        <w:rPr>
          <w:noProof/>
        </w:rPr>
        <w:fldChar w:fldCharType="end"/>
      </w:r>
      <w:r w:rsidRPr="00FD510D">
        <w:t xml:space="preserve">. Srednje škole, razredni odjeli, učenici i nastavnici </w:t>
      </w:r>
      <w:r w:rsidR="007B3776">
        <w:t xml:space="preserve">na području VUPKA, </w:t>
      </w:r>
      <w:r w:rsidRPr="00FD510D">
        <w:t xml:space="preserve">2013.-2017. </w:t>
      </w:r>
      <w:r w:rsidR="007B3776">
        <w:t>g</w:t>
      </w:r>
      <w:bookmarkEnd w:id="38"/>
      <w:r w:rsidR="007B3776">
        <w:t>.</w:t>
      </w:r>
      <w:bookmarkEnd w:id="3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2594"/>
        <w:gridCol w:w="2157"/>
        <w:gridCol w:w="1159"/>
        <w:gridCol w:w="1256"/>
      </w:tblGrid>
      <w:tr w:rsidR="00194E23" w:rsidRPr="00FD510D" w14:paraId="0DFA201E" w14:textId="77777777" w:rsidTr="00194E23">
        <w:trPr>
          <w:cantSplit/>
          <w:trHeight w:val="170"/>
        </w:trPr>
        <w:tc>
          <w:tcPr>
            <w:tcW w:w="1165" w:type="pct"/>
            <w:shd w:val="clear" w:color="auto" w:fill="39617A"/>
          </w:tcPr>
          <w:p w14:paraId="6AC3E867"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Školska godina</w:t>
            </w:r>
          </w:p>
        </w:tc>
        <w:tc>
          <w:tcPr>
            <w:tcW w:w="1388" w:type="pct"/>
            <w:shd w:val="clear" w:color="auto" w:fill="39617A"/>
          </w:tcPr>
          <w:p w14:paraId="78B7A8EE"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Škole*</w:t>
            </w:r>
          </w:p>
        </w:tc>
        <w:tc>
          <w:tcPr>
            <w:tcW w:w="1154" w:type="pct"/>
            <w:shd w:val="clear" w:color="auto" w:fill="39617A"/>
          </w:tcPr>
          <w:p w14:paraId="38D8B9C8"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Razredni odjeli</w:t>
            </w:r>
          </w:p>
        </w:tc>
        <w:tc>
          <w:tcPr>
            <w:tcW w:w="620" w:type="pct"/>
            <w:shd w:val="clear" w:color="auto" w:fill="39617A"/>
          </w:tcPr>
          <w:p w14:paraId="6D5C094B"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Učenici</w:t>
            </w:r>
          </w:p>
        </w:tc>
        <w:tc>
          <w:tcPr>
            <w:tcW w:w="672" w:type="pct"/>
            <w:shd w:val="clear" w:color="auto" w:fill="39617A"/>
          </w:tcPr>
          <w:p w14:paraId="7EDD61B4"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Nastavnici**</w:t>
            </w:r>
          </w:p>
        </w:tc>
      </w:tr>
      <w:tr w:rsidR="00194E23" w:rsidRPr="00FD510D" w14:paraId="621D69F4" w14:textId="77777777" w:rsidTr="00194E23">
        <w:trPr>
          <w:cantSplit/>
          <w:trHeight w:val="170"/>
        </w:trPr>
        <w:tc>
          <w:tcPr>
            <w:tcW w:w="1165" w:type="pct"/>
          </w:tcPr>
          <w:p w14:paraId="4FAEDDC3"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2013./2014.</w:t>
            </w:r>
          </w:p>
        </w:tc>
        <w:tc>
          <w:tcPr>
            <w:tcW w:w="1388" w:type="pct"/>
            <w:shd w:val="clear" w:color="auto" w:fill="auto"/>
          </w:tcPr>
          <w:p w14:paraId="027E6AE5"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19</w:t>
            </w:r>
          </w:p>
        </w:tc>
        <w:tc>
          <w:tcPr>
            <w:tcW w:w="1154" w:type="pct"/>
            <w:shd w:val="clear" w:color="auto" w:fill="auto"/>
          </w:tcPr>
          <w:p w14:paraId="46D779A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161</w:t>
            </w:r>
          </w:p>
        </w:tc>
        <w:tc>
          <w:tcPr>
            <w:tcW w:w="620" w:type="pct"/>
          </w:tcPr>
          <w:p w14:paraId="5361F64C"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3.715</w:t>
            </w:r>
          </w:p>
        </w:tc>
        <w:tc>
          <w:tcPr>
            <w:tcW w:w="672" w:type="pct"/>
          </w:tcPr>
          <w:p w14:paraId="7032A629"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364,5</w:t>
            </w:r>
          </w:p>
        </w:tc>
      </w:tr>
      <w:tr w:rsidR="00194E23" w:rsidRPr="00FD510D" w14:paraId="74FDAFA3" w14:textId="77777777" w:rsidTr="00194E23">
        <w:trPr>
          <w:cantSplit/>
          <w:trHeight w:val="170"/>
        </w:trPr>
        <w:tc>
          <w:tcPr>
            <w:tcW w:w="1165" w:type="pct"/>
          </w:tcPr>
          <w:p w14:paraId="1D76A79C"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2014./2015.</w:t>
            </w:r>
          </w:p>
        </w:tc>
        <w:tc>
          <w:tcPr>
            <w:tcW w:w="1388" w:type="pct"/>
            <w:shd w:val="clear" w:color="auto" w:fill="auto"/>
          </w:tcPr>
          <w:p w14:paraId="6C08C9B6"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w:t>
            </w:r>
          </w:p>
        </w:tc>
        <w:tc>
          <w:tcPr>
            <w:tcW w:w="1154" w:type="pct"/>
            <w:shd w:val="clear" w:color="auto" w:fill="auto"/>
          </w:tcPr>
          <w:p w14:paraId="282F343E"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165</w:t>
            </w:r>
          </w:p>
        </w:tc>
        <w:tc>
          <w:tcPr>
            <w:tcW w:w="620" w:type="pct"/>
          </w:tcPr>
          <w:p w14:paraId="35F4025E"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3.719</w:t>
            </w:r>
          </w:p>
        </w:tc>
        <w:tc>
          <w:tcPr>
            <w:tcW w:w="672" w:type="pct"/>
          </w:tcPr>
          <w:p w14:paraId="6D0BB3CD"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389,2</w:t>
            </w:r>
          </w:p>
        </w:tc>
      </w:tr>
      <w:tr w:rsidR="00194E23" w:rsidRPr="00FD510D" w14:paraId="20E6C95D" w14:textId="77777777" w:rsidTr="00194E23">
        <w:trPr>
          <w:cantSplit/>
          <w:trHeight w:val="170"/>
        </w:trPr>
        <w:tc>
          <w:tcPr>
            <w:tcW w:w="1165" w:type="pct"/>
          </w:tcPr>
          <w:p w14:paraId="4347FD45"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2015./2016.</w:t>
            </w:r>
          </w:p>
        </w:tc>
        <w:tc>
          <w:tcPr>
            <w:tcW w:w="1388" w:type="pct"/>
            <w:shd w:val="clear" w:color="auto" w:fill="auto"/>
          </w:tcPr>
          <w:p w14:paraId="3BCC200D"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w:t>
            </w:r>
          </w:p>
        </w:tc>
        <w:tc>
          <w:tcPr>
            <w:tcW w:w="1154" w:type="pct"/>
            <w:shd w:val="clear" w:color="auto" w:fill="auto"/>
          </w:tcPr>
          <w:p w14:paraId="20F6605A"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163</w:t>
            </w:r>
          </w:p>
        </w:tc>
        <w:tc>
          <w:tcPr>
            <w:tcW w:w="620" w:type="pct"/>
          </w:tcPr>
          <w:p w14:paraId="26DB171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3.554</w:t>
            </w:r>
          </w:p>
        </w:tc>
        <w:tc>
          <w:tcPr>
            <w:tcW w:w="672" w:type="pct"/>
          </w:tcPr>
          <w:p w14:paraId="3E10ADC2"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396,1</w:t>
            </w:r>
          </w:p>
        </w:tc>
      </w:tr>
      <w:tr w:rsidR="00194E23" w:rsidRPr="00FD510D" w14:paraId="6823A57F" w14:textId="77777777" w:rsidTr="00194E23">
        <w:trPr>
          <w:cantSplit/>
          <w:trHeight w:val="170"/>
        </w:trPr>
        <w:tc>
          <w:tcPr>
            <w:tcW w:w="1165" w:type="pct"/>
          </w:tcPr>
          <w:p w14:paraId="50C7BF1D"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2016./2017.</w:t>
            </w:r>
          </w:p>
        </w:tc>
        <w:tc>
          <w:tcPr>
            <w:tcW w:w="1388" w:type="pct"/>
            <w:shd w:val="clear" w:color="auto" w:fill="auto"/>
          </w:tcPr>
          <w:p w14:paraId="19FB9C92"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19</w:t>
            </w:r>
          </w:p>
        </w:tc>
        <w:tc>
          <w:tcPr>
            <w:tcW w:w="1154" w:type="pct"/>
            <w:shd w:val="clear" w:color="auto" w:fill="auto"/>
          </w:tcPr>
          <w:p w14:paraId="64B2492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161</w:t>
            </w:r>
          </w:p>
        </w:tc>
        <w:tc>
          <w:tcPr>
            <w:tcW w:w="620" w:type="pct"/>
          </w:tcPr>
          <w:p w14:paraId="26AC6AC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3.426</w:t>
            </w:r>
          </w:p>
        </w:tc>
        <w:tc>
          <w:tcPr>
            <w:tcW w:w="672" w:type="pct"/>
          </w:tcPr>
          <w:p w14:paraId="3F8839F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407,7</w:t>
            </w:r>
          </w:p>
        </w:tc>
      </w:tr>
      <w:tr w:rsidR="00194E23" w:rsidRPr="00FD510D" w14:paraId="57DF0FCD" w14:textId="77777777" w:rsidTr="00194E23">
        <w:trPr>
          <w:cantSplit/>
          <w:trHeight w:val="170"/>
        </w:trPr>
        <w:tc>
          <w:tcPr>
            <w:tcW w:w="1165" w:type="pct"/>
          </w:tcPr>
          <w:p w14:paraId="3A90D5E6"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2017./2018.</w:t>
            </w:r>
          </w:p>
        </w:tc>
        <w:tc>
          <w:tcPr>
            <w:tcW w:w="1388" w:type="pct"/>
            <w:shd w:val="clear" w:color="auto" w:fill="auto"/>
          </w:tcPr>
          <w:p w14:paraId="616AAD72"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w:t>
            </w:r>
          </w:p>
        </w:tc>
        <w:tc>
          <w:tcPr>
            <w:tcW w:w="1154" w:type="pct"/>
            <w:shd w:val="clear" w:color="auto" w:fill="auto"/>
          </w:tcPr>
          <w:p w14:paraId="548CE6E6"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168</w:t>
            </w:r>
          </w:p>
        </w:tc>
        <w:tc>
          <w:tcPr>
            <w:tcW w:w="620" w:type="pct"/>
          </w:tcPr>
          <w:p w14:paraId="3C82E264"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3.447</w:t>
            </w:r>
          </w:p>
        </w:tc>
        <w:tc>
          <w:tcPr>
            <w:tcW w:w="672" w:type="pct"/>
          </w:tcPr>
          <w:p w14:paraId="0433F232"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409,5</w:t>
            </w:r>
          </w:p>
        </w:tc>
      </w:tr>
    </w:tbl>
    <w:p w14:paraId="236E08AF" w14:textId="77777777" w:rsidR="00194E23" w:rsidRPr="00FD510D" w:rsidRDefault="00194E23" w:rsidP="00194E23">
      <w:pPr>
        <w:jc w:val="left"/>
        <w:rPr>
          <w:rFonts w:cs="Tahoma"/>
          <w:i/>
          <w:color w:val="39617A"/>
          <w:sz w:val="18"/>
          <w:szCs w:val="18"/>
        </w:rPr>
      </w:pPr>
      <w:r w:rsidRPr="00FD510D">
        <w:rPr>
          <w:rFonts w:cs="Tahoma"/>
          <w:i/>
          <w:color w:val="39617A"/>
          <w:sz w:val="18"/>
          <w:szCs w:val="18"/>
        </w:rPr>
        <w:t xml:space="preserve">** obuhvaćene su sve školske jedinice različite vrste unutar iste ustanove </w:t>
      </w:r>
    </w:p>
    <w:p w14:paraId="4F4FF9EA" w14:textId="77777777" w:rsidR="00194E23" w:rsidRPr="00FD510D" w:rsidRDefault="00194E23" w:rsidP="00194E23">
      <w:pPr>
        <w:jc w:val="left"/>
        <w:rPr>
          <w:rFonts w:cs="Tahoma"/>
          <w:i/>
          <w:color w:val="39617A"/>
          <w:sz w:val="18"/>
          <w:szCs w:val="18"/>
        </w:rPr>
      </w:pPr>
      <w:r w:rsidRPr="00FD510D">
        <w:rPr>
          <w:rFonts w:cs="Tahoma"/>
          <w:i/>
          <w:color w:val="39617A"/>
          <w:sz w:val="18"/>
          <w:szCs w:val="18"/>
        </w:rPr>
        <w:t xml:space="preserve">** u ekvivalentu pune zaposlenost </w:t>
      </w:r>
    </w:p>
    <w:p w14:paraId="4A3365C4" w14:textId="77777777" w:rsidR="00194E23" w:rsidRPr="00FD510D" w:rsidRDefault="00194E23" w:rsidP="00194E23">
      <w:pPr>
        <w:jc w:val="left"/>
        <w:rPr>
          <w:rFonts w:cs="Tahoma"/>
          <w:color w:val="39617A"/>
          <w:sz w:val="18"/>
          <w:szCs w:val="18"/>
        </w:rPr>
      </w:pPr>
      <w:r w:rsidRPr="00FD510D">
        <w:rPr>
          <w:rFonts w:cs="Tahoma"/>
          <w:color w:val="39617A"/>
          <w:sz w:val="18"/>
          <w:szCs w:val="18"/>
        </w:rPr>
        <w:t>Izvor: DZS, Srednje škole i učenički domovi</w:t>
      </w:r>
    </w:p>
    <w:p w14:paraId="30D3EF4A" w14:textId="77777777" w:rsidR="00194E23" w:rsidRPr="007B3776" w:rsidRDefault="00194E23" w:rsidP="007B3776"/>
    <w:p w14:paraId="1C7762DC" w14:textId="278417F7" w:rsidR="00194E23" w:rsidRPr="007B3776" w:rsidRDefault="00194E23" w:rsidP="007B3776">
      <w:r w:rsidRPr="007B3776">
        <w:t xml:space="preserve">Ukoliko promotrimo strukturu i kretanje broja upisanih učenika prema vrsti programa na kraju 2016. i  2017. </w:t>
      </w:r>
      <w:r w:rsidR="00985970" w:rsidRPr="007B3776">
        <w:t>G</w:t>
      </w:r>
      <w:r w:rsidRPr="007B3776">
        <w:t>odine</w:t>
      </w:r>
      <w:r w:rsidR="00985970">
        <w:t>,</w:t>
      </w:r>
      <w:r w:rsidRPr="007B3776">
        <w:t xml:space="preserve"> vidljivo je kako najveći udio čine učenici upisani u srednjoškolske strukovne programe (74,7%). Međutim</w:t>
      </w:r>
      <w:r w:rsidR="00985970">
        <w:t>,</w:t>
      </w:r>
      <w:r w:rsidRPr="007B3776">
        <w:t xml:space="preserve"> upravo ove škole bilježe primjetan pad upisa (71 učenik manje</w:t>
      </w:r>
      <w:r w:rsidR="002A6E7A">
        <w:t xml:space="preserve"> u odnosu na kraj 2015./2016.), dok se s</w:t>
      </w:r>
      <w:r w:rsidR="00985970">
        <w:t xml:space="preserve"> druge strane</w:t>
      </w:r>
      <w:r w:rsidRPr="007B3776">
        <w:t xml:space="preserve"> broj učenika koji upisuju gimnaziju nije značajnije mijenjao. </w:t>
      </w:r>
      <w:r w:rsidR="002A6E7A">
        <w:t xml:space="preserve"> Ovakva struktura srednjoškolaca VUPKA</w:t>
      </w:r>
      <w:r w:rsidR="00985970">
        <w:t>,</w:t>
      </w:r>
      <w:r w:rsidR="002A6E7A">
        <w:t xml:space="preserve"> prema kojoj na gimnazijalce otpada 20%, </w:t>
      </w:r>
      <w:r w:rsidR="002A10BA">
        <w:t>na polaznike tehničkih i industrijskih škola 75</w:t>
      </w:r>
      <w:r w:rsidR="002A6E7A">
        <w:t xml:space="preserve">% te na polaznike umjetničkih škola </w:t>
      </w:r>
      <w:r w:rsidR="002A10BA">
        <w:t>4%</w:t>
      </w:r>
      <w:r w:rsidR="00985970">
        <w:t>,</w:t>
      </w:r>
      <w:r w:rsidR="002A10BA">
        <w:t xml:space="preserve"> odstupa od republičkog prosjeka koji za iste kategorije iznosi 31% - 66% - 3%.</w:t>
      </w:r>
    </w:p>
    <w:p w14:paraId="2B185403" w14:textId="454E1DD7" w:rsidR="00194E23" w:rsidRPr="00FD510D" w:rsidRDefault="00194E23" w:rsidP="00194E23">
      <w:pPr>
        <w:pStyle w:val="Caption"/>
      </w:pPr>
      <w:bookmarkStart w:id="40" w:name="_Toc420581442"/>
      <w:bookmarkStart w:id="41" w:name="_Toc437387491"/>
      <w:r w:rsidRPr="00FD510D">
        <w:t xml:space="preserve">Tablica </w:t>
      </w:r>
      <w:r>
        <w:fldChar w:fldCharType="begin"/>
      </w:r>
      <w:r>
        <w:instrText xml:space="preserve"> SEQ Tablica \* ARABIC </w:instrText>
      </w:r>
      <w:r>
        <w:fldChar w:fldCharType="separate"/>
      </w:r>
      <w:r w:rsidR="001358A9">
        <w:rPr>
          <w:noProof/>
        </w:rPr>
        <w:t>18</w:t>
      </w:r>
      <w:r>
        <w:rPr>
          <w:noProof/>
        </w:rPr>
        <w:fldChar w:fldCharType="end"/>
      </w:r>
      <w:r w:rsidRPr="00FD510D">
        <w:t>. Srednje škole prema vrsti programa i učenici krajem 2015./2016. i 2016./2017. godine u VU</w:t>
      </w:r>
      <w:bookmarkEnd w:id="40"/>
      <w:r w:rsidR="009816D3">
        <w:t>PKA</w:t>
      </w:r>
      <w:bookmarkEnd w:id="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5"/>
        <w:gridCol w:w="1471"/>
        <w:gridCol w:w="1181"/>
        <w:gridCol w:w="1471"/>
        <w:gridCol w:w="1183"/>
        <w:gridCol w:w="933"/>
      </w:tblGrid>
      <w:tr w:rsidR="00194E23" w:rsidRPr="00FD510D" w14:paraId="4D041331" w14:textId="77777777" w:rsidTr="00194E23">
        <w:trPr>
          <w:cantSplit/>
          <w:trHeight w:val="170"/>
        </w:trPr>
        <w:tc>
          <w:tcPr>
            <w:tcW w:w="1662" w:type="pct"/>
            <w:vMerge w:val="restart"/>
            <w:shd w:val="clear" w:color="auto" w:fill="39617A"/>
          </w:tcPr>
          <w:p w14:paraId="5F5BB282"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Škole</w:t>
            </w:r>
          </w:p>
        </w:tc>
        <w:tc>
          <w:tcPr>
            <w:tcW w:w="2839" w:type="pct"/>
            <w:gridSpan w:val="4"/>
            <w:shd w:val="clear" w:color="auto" w:fill="39617A"/>
          </w:tcPr>
          <w:p w14:paraId="5BDC00A3"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Br. učenika</w:t>
            </w:r>
          </w:p>
        </w:tc>
        <w:tc>
          <w:tcPr>
            <w:tcW w:w="499" w:type="pct"/>
            <w:vMerge w:val="restart"/>
            <w:shd w:val="clear" w:color="auto" w:fill="39617A"/>
          </w:tcPr>
          <w:p w14:paraId="22115E22"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Indeks</w:t>
            </w:r>
          </w:p>
          <w:p w14:paraId="0F550DEE" w14:textId="77777777" w:rsidR="00194E23" w:rsidRPr="00FD510D" w:rsidRDefault="00194E23" w:rsidP="00194E23">
            <w:pPr>
              <w:jc w:val="center"/>
              <w:rPr>
                <w:rFonts w:eastAsia="Times New Roman" w:cs="Tahoma"/>
                <w:color w:val="FFFFFF"/>
                <w:sz w:val="18"/>
                <w:szCs w:val="18"/>
              </w:rPr>
            </w:pPr>
          </w:p>
        </w:tc>
      </w:tr>
      <w:tr w:rsidR="00194E23" w:rsidRPr="00FD510D" w14:paraId="2D4A58F1" w14:textId="77777777" w:rsidTr="00194E23">
        <w:trPr>
          <w:cantSplit/>
          <w:trHeight w:val="170"/>
        </w:trPr>
        <w:tc>
          <w:tcPr>
            <w:tcW w:w="1662" w:type="pct"/>
            <w:vMerge/>
            <w:shd w:val="clear" w:color="auto" w:fill="39617A"/>
          </w:tcPr>
          <w:p w14:paraId="30610D54" w14:textId="77777777" w:rsidR="00194E23" w:rsidRPr="00FD510D" w:rsidRDefault="00194E23" w:rsidP="00194E23">
            <w:pPr>
              <w:jc w:val="center"/>
              <w:rPr>
                <w:rFonts w:eastAsia="Times New Roman" w:cs="Tahoma"/>
                <w:color w:val="FFFFFF"/>
                <w:sz w:val="18"/>
                <w:szCs w:val="18"/>
              </w:rPr>
            </w:pPr>
          </w:p>
        </w:tc>
        <w:tc>
          <w:tcPr>
            <w:tcW w:w="787" w:type="pct"/>
            <w:shd w:val="clear" w:color="auto" w:fill="39617A"/>
          </w:tcPr>
          <w:p w14:paraId="164910C8"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2015./2016.</w:t>
            </w:r>
          </w:p>
        </w:tc>
        <w:tc>
          <w:tcPr>
            <w:tcW w:w="632" w:type="pct"/>
            <w:shd w:val="clear" w:color="auto" w:fill="39617A"/>
          </w:tcPr>
          <w:p w14:paraId="0C158427"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w:t>
            </w:r>
          </w:p>
        </w:tc>
        <w:tc>
          <w:tcPr>
            <w:tcW w:w="787" w:type="pct"/>
            <w:shd w:val="clear" w:color="auto" w:fill="39617A"/>
          </w:tcPr>
          <w:p w14:paraId="307B8830"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2016./2017.</w:t>
            </w:r>
          </w:p>
        </w:tc>
        <w:tc>
          <w:tcPr>
            <w:tcW w:w="632" w:type="pct"/>
            <w:shd w:val="clear" w:color="auto" w:fill="39617A"/>
          </w:tcPr>
          <w:p w14:paraId="0E245FE0"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w:t>
            </w:r>
          </w:p>
        </w:tc>
        <w:tc>
          <w:tcPr>
            <w:tcW w:w="499" w:type="pct"/>
            <w:vMerge/>
            <w:shd w:val="clear" w:color="auto" w:fill="39617A"/>
          </w:tcPr>
          <w:p w14:paraId="247EBDF6" w14:textId="77777777" w:rsidR="00194E23" w:rsidRPr="00FD510D" w:rsidRDefault="00194E23" w:rsidP="00194E23">
            <w:pPr>
              <w:jc w:val="center"/>
              <w:rPr>
                <w:rFonts w:eastAsia="Times New Roman" w:cs="Tahoma"/>
                <w:color w:val="FFFFFF"/>
                <w:sz w:val="18"/>
                <w:szCs w:val="18"/>
              </w:rPr>
            </w:pPr>
          </w:p>
        </w:tc>
      </w:tr>
      <w:tr w:rsidR="00194E23" w:rsidRPr="00FD510D" w14:paraId="2B49E737" w14:textId="77777777" w:rsidTr="00194E23">
        <w:trPr>
          <w:cantSplit/>
          <w:trHeight w:val="170"/>
        </w:trPr>
        <w:tc>
          <w:tcPr>
            <w:tcW w:w="1662" w:type="pct"/>
            <w:vAlign w:val="center"/>
          </w:tcPr>
          <w:p w14:paraId="1842CF79"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Gimnazije</w:t>
            </w:r>
          </w:p>
        </w:tc>
        <w:tc>
          <w:tcPr>
            <w:tcW w:w="787" w:type="pct"/>
            <w:shd w:val="clear" w:color="auto" w:fill="auto"/>
            <w:vAlign w:val="center"/>
          </w:tcPr>
          <w:p w14:paraId="561E1817"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699</w:t>
            </w:r>
          </w:p>
        </w:tc>
        <w:tc>
          <w:tcPr>
            <w:tcW w:w="632" w:type="pct"/>
            <w:shd w:val="clear" w:color="auto" w:fill="auto"/>
            <w:vAlign w:val="center"/>
          </w:tcPr>
          <w:p w14:paraId="5B8F20F7"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19,9%</w:t>
            </w:r>
          </w:p>
        </w:tc>
        <w:tc>
          <w:tcPr>
            <w:tcW w:w="787" w:type="pct"/>
            <w:vAlign w:val="center"/>
          </w:tcPr>
          <w:p w14:paraId="1CF0922D"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702</w:t>
            </w:r>
          </w:p>
        </w:tc>
        <w:tc>
          <w:tcPr>
            <w:tcW w:w="632" w:type="pct"/>
            <w:vAlign w:val="center"/>
          </w:tcPr>
          <w:p w14:paraId="54249825"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20,4%</w:t>
            </w:r>
          </w:p>
        </w:tc>
        <w:tc>
          <w:tcPr>
            <w:tcW w:w="499" w:type="pct"/>
            <w:vAlign w:val="center"/>
          </w:tcPr>
          <w:p w14:paraId="1AEDAE7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100,4</w:t>
            </w:r>
          </w:p>
        </w:tc>
      </w:tr>
      <w:tr w:rsidR="00194E23" w:rsidRPr="00FD510D" w14:paraId="0B50FE69" w14:textId="77777777" w:rsidTr="00194E23">
        <w:trPr>
          <w:cantSplit/>
          <w:trHeight w:val="170"/>
        </w:trPr>
        <w:tc>
          <w:tcPr>
            <w:tcW w:w="1662" w:type="pct"/>
            <w:vAlign w:val="center"/>
          </w:tcPr>
          <w:p w14:paraId="4D37EB5E"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Tehničke i srodne škole</w:t>
            </w:r>
          </w:p>
        </w:tc>
        <w:tc>
          <w:tcPr>
            <w:tcW w:w="787" w:type="pct"/>
            <w:shd w:val="clear" w:color="auto" w:fill="auto"/>
            <w:vAlign w:val="center"/>
          </w:tcPr>
          <w:p w14:paraId="754D4C70"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1.818</w:t>
            </w:r>
          </w:p>
        </w:tc>
        <w:tc>
          <w:tcPr>
            <w:tcW w:w="632" w:type="pct"/>
            <w:shd w:val="clear" w:color="auto" w:fill="auto"/>
            <w:vAlign w:val="center"/>
          </w:tcPr>
          <w:p w14:paraId="317A55FB"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51,8%</w:t>
            </w:r>
          </w:p>
        </w:tc>
        <w:tc>
          <w:tcPr>
            <w:tcW w:w="787" w:type="pct"/>
            <w:vAlign w:val="center"/>
          </w:tcPr>
          <w:p w14:paraId="3D414A3C"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1.811</w:t>
            </w:r>
          </w:p>
        </w:tc>
        <w:tc>
          <w:tcPr>
            <w:tcW w:w="632" w:type="pct"/>
            <w:vAlign w:val="center"/>
          </w:tcPr>
          <w:p w14:paraId="0CC9C7A7"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52,6%</w:t>
            </w:r>
          </w:p>
        </w:tc>
        <w:tc>
          <w:tcPr>
            <w:tcW w:w="499" w:type="pct"/>
            <w:vAlign w:val="center"/>
          </w:tcPr>
          <w:p w14:paraId="33FCFBB4"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99,6</w:t>
            </w:r>
          </w:p>
        </w:tc>
      </w:tr>
      <w:tr w:rsidR="00194E23" w:rsidRPr="00FD510D" w14:paraId="63A61E2A" w14:textId="77777777" w:rsidTr="00194E23">
        <w:trPr>
          <w:cantSplit/>
          <w:trHeight w:val="170"/>
        </w:trPr>
        <w:tc>
          <w:tcPr>
            <w:tcW w:w="1662" w:type="pct"/>
            <w:vAlign w:val="center"/>
          </w:tcPr>
          <w:p w14:paraId="3D3CC9B4"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Srednje umjetničke škole</w:t>
            </w:r>
          </w:p>
        </w:tc>
        <w:tc>
          <w:tcPr>
            <w:tcW w:w="787" w:type="pct"/>
            <w:shd w:val="clear" w:color="auto" w:fill="auto"/>
            <w:vAlign w:val="center"/>
          </w:tcPr>
          <w:p w14:paraId="6012C3C6"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126</w:t>
            </w:r>
          </w:p>
        </w:tc>
        <w:tc>
          <w:tcPr>
            <w:tcW w:w="632" w:type="pct"/>
            <w:shd w:val="clear" w:color="auto" w:fill="auto"/>
            <w:vAlign w:val="center"/>
          </w:tcPr>
          <w:p w14:paraId="4AED6469"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3,6%</w:t>
            </w:r>
          </w:p>
        </w:tc>
        <w:tc>
          <w:tcPr>
            <w:tcW w:w="787" w:type="pct"/>
            <w:vAlign w:val="center"/>
          </w:tcPr>
          <w:p w14:paraId="1031F60D"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127</w:t>
            </w:r>
          </w:p>
        </w:tc>
        <w:tc>
          <w:tcPr>
            <w:tcW w:w="632" w:type="pct"/>
            <w:vAlign w:val="center"/>
          </w:tcPr>
          <w:p w14:paraId="67B90565"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3,7%</w:t>
            </w:r>
          </w:p>
        </w:tc>
        <w:tc>
          <w:tcPr>
            <w:tcW w:w="499" w:type="pct"/>
            <w:vAlign w:val="center"/>
          </w:tcPr>
          <w:p w14:paraId="4010E82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100,8</w:t>
            </w:r>
          </w:p>
        </w:tc>
      </w:tr>
      <w:tr w:rsidR="00194E23" w:rsidRPr="00FD510D" w14:paraId="21C2488E" w14:textId="77777777" w:rsidTr="00194E23">
        <w:trPr>
          <w:cantSplit/>
          <w:trHeight w:val="170"/>
        </w:trPr>
        <w:tc>
          <w:tcPr>
            <w:tcW w:w="1662" w:type="pct"/>
            <w:vAlign w:val="center"/>
          </w:tcPr>
          <w:p w14:paraId="76E02BD6"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Industrijske i obrtničke škole</w:t>
            </w:r>
          </w:p>
        </w:tc>
        <w:tc>
          <w:tcPr>
            <w:tcW w:w="787" w:type="pct"/>
            <w:shd w:val="clear" w:color="auto" w:fill="auto"/>
            <w:vAlign w:val="center"/>
          </w:tcPr>
          <w:p w14:paraId="10FEB73E"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823</w:t>
            </w:r>
          </w:p>
        </w:tc>
        <w:tc>
          <w:tcPr>
            <w:tcW w:w="632" w:type="pct"/>
            <w:shd w:val="clear" w:color="auto" w:fill="auto"/>
            <w:vAlign w:val="center"/>
          </w:tcPr>
          <w:p w14:paraId="16C87ACD"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23,5%</w:t>
            </w:r>
          </w:p>
        </w:tc>
        <w:tc>
          <w:tcPr>
            <w:tcW w:w="787" w:type="pct"/>
            <w:vAlign w:val="center"/>
          </w:tcPr>
          <w:p w14:paraId="241BC392"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759</w:t>
            </w:r>
          </w:p>
        </w:tc>
        <w:tc>
          <w:tcPr>
            <w:tcW w:w="632" w:type="pct"/>
            <w:vAlign w:val="center"/>
          </w:tcPr>
          <w:p w14:paraId="582A7B40"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22,1%</w:t>
            </w:r>
          </w:p>
        </w:tc>
        <w:tc>
          <w:tcPr>
            <w:tcW w:w="499" w:type="pct"/>
            <w:vAlign w:val="center"/>
          </w:tcPr>
          <w:p w14:paraId="70C71D77"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92,2</w:t>
            </w:r>
          </w:p>
        </w:tc>
      </w:tr>
      <w:tr w:rsidR="00194E23" w:rsidRPr="00FD510D" w14:paraId="75B9B01E" w14:textId="77777777" w:rsidTr="00194E23">
        <w:trPr>
          <w:cantSplit/>
          <w:trHeight w:val="170"/>
        </w:trPr>
        <w:tc>
          <w:tcPr>
            <w:tcW w:w="1662" w:type="pct"/>
            <w:vAlign w:val="center"/>
          </w:tcPr>
          <w:p w14:paraId="35663FD6"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lastRenderedPageBreak/>
              <w:t>Specijalne srednje škole</w:t>
            </w:r>
          </w:p>
        </w:tc>
        <w:tc>
          <w:tcPr>
            <w:tcW w:w="787" w:type="pct"/>
            <w:shd w:val="clear" w:color="auto" w:fill="auto"/>
            <w:vAlign w:val="center"/>
          </w:tcPr>
          <w:p w14:paraId="2EABBCD3"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42</w:t>
            </w:r>
          </w:p>
        </w:tc>
        <w:tc>
          <w:tcPr>
            <w:tcW w:w="632" w:type="pct"/>
            <w:shd w:val="clear" w:color="auto" w:fill="auto"/>
            <w:vAlign w:val="center"/>
          </w:tcPr>
          <w:p w14:paraId="0D77BA74"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1,2%</w:t>
            </w:r>
          </w:p>
        </w:tc>
        <w:tc>
          <w:tcPr>
            <w:tcW w:w="787" w:type="pct"/>
            <w:vAlign w:val="center"/>
          </w:tcPr>
          <w:p w14:paraId="4538B8C6"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41</w:t>
            </w:r>
          </w:p>
        </w:tc>
        <w:tc>
          <w:tcPr>
            <w:tcW w:w="632" w:type="pct"/>
            <w:vAlign w:val="center"/>
          </w:tcPr>
          <w:p w14:paraId="2C156C75"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1,2%</w:t>
            </w:r>
          </w:p>
        </w:tc>
        <w:tc>
          <w:tcPr>
            <w:tcW w:w="499" w:type="pct"/>
            <w:vAlign w:val="center"/>
          </w:tcPr>
          <w:p w14:paraId="4CEE86E4"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97,6</w:t>
            </w:r>
          </w:p>
        </w:tc>
      </w:tr>
      <w:tr w:rsidR="00194E23" w:rsidRPr="00FD510D" w14:paraId="175A7A6B" w14:textId="77777777" w:rsidTr="00194E23">
        <w:trPr>
          <w:cantSplit/>
          <w:trHeight w:val="170"/>
        </w:trPr>
        <w:tc>
          <w:tcPr>
            <w:tcW w:w="1662" w:type="pct"/>
            <w:vAlign w:val="center"/>
          </w:tcPr>
          <w:p w14:paraId="6FA66030" w14:textId="77777777" w:rsidR="00194E23" w:rsidRPr="00FD510D" w:rsidRDefault="00194E23" w:rsidP="00194E23">
            <w:pPr>
              <w:jc w:val="center"/>
              <w:rPr>
                <w:rFonts w:eastAsia="Times New Roman" w:cs="Tahoma"/>
                <w:b/>
                <w:color w:val="000000"/>
                <w:sz w:val="18"/>
                <w:szCs w:val="18"/>
              </w:rPr>
            </w:pPr>
            <w:r w:rsidRPr="00FD510D">
              <w:rPr>
                <w:rFonts w:eastAsia="Times New Roman" w:cs="Tahoma"/>
                <w:b/>
                <w:color w:val="000000"/>
                <w:sz w:val="18"/>
                <w:szCs w:val="18"/>
              </w:rPr>
              <w:t>Ukupno</w:t>
            </w:r>
          </w:p>
        </w:tc>
        <w:tc>
          <w:tcPr>
            <w:tcW w:w="787" w:type="pct"/>
            <w:shd w:val="clear" w:color="auto" w:fill="auto"/>
            <w:vAlign w:val="center"/>
          </w:tcPr>
          <w:p w14:paraId="5CC503DA" w14:textId="77777777" w:rsidR="00194E23" w:rsidRPr="00FD510D" w:rsidRDefault="00194E23" w:rsidP="00194E23">
            <w:pPr>
              <w:jc w:val="center"/>
              <w:rPr>
                <w:rFonts w:eastAsia="Times New Roman" w:cs="Tahoma"/>
                <w:b/>
                <w:color w:val="000000"/>
                <w:sz w:val="18"/>
                <w:szCs w:val="18"/>
              </w:rPr>
            </w:pPr>
            <w:r w:rsidRPr="00FD510D">
              <w:rPr>
                <w:rFonts w:eastAsia="Times New Roman" w:cs="Tahoma"/>
                <w:b/>
                <w:color w:val="000000"/>
                <w:sz w:val="18"/>
                <w:szCs w:val="18"/>
              </w:rPr>
              <w:t>3.508</w:t>
            </w:r>
          </w:p>
        </w:tc>
        <w:tc>
          <w:tcPr>
            <w:tcW w:w="632" w:type="pct"/>
            <w:shd w:val="clear" w:color="auto" w:fill="auto"/>
            <w:vAlign w:val="center"/>
          </w:tcPr>
          <w:p w14:paraId="0D31AA20" w14:textId="77777777" w:rsidR="00194E23" w:rsidRPr="00FD510D" w:rsidRDefault="00194E23" w:rsidP="00194E23">
            <w:pPr>
              <w:jc w:val="center"/>
              <w:rPr>
                <w:rFonts w:eastAsia="Times New Roman" w:cs="Tahoma"/>
                <w:b/>
                <w:color w:val="000000"/>
                <w:sz w:val="18"/>
                <w:szCs w:val="18"/>
              </w:rPr>
            </w:pPr>
            <w:r w:rsidRPr="00FD510D">
              <w:rPr>
                <w:rFonts w:eastAsia="Times New Roman" w:cs="Tahoma"/>
                <w:b/>
                <w:color w:val="000000"/>
                <w:sz w:val="18"/>
                <w:szCs w:val="18"/>
              </w:rPr>
              <w:t>100,0%</w:t>
            </w:r>
          </w:p>
        </w:tc>
        <w:tc>
          <w:tcPr>
            <w:tcW w:w="787" w:type="pct"/>
            <w:vAlign w:val="center"/>
          </w:tcPr>
          <w:p w14:paraId="45583EA1" w14:textId="77777777" w:rsidR="00194E23" w:rsidRPr="00FD510D" w:rsidRDefault="00194E23" w:rsidP="00194E23">
            <w:pPr>
              <w:jc w:val="center"/>
              <w:rPr>
                <w:rFonts w:eastAsia="Times New Roman" w:cs="Tahoma"/>
                <w:b/>
                <w:color w:val="000000"/>
                <w:sz w:val="18"/>
                <w:szCs w:val="18"/>
              </w:rPr>
            </w:pPr>
            <w:r w:rsidRPr="00FD510D">
              <w:rPr>
                <w:rFonts w:eastAsia="Times New Roman" w:cs="Tahoma"/>
                <w:b/>
                <w:color w:val="000000"/>
                <w:sz w:val="18"/>
                <w:szCs w:val="18"/>
              </w:rPr>
              <w:t>3.440</w:t>
            </w:r>
          </w:p>
        </w:tc>
        <w:tc>
          <w:tcPr>
            <w:tcW w:w="632" w:type="pct"/>
            <w:vAlign w:val="center"/>
          </w:tcPr>
          <w:p w14:paraId="65677862" w14:textId="77777777" w:rsidR="00194E23" w:rsidRPr="00FD510D" w:rsidRDefault="00194E23" w:rsidP="00194E23">
            <w:pPr>
              <w:jc w:val="center"/>
              <w:rPr>
                <w:rFonts w:eastAsia="Times New Roman" w:cs="Tahoma"/>
                <w:b/>
                <w:color w:val="000000"/>
                <w:sz w:val="18"/>
                <w:szCs w:val="18"/>
              </w:rPr>
            </w:pPr>
            <w:r w:rsidRPr="00FD510D">
              <w:rPr>
                <w:rFonts w:eastAsia="Times New Roman" w:cs="Tahoma"/>
                <w:b/>
                <w:color w:val="000000"/>
                <w:sz w:val="18"/>
                <w:szCs w:val="18"/>
              </w:rPr>
              <w:t>100,0%</w:t>
            </w:r>
          </w:p>
        </w:tc>
        <w:tc>
          <w:tcPr>
            <w:tcW w:w="499" w:type="pct"/>
            <w:vAlign w:val="center"/>
          </w:tcPr>
          <w:p w14:paraId="4D8235E5" w14:textId="77777777" w:rsidR="00194E23" w:rsidRPr="00FD510D" w:rsidRDefault="00194E23" w:rsidP="00194E23">
            <w:pPr>
              <w:jc w:val="center"/>
              <w:rPr>
                <w:rFonts w:eastAsia="Times New Roman" w:cs="Tahoma"/>
                <w:b/>
                <w:color w:val="000000"/>
                <w:sz w:val="18"/>
                <w:szCs w:val="18"/>
              </w:rPr>
            </w:pPr>
            <w:r w:rsidRPr="00FD510D">
              <w:rPr>
                <w:rFonts w:eastAsia="Times New Roman" w:cs="Tahoma"/>
                <w:b/>
                <w:color w:val="000000"/>
                <w:sz w:val="18"/>
                <w:szCs w:val="18"/>
              </w:rPr>
              <w:t>98,1</w:t>
            </w:r>
          </w:p>
        </w:tc>
      </w:tr>
    </w:tbl>
    <w:p w14:paraId="051727C0" w14:textId="77777777" w:rsidR="00194E23" w:rsidRPr="00FD510D" w:rsidRDefault="00194E23" w:rsidP="00194E23">
      <w:pPr>
        <w:jc w:val="left"/>
        <w:rPr>
          <w:rFonts w:cs="Tahoma"/>
          <w:color w:val="39617A"/>
          <w:sz w:val="18"/>
          <w:szCs w:val="18"/>
        </w:rPr>
      </w:pPr>
      <w:r w:rsidRPr="00FD510D">
        <w:rPr>
          <w:rFonts w:cs="Tahoma"/>
          <w:color w:val="39617A"/>
          <w:sz w:val="18"/>
          <w:szCs w:val="18"/>
        </w:rPr>
        <w:t>Izvor: DZS, Srednje škole i učenički domovi</w:t>
      </w:r>
    </w:p>
    <w:p w14:paraId="645CB229" w14:textId="77777777" w:rsidR="00194E23" w:rsidRPr="007B3776" w:rsidRDefault="00194E23" w:rsidP="007B3776"/>
    <w:p w14:paraId="532BBEB0" w14:textId="78029236" w:rsidR="00194E23" w:rsidRPr="007B3776" w:rsidRDefault="009816D3" w:rsidP="007B3776">
      <w:r>
        <w:t xml:space="preserve">Na području VUPKA </w:t>
      </w:r>
      <w:r w:rsidR="00194E23" w:rsidRPr="007B3776">
        <w:t>učenicima se nude usmjerenja u sljedećim strukovnim područjima: cestovni promet, ekonomija i trgovina, elektrotehnika, gimnazija, graditeljstvo, geodezija i građevinski materijali, grafika, likovna umjetnost, međustrukovni programi, obrada drva, osobne usluge, ostale usluge, poljoprivreda, prehrana, strojarstvo, šumarstvo, ugostiteljstvo i turizam, veterina i zdravstvo. Detaljnija analiza strukture broja učenika prema programima ukazuje kako su najzastupljeniji programi opća gimnazija (15,3%), zatim medicinska sestra opće njege/medicinski tehničar opće njege (6,8%), slijedi ekonomist (5,4%), poslovni tajnik (4,1%) te hotelijersko-turistički tehničar (4,0%). Ove programe pohađa ne</w:t>
      </w:r>
      <w:r w:rsidR="007B3776">
        <w:t>š</w:t>
      </w:r>
      <w:r w:rsidR="00194E23" w:rsidRPr="007B3776">
        <w:t>to više od 1/3 svih učenika upisanih u sve razrede srednjih škola u šk. godi</w:t>
      </w:r>
      <w:r>
        <w:t>ni 2017./2018. S druge strane, p</w:t>
      </w:r>
      <w:r w:rsidR="00194E23" w:rsidRPr="007B3776">
        <w:t xml:space="preserve">reporuke za obrazovnu upisnu politiku i politiku stipendiranja u 2019. godini (HZZ) ukazuju kako su upravo ekonomist, poslovni tajnik te hotelijersko-turistički tehničar programi u kojima treba smanjiti broj upisanih učenika. </w:t>
      </w:r>
    </w:p>
    <w:p w14:paraId="503F4013" w14:textId="77777777" w:rsidR="00194E23" w:rsidRPr="00FD510D" w:rsidRDefault="00194E23" w:rsidP="00194E23">
      <w:pPr>
        <w:rPr>
          <w:rFonts w:cs="Tahoma"/>
          <w:sz w:val="20"/>
        </w:rPr>
      </w:pPr>
    </w:p>
    <w:p w14:paraId="258A0673" w14:textId="77777777" w:rsidR="00194E23" w:rsidRPr="00FD510D" w:rsidRDefault="00194E23" w:rsidP="00194E23">
      <w:pPr>
        <w:pStyle w:val="Caption"/>
      </w:pPr>
      <w:bookmarkStart w:id="42" w:name="_Toc420581443"/>
      <w:bookmarkStart w:id="43" w:name="_Toc437387492"/>
      <w:r w:rsidRPr="00FD510D">
        <w:t xml:space="preserve">Tablica </w:t>
      </w:r>
      <w:r>
        <w:fldChar w:fldCharType="begin"/>
      </w:r>
      <w:r>
        <w:instrText xml:space="preserve"> SEQ Tablica \* ARABIC </w:instrText>
      </w:r>
      <w:r>
        <w:fldChar w:fldCharType="separate"/>
      </w:r>
      <w:r w:rsidR="001358A9">
        <w:rPr>
          <w:noProof/>
        </w:rPr>
        <w:t>19</w:t>
      </w:r>
      <w:r>
        <w:rPr>
          <w:noProof/>
        </w:rPr>
        <w:fldChar w:fldCharType="end"/>
      </w:r>
      <w:r w:rsidRPr="00FD510D">
        <w:t>. Struktura i broj učenika srednjih škola VUP-a Karlovac prema vrsti obrazovnog programa / zanimanja</w:t>
      </w:r>
      <w:bookmarkEnd w:id="42"/>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9"/>
        <w:gridCol w:w="3908"/>
        <w:gridCol w:w="1170"/>
        <w:gridCol w:w="875"/>
        <w:gridCol w:w="1200"/>
        <w:gridCol w:w="800"/>
        <w:gridCol w:w="772"/>
      </w:tblGrid>
      <w:tr w:rsidR="00194E23" w:rsidRPr="00FD510D" w14:paraId="628D856C" w14:textId="77777777" w:rsidTr="00194E23">
        <w:trPr>
          <w:cantSplit/>
          <w:trHeight w:val="170"/>
        </w:trPr>
        <w:tc>
          <w:tcPr>
            <w:tcW w:w="332" w:type="pct"/>
            <w:vMerge w:val="restart"/>
            <w:shd w:val="clear" w:color="auto" w:fill="39617A"/>
          </w:tcPr>
          <w:p w14:paraId="3B2632AF"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R.br.</w:t>
            </w:r>
          </w:p>
        </w:tc>
        <w:tc>
          <w:tcPr>
            <w:tcW w:w="2091" w:type="pct"/>
            <w:vMerge w:val="restart"/>
            <w:shd w:val="clear" w:color="auto" w:fill="39617A"/>
          </w:tcPr>
          <w:p w14:paraId="4373334C"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Šifra / Naziv programa</w:t>
            </w:r>
          </w:p>
        </w:tc>
        <w:tc>
          <w:tcPr>
            <w:tcW w:w="1094" w:type="pct"/>
            <w:gridSpan w:val="2"/>
            <w:shd w:val="clear" w:color="auto" w:fill="39617A"/>
          </w:tcPr>
          <w:p w14:paraId="3583CEA4"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2016./2017.</w:t>
            </w:r>
          </w:p>
        </w:tc>
        <w:tc>
          <w:tcPr>
            <w:tcW w:w="1070" w:type="pct"/>
            <w:gridSpan w:val="2"/>
            <w:shd w:val="clear" w:color="auto" w:fill="39617A"/>
          </w:tcPr>
          <w:p w14:paraId="1C9B2FDD"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2017./2018.</w:t>
            </w:r>
          </w:p>
        </w:tc>
        <w:tc>
          <w:tcPr>
            <w:tcW w:w="413" w:type="pct"/>
            <w:vMerge w:val="restart"/>
            <w:shd w:val="clear" w:color="auto" w:fill="39617A"/>
          </w:tcPr>
          <w:p w14:paraId="0887F34D"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Indeks</w:t>
            </w:r>
          </w:p>
        </w:tc>
      </w:tr>
      <w:tr w:rsidR="00194E23" w:rsidRPr="00FD510D" w14:paraId="74C80DF4" w14:textId="77777777" w:rsidTr="00194E23">
        <w:trPr>
          <w:cantSplit/>
          <w:trHeight w:val="170"/>
        </w:trPr>
        <w:tc>
          <w:tcPr>
            <w:tcW w:w="332" w:type="pct"/>
            <w:vMerge/>
            <w:shd w:val="clear" w:color="auto" w:fill="39617A"/>
          </w:tcPr>
          <w:p w14:paraId="6A445FC4" w14:textId="77777777" w:rsidR="00194E23" w:rsidRPr="00FD510D" w:rsidRDefault="00194E23" w:rsidP="00194E23">
            <w:pPr>
              <w:jc w:val="center"/>
              <w:rPr>
                <w:rFonts w:eastAsia="Times New Roman" w:cs="Tahoma"/>
                <w:color w:val="FFFFFF"/>
                <w:sz w:val="18"/>
                <w:szCs w:val="18"/>
              </w:rPr>
            </w:pPr>
          </w:p>
        </w:tc>
        <w:tc>
          <w:tcPr>
            <w:tcW w:w="2091" w:type="pct"/>
            <w:vMerge/>
            <w:shd w:val="clear" w:color="auto" w:fill="39617A"/>
          </w:tcPr>
          <w:p w14:paraId="5C1AD2BE" w14:textId="77777777" w:rsidR="00194E23" w:rsidRPr="00FD510D" w:rsidRDefault="00194E23" w:rsidP="00194E23">
            <w:pPr>
              <w:jc w:val="center"/>
              <w:rPr>
                <w:rFonts w:eastAsia="Times New Roman" w:cs="Tahoma"/>
                <w:color w:val="FFFFFF"/>
                <w:sz w:val="18"/>
                <w:szCs w:val="18"/>
              </w:rPr>
            </w:pPr>
          </w:p>
        </w:tc>
        <w:tc>
          <w:tcPr>
            <w:tcW w:w="626" w:type="pct"/>
            <w:shd w:val="clear" w:color="auto" w:fill="39617A"/>
          </w:tcPr>
          <w:p w14:paraId="0C13BC7C"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Br. učenika</w:t>
            </w:r>
          </w:p>
        </w:tc>
        <w:tc>
          <w:tcPr>
            <w:tcW w:w="468" w:type="pct"/>
            <w:shd w:val="clear" w:color="auto" w:fill="39617A"/>
          </w:tcPr>
          <w:p w14:paraId="6C32A561"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w:t>
            </w:r>
          </w:p>
        </w:tc>
        <w:tc>
          <w:tcPr>
            <w:tcW w:w="642" w:type="pct"/>
            <w:shd w:val="clear" w:color="auto" w:fill="39617A"/>
          </w:tcPr>
          <w:p w14:paraId="6DFF6D40"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Br. učenika</w:t>
            </w:r>
          </w:p>
        </w:tc>
        <w:tc>
          <w:tcPr>
            <w:tcW w:w="428" w:type="pct"/>
            <w:shd w:val="clear" w:color="auto" w:fill="39617A"/>
          </w:tcPr>
          <w:p w14:paraId="7B0F298E"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w:t>
            </w:r>
          </w:p>
        </w:tc>
        <w:tc>
          <w:tcPr>
            <w:tcW w:w="413" w:type="pct"/>
            <w:vMerge/>
            <w:shd w:val="clear" w:color="auto" w:fill="39617A"/>
          </w:tcPr>
          <w:p w14:paraId="0FBA2FCA" w14:textId="77777777" w:rsidR="00194E23" w:rsidRPr="00FD510D" w:rsidRDefault="00194E23" w:rsidP="00194E23">
            <w:pPr>
              <w:jc w:val="center"/>
              <w:rPr>
                <w:rFonts w:eastAsia="Times New Roman" w:cs="Tahoma"/>
                <w:color w:val="FFFFFF"/>
                <w:sz w:val="18"/>
                <w:szCs w:val="18"/>
              </w:rPr>
            </w:pPr>
          </w:p>
        </w:tc>
      </w:tr>
      <w:tr w:rsidR="00194E23" w:rsidRPr="00FD510D" w14:paraId="1AEC2B2C" w14:textId="77777777" w:rsidTr="00194E23">
        <w:trPr>
          <w:cantSplit/>
          <w:trHeight w:val="170"/>
        </w:trPr>
        <w:tc>
          <w:tcPr>
            <w:tcW w:w="332" w:type="pct"/>
          </w:tcPr>
          <w:p w14:paraId="39CC44F9"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w:t>
            </w:r>
          </w:p>
        </w:tc>
        <w:tc>
          <w:tcPr>
            <w:tcW w:w="2091" w:type="pct"/>
            <w:shd w:val="clear" w:color="auto" w:fill="auto"/>
          </w:tcPr>
          <w:p w14:paraId="6C7EDDB2"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320104 Opća gimnazija</w:t>
            </w:r>
          </w:p>
        </w:tc>
        <w:tc>
          <w:tcPr>
            <w:tcW w:w="626" w:type="pct"/>
            <w:shd w:val="clear" w:color="auto" w:fill="auto"/>
          </w:tcPr>
          <w:p w14:paraId="5A0BDC5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498</w:t>
            </w:r>
          </w:p>
        </w:tc>
        <w:tc>
          <w:tcPr>
            <w:tcW w:w="468" w:type="pct"/>
          </w:tcPr>
          <w:p w14:paraId="140FE393"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14,7%</w:t>
            </w:r>
          </w:p>
        </w:tc>
        <w:tc>
          <w:tcPr>
            <w:tcW w:w="642" w:type="pct"/>
          </w:tcPr>
          <w:p w14:paraId="409A3134"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509</w:t>
            </w:r>
          </w:p>
        </w:tc>
        <w:tc>
          <w:tcPr>
            <w:tcW w:w="428" w:type="pct"/>
          </w:tcPr>
          <w:p w14:paraId="765E7792"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15,3%</w:t>
            </w:r>
          </w:p>
        </w:tc>
        <w:tc>
          <w:tcPr>
            <w:tcW w:w="413" w:type="pct"/>
          </w:tcPr>
          <w:p w14:paraId="211E1A85"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102,2</w:t>
            </w:r>
          </w:p>
        </w:tc>
      </w:tr>
      <w:tr w:rsidR="00194E23" w:rsidRPr="00FD510D" w14:paraId="7D67D2EB" w14:textId="77777777" w:rsidTr="00194E23">
        <w:trPr>
          <w:cantSplit/>
          <w:trHeight w:val="170"/>
        </w:trPr>
        <w:tc>
          <w:tcPr>
            <w:tcW w:w="332" w:type="pct"/>
          </w:tcPr>
          <w:p w14:paraId="7140FC1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w:t>
            </w:r>
          </w:p>
        </w:tc>
        <w:tc>
          <w:tcPr>
            <w:tcW w:w="2091" w:type="pct"/>
            <w:shd w:val="clear" w:color="auto" w:fill="auto"/>
          </w:tcPr>
          <w:p w14:paraId="65130425"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241004 Medicinska sestra opće njege/medicinski tehničar opće njege</w:t>
            </w:r>
          </w:p>
        </w:tc>
        <w:tc>
          <w:tcPr>
            <w:tcW w:w="626" w:type="pct"/>
            <w:shd w:val="clear" w:color="auto" w:fill="auto"/>
          </w:tcPr>
          <w:p w14:paraId="2592F5E8"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220</w:t>
            </w:r>
          </w:p>
        </w:tc>
        <w:tc>
          <w:tcPr>
            <w:tcW w:w="468" w:type="pct"/>
          </w:tcPr>
          <w:p w14:paraId="11F07F6E"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6,5%</w:t>
            </w:r>
          </w:p>
        </w:tc>
        <w:tc>
          <w:tcPr>
            <w:tcW w:w="642" w:type="pct"/>
          </w:tcPr>
          <w:p w14:paraId="525550A3"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227</w:t>
            </w:r>
          </w:p>
        </w:tc>
        <w:tc>
          <w:tcPr>
            <w:tcW w:w="428" w:type="pct"/>
          </w:tcPr>
          <w:p w14:paraId="2E036777"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6,8%</w:t>
            </w:r>
          </w:p>
        </w:tc>
        <w:tc>
          <w:tcPr>
            <w:tcW w:w="413" w:type="pct"/>
          </w:tcPr>
          <w:p w14:paraId="53A5096F"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103,2</w:t>
            </w:r>
          </w:p>
        </w:tc>
      </w:tr>
      <w:tr w:rsidR="00194E23" w:rsidRPr="00FD510D" w14:paraId="07C4B09A" w14:textId="77777777" w:rsidTr="00194E23">
        <w:trPr>
          <w:cantSplit/>
          <w:trHeight w:val="170"/>
        </w:trPr>
        <w:tc>
          <w:tcPr>
            <w:tcW w:w="332" w:type="pct"/>
          </w:tcPr>
          <w:p w14:paraId="13137B48"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w:t>
            </w:r>
          </w:p>
        </w:tc>
        <w:tc>
          <w:tcPr>
            <w:tcW w:w="2091" w:type="pct"/>
            <w:shd w:val="clear" w:color="auto" w:fill="auto"/>
          </w:tcPr>
          <w:p w14:paraId="6D6D4103"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060604 Ekonomist</w:t>
            </w:r>
          </w:p>
        </w:tc>
        <w:tc>
          <w:tcPr>
            <w:tcW w:w="626" w:type="pct"/>
            <w:shd w:val="clear" w:color="auto" w:fill="auto"/>
          </w:tcPr>
          <w:p w14:paraId="1363F15A"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186</w:t>
            </w:r>
          </w:p>
        </w:tc>
        <w:tc>
          <w:tcPr>
            <w:tcW w:w="468" w:type="pct"/>
          </w:tcPr>
          <w:p w14:paraId="7C2EB47A"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5,5%</w:t>
            </w:r>
          </w:p>
        </w:tc>
        <w:tc>
          <w:tcPr>
            <w:tcW w:w="642" w:type="pct"/>
          </w:tcPr>
          <w:p w14:paraId="26CEA1A9"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180</w:t>
            </w:r>
          </w:p>
        </w:tc>
        <w:tc>
          <w:tcPr>
            <w:tcW w:w="428" w:type="pct"/>
          </w:tcPr>
          <w:p w14:paraId="601C954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5,4%</w:t>
            </w:r>
          </w:p>
        </w:tc>
        <w:tc>
          <w:tcPr>
            <w:tcW w:w="413" w:type="pct"/>
          </w:tcPr>
          <w:p w14:paraId="4396B5AE"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96,8</w:t>
            </w:r>
          </w:p>
        </w:tc>
      </w:tr>
      <w:tr w:rsidR="00194E23" w:rsidRPr="00FD510D" w14:paraId="1572B7BB" w14:textId="77777777" w:rsidTr="00194E23">
        <w:trPr>
          <w:cantSplit/>
          <w:trHeight w:val="170"/>
        </w:trPr>
        <w:tc>
          <w:tcPr>
            <w:tcW w:w="332" w:type="pct"/>
          </w:tcPr>
          <w:p w14:paraId="1FB7B600"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w:t>
            </w:r>
          </w:p>
        </w:tc>
        <w:tc>
          <w:tcPr>
            <w:tcW w:w="2091" w:type="pct"/>
            <w:shd w:val="clear" w:color="auto" w:fill="auto"/>
          </w:tcPr>
          <w:p w14:paraId="65CDDE5D"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060504 Poslovni tajnik</w:t>
            </w:r>
          </w:p>
        </w:tc>
        <w:tc>
          <w:tcPr>
            <w:tcW w:w="626" w:type="pct"/>
            <w:shd w:val="clear" w:color="auto" w:fill="auto"/>
          </w:tcPr>
          <w:p w14:paraId="25D870C0"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155</w:t>
            </w:r>
          </w:p>
        </w:tc>
        <w:tc>
          <w:tcPr>
            <w:tcW w:w="468" w:type="pct"/>
          </w:tcPr>
          <w:p w14:paraId="7B6A3CDB"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4,6%</w:t>
            </w:r>
          </w:p>
        </w:tc>
        <w:tc>
          <w:tcPr>
            <w:tcW w:w="642" w:type="pct"/>
          </w:tcPr>
          <w:p w14:paraId="35AD85DC"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137</w:t>
            </w:r>
          </w:p>
        </w:tc>
        <w:tc>
          <w:tcPr>
            <w:tcW w:w="428" w:type="pct"/>
          </w:tcPr>
          <w:p w14:paraId="5CF51CC4"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4,1%</w:t>
            </w:r>
          </w:p>
        </w:tc>
        <w:tc>
          <w:tcPr>
            <w:tcW w:w="413" w:type="pct"/>
          </w:tcPr>
          <w:p w14:paraId="425D6EDC"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88,4</w:t>
            </w:r>
          </w:p>
        </w:tc>
      </w:tr>
      <w:tr w:rsidR="00194E23" w:rsidRPr="00FD510D" w14:paraId="44E8B8A3" w14:textId="77777777" w:rsidTr="00194E23">
        <w:trPr>
          <w:cantSplit/>
          <w:trHeight w:val="170"/>
        </w:trPr>
        <w:tc>
          <w:tcPr>
            <w:tcW w:w="332" w:type="pct"/>
          </w:tcPr>
          <w:p w14:paraId="6CFF312F"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5.</w:t>
            </w:r>
          </w:p>
        </w:tc>
        <w:tc>
          <w:tcPr>
            <w:tcW w:w="2091" w:type="pct"/>
            <w:shd w:val="clear" w:color="auto" w:fill="auto"/>
          </w:tcPr>
          <w:p w14:paraId="150ED761"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070104 Hotelijersko-turistički tehničar</w:t>
            </w:r>
          </w:p>
        </w:tc>
        <w:tc>
          <w:tcPr>
            <w:tcW w:w="626" w:type="pct"/>
            <w:shd w:val="clear" w:color="auto" w:fill="auto"/>
          </w:tcPr>
          <w:p w14:paraId="75696F17"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117</w:t>
            </w:r>
          </w:p>
        </w:tc>
        <w:tc>
          <w:tcPr>
            <w:tcW w:w="468" w:type="pct"/>
          </w:tcPr>
          <w:p w14:paraId="68D7B0CD"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3,5%</w:t>
            </w:r>
          </w:p>
        </w:tc>
        <w:tc>
          <w:tcPr>
            <w:tcW w:w="642" w:type="pct"/>
          </w:tcPr>
          <w:p w14:paraId="35A69498"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132</w:t>
            </w:r>
          </w:p>
        </w:tc>
        <w:tc>
          <w:tcPr>
            <w:tcW w:w="428" w:type="pct"/>
          </w:tcPr>
          <w:p w14:paraId="529F692E"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4,0%</w:t>
            </w:r>
          </w:p>
        </w:tc>
        <w:tc>
          <w:tcPr>
            <w:tcW w:w="413" w:type="pct"/>
          </w:tcPr>
          <w:p w14:paraId="4892DB02"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112,8</w:t>
            </w:r>
          </w:p>
        </w:tc>
      </w:tr>
      <w:tr w:rsidR="00194E23" w:rsidRPr="00FD510D" w14:paraId="32E11A54" w14:textId="77777777" w:rsidTr="00194E23">
        <w:trPr>
          <w:cantSplit/>
          <w:trHeight w:val="170"/>
        </w:trPr>
        <w:tc>
          <w:tcPr>
            <w:tcW w:w="332" w:type="pct"/>
          </w:tcPr>
          <w:p w14:paraId="2F00280C"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6.</w:t>
            </w:r>
          </w:p>
        </w:tc>
        <w:tc>
          <w:tcPr>
            <w:tcW w:w="2091" w:type="pct"/>
            <w:shd w:val="clear" w:color="auto" w:fill="auto"/>
          </w:tcPr>
          <w:p w14:paraId="340D1E3D"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Ostali programi</w:t>
            </w:r>
          </w:p>
        </w:tc>
        <w:tc>
          <w:tcPr>
            <w:tcW w:w="626" w:type="pct"/>
            <w:shd w:val="clear" w:color="auto" w:fill="auto"/>
          </w:tcPr>
          <w:p w14:paraId="764DE7BE"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2.201</w:t>
            </w:r>
          </w:p>
        </w:tc>
        <w:tc>
          <w:tcPr>
            <w:tcW w:w="468" w:type="pct"/>
          </w:tcPr>
          <w:p w14:paraId="25C05F35"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65,2%</w:t>
            </w:r>
          </w:p>
        </w:tc>
        <w:tc>
          <w:tcPr>
            <w:tcW w:w="642" w:type="pct"/>
          </w:tcPr>
          <w:p w14:paraId="60113F68"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2.144</w:t>
            </w:r>
          </w:p>
        </w:tc>
        <w:tc>
          <w:tcPr>
            <w:tcW w:w="428" w:type="pct"/>
          </w:tcPr>
          <w:p w14:paraId="10BA59BE"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64,4%</w:t>
            </w:r>
          </w:p>
        </w:tc>
        <w:tc>
          <w:tcPr>
            <w:tcW w:w="413" w:type="pct"/>
          </w:tcPr>
          <w:p w14:paraId="58118325"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97,4</w:t>
            </w:r>
          </w:p>
        </w:tc>
      </w:tr>
      <w:tr w:rsidR="00194E23" w:rsidRPr="00FD510D" w14:paraId="2C68E480" w14:textId="77777777" w:rsidTr="00194E23">
        <w:trPr>
          <w:cantSplit/>
          <w:trHeight w:val="170"/>
        </w:trPr>
        <w:tc>
          <w:tcPr>
            <w:tcW w:w="2422" w:type="pct"/>
            <w:gridSpan w:val="2"/>
          </w:tcPr>
          <w:p w14:paraId="00BBD3F9" w14:textId="77777777" w:rsidR="00194E23" w:rsidRPr="00FD510D" w:rsidRDefault="00194E23" w:rsidP="00194E23">
            <w:pPr>
              <w:rPr>
                <w:rFonts w:eastAsia="Times New Roman" w:cs="Tahoma"/>
                <w:b/>
                <w:color w:val="000000"/>
                <w:sz w:val="18"/>
                <w:szCs w:val="18"/>
              </w:rPr>
            </w:pPr>
            <w:r w:rsidRPr="00FD510D">
              <w:rPr>
                <w:rFonts w:eastAsia="Times New Roman" w:cs="Tahoma"/>
                <w:b/>
                <w:color w:val="000000"/>
                <w:sz w:val="18"/>
                <w:szCs w:val="18"/>
              </w:rPr>
              <w:t>Ukupno</w:t>
            </w:r>
          </w:p>
        </w:tc>
        <w:tc>
          <w:tcPr>
            <w:tcW w:w="626" w:type="pct"/>
            <w:shd w:val="clear" w:color="auto" w:fill="auto"/>
          </w:tcPr>
          <w:p w14:paraId="40BFA790" w14:textId="77777777" w:rsidR="00194E23" w:rsidRPr="00FD510D" w:rsidRDefault="00194E23" w:rsidP="00194E23">
            <w:pPr>
              <w:jc w:val="center"/>
              <w:rPr>
                <w:rFonts w:eastAsia="Times New Roman" w:cs="Tahoma"/>
                <w:b/>
                <w:color w:val="000000"/>
                <w:sz w:val="18"/>
                <w:szCs w:val="18"/>
              </w:rPr>
            </w:pPr>
            <w:r w:rsidRPr="00FD510D">
              <w:rPr>
                <w:rFonts w:eastAsia="Times New Roman" w:cs="Tahoma"/>
                <w:b/>
                <w:color w:val="000000"/>
                <w:sz w:val="18"/>
                <w:szCs w:val="18"/>
              </w:rPr>
              <w:t>3.377</w:t>
            </w:r>
          </w:p>
        </w:tc>
        <w:tc>
          <w:tcPr>
            <w:tcW w:w="468" w:type="pct"/>
          </w:tcPr>
          <w:p w14:paraId="138C0A52" w14:textId="77777777" w:rsidR="00194E23" w:rsidRPr="00FD510D" w:rsidRDefault="00194E23" w:rsidP="00194E23">
            <w:pPr>
              <w:jc w:val="center"/>
              <w:rPr>
                <w:rFonts w:eastAsia="Times New Roman" w:cs="Tahoma"/>
                <w:b/>
                <w:color w:val="000000"/>
                <w:sz w:val="18"/>
                <w:szCs w:val="18"/>
              </w:rPr>
            </w:pPr>
            <w:r w:rsidRPr="00FD510D">
              <w:rPr>
                <w:rFonts w:eastAsia="Times New Roman" w:cs="Tahoma"/>
                <w:b/>
                <w:color w:val="000000"/>
                <w:sz w:val="18"/>
                <w:szCs w:val="18"/>
              </w:rPr>
              <w:t>100%</w:t>
            </w:r>
          </w:p>
        </w:tc>
        <w:tc>
          <w:tcPr>
            <w:tcW w:w="642" w:type="pct"/>
          </w:tcPr>
          <w:p w14:paraId="7E74A3E8" w14:textId="77777777" w:rsidR="00194E23" w:rsidRPr="00FD510D" w:rsidRDefault="00194E23" w:rsidP="00194E23">
            <w:pPr>
              <w:jc w:val="center"/>
              <w:rPr>
                <w:rFonts w:eastAsia="Times New Roman" w:cs="Tahoma"/>
                <w:b/>
                <w:color w:val="000000"/>
                <w:sz w:val="18"/>
                <w:szCs w:val="18"/>
              </w:rPr>
            </w:pPr>
            <w:r w:rsidRPr="00FD510D">
              <w:rPr>
                <w:rFonts w:eastAsia="Times New Roman" w:cs="Tahoma"/>
                <w:b/>
                <w:color w:val="000000"/>
                <w:sz w:val="18"/>
                <w:szCs w:val="18"/>
              </w:rPr>
              <w:t>3.329</w:t>
            </w:r>
          </w:p>
        </w:tc>
        <w:tc>
          <w:tcPr>
            <w:tcW w:w="428" w:type="pct"/>
          </w:tcPr>
          <w:p w14:paraId="5BC0FD5B" w14:textId="77777777" w:rsidR="00194E23" w:rsidRPr="00FD510D" w:rsidRDefault="00194E23" w:rsidP="00194E23">
            <w:pPr>
              <w:jc w:val="center"/>
              <w:rPr>
                <w:rFonts w:eastAsia="Times New Roman" w:cs="Tahoma"/>
                <w:b/>
                <w:color w:val="000000"/>
                <w:sz w:val="18"/>
                <w:szCs w:val="18"/>
              </w:rPr>
            </w:pPr>
            <w:r w:rsidRPr="00FD510D">
              <w:rPr>
                <w:rFonts w:eastAsia="Times New Roman" w:cs="Tahoma"/>
                <w:b/>
                <w:color w:val="000000"/>
                <w:sz w:val="18"/>
                <w:szCs w:val="18"/>
              </w:rPr>
              <w:t>100%</w:t>
            </w:r>
          </w:p>
        </w:tc>
        <w:tc>
          <w:tcPr>
            <w:tcW w:w="413" w:type="pct"/>
          </w:tcPr>
          <w:p w14:paraId="15C4727D" w14:textId="77777777" w:rsidR="00194E23" w:rsidRPr="00FD510D" w:rsidRDefault="00194E23" w:rsidP="00194E23">
            <w:pPr>
              <w:jc w:val="center"/>
              <w:rPr>
                <w:rFonts w:eastAsia="Times New Roman" w:cs="Tahoma"/>
                <w:b/>
                <w:color w:val="000000"/>
                <w:sz w:val="18"/>
                <w:szCs w:val="18"/>
              </w:rPr>
            </w:pPr>
            <w:r w:rsidRPr="00FD510D">
              <w:rPr>
                <w:rFonts w:eastAsia="Times New Roman" w:cs="Tahoma"/>
                <w:b/>
                <w:color w:val="000000"/>
                <w:sz w:val="18"/>
                <w:szCs w:val="18"/>
              </w:rPr>
              <w:t>98,6</w:t>
            </w:r>
          </w:p>
        </w:tc>
      </w:tr>
    </w:tbl>
    <w:p w14:paraId="4F12DA17" w14:textId="77777777" w:rsidR="00194E23" w:rsidRPr="00FD510D" w:rsidRDefault="00194E23" w:rsidP="00194E23">
      <w:pPr>
        <w:rPr>
          <w:rFonts w:cs="Tahoma"/>
          <w:sz w:val="20"/>
        </w:rPr>
      </w:pPr>
      <w:r w:rsidRPr="00FD510D">
        <w:rPr>
          <w:rFonts w:cs="Tahoma"/>
          <w:color w:val="39617A"/>
          <w:sz w:val="18"/>
          <w:szCs w:val="18"/>
        </w:rPr>
        <w:t>Izvor: MZO (2019.)</w:t>
      </w:r>
    </w:p>
    <w:p w14:paraId="21458B29" w14:textId="77777777" w:rsidR="00194E23" w:rsidRPr="007B3776" w:rsidRDefault="00194E23" w:rsidP="007B3776"/>
    <w:p w14:paraId="03F85F77" w14:textId="456C75ED" w:rsidR="00194E23" w:rsidRPr="007B3776" w:rsidRDefault="00194E23" w:rsidP="007B3776">
      <w:r w:rsidRPr="007B3776">
        <w:t>Učenicima srednjih škola s udaljenim mjestom prebivališta omogućen je smještaj u učeničkim domovima. Kapacitet doma u Dugoj Resi iznosi 80 učenika i u potpunosti zadovoljava potražnju smještaja. Dom je mješoviti, s dvokrevetnim i trokrevetnim</w:t>
      </w:r>
      <w:r w:rsidR="009816D3">
        <w:t xml:space="preserve"> sobama, a u njemu se nalaze</w:t>
      </w:r>
      <w:r w:rsidRPr="007B3776">
        <w:t xml:space="preserve"> i velika predavaonica, sportska dvorana, fitnes dvorana i informatička učionica. Učenički dom Karlovac je također mješoviti dom, s kapacitetom za smještaj 152 učenika. U prizemlju doma učenicima su na raspolaganju dvije dvorane, potpuno opremljena teretana, knjižnica, blagovaonica i keramičarska radionica, dok se streljana, maketarska i likovna radionica nalaze u potkrovlju Doma.</w:t>
      </w:r>
    </w:p>
    <w:p w14:paraId="2E9CB348" w14:textId="3506F019" w:rsidR="007B3776" w:rsidRPr="007B3776" w:rsidRDefault="007B3776" w:rsidP="007B3776">
      <w:r w:rsidRPr="00381498">
        <w:t>Cent</w:t>
      </w:r>
      <w:r w:rsidR="009816D3">
        <w:t>a</w:t>
      </w:r>
      <w:r w:rsidRPr="00381498">
        <w:t>r za odgoj i obrazovanje djece i mladeži Karlovac</w:t>
      </w:r>
      <w:r>
        <w:t xml:space="preserve"> </w:t>
      </w:r>
      <w:r w:rsidRPr="00381498">
        <w:t>nudi učenicima osmih razreda upis u primjerene posebne programe za učenike s teškoćama</w:t>
      </w:r>
      <w:r w:rsidR="009816D3">
        <w:t xml:space="preserve"> u razvoju</w:t>
      </w:r>
      <w:r w:rsidRPr="00381498">
        <w:t xml:space="preserve">, a omogućava im trogodišnje osposobljavanje za pomoćna zanimanja i stjecanje niže stručne spreme. Centar u sklopu srednje škole ima odobrenje za izvođenje sljedećih programa: pomoćni kuhar i slastičar (TES), pomoćni konobar </w:t>
      </w:r>
      <w:r w:rsidRPr="00381498">
        <w:lastRenderedPageBreak/>
        <w:t xml:space="preserve">(TES), pomoćni autolimar (TES), pomoćni limar (TES), pomoćni soboslikar i ličilac (TES), pomoćni polagač keramičkih pločica (TES), pomoćni knjigoveža (TES), pomoćni stolar (TES), pomoćni parketar (TES), pomoćni pekar (TES) i pomoćni cvjećar (TES). Općeobrazovni i stručno teorijski predmeti predaju se u Centru, a stručna praksa kod privatnih poslodavaca i </w:t>
      </w:r>
      <w:r w:rsidR="009816D3">
        <w:t xml:space="preserve">u </w:t>
      </w:r>
      <w:r w:rsidRPr="00381498">
        <w:t>javnim ustanovama Grada.</w:t>
      </w:r>
    </w:p>
    <w:p w14:paraId="4C969664" w14:textId="6635CE17" w:rsidR="007B3776" w:rsidRPr="007B3776" w:rsidRDefault="007B3776" w:rsidP="007B3776">
      <w:r w:rsidRPr="007B3776">
        <w:t>Srednju glazbenu školu Karlovac u trajanju od 4 godine učenici mogu pohađati kao samostalnu četverogodišnju školu; paralelno s nekom drugom srednjom četverogodišnjom školom ili tako da općeobrazovne predmete pohađaju u Gimnaziji Karlovac, Duga Resa ili Ogulin, a stručne predmete u Glazbenoj školi Karlovac. Školu pohađa 61 učenik, a instrumenti koji se mogu upisati su: klavir, orgulje, solo pjevanje, violina, viola, violončelo, kontrabas, flauta, klarinet, fagot, oboa, truba, trombon, horna, udaraljke i teorijski odjel.</w:t>
      </w:r>
    </w:p>
    <w:p w14:paraId="6A731B37" w14:textId="77777777" w:rsidR="00194E23" w:rsidRPr="007B3776" w:rsidRDefault="00194E23" w:rsidP="007B3776"/>
    <w:p w14:paraId="5CE7F5A7" w14:textId="77777777" w:rsidR="00194E23" w:rsidRPr="00FD510D" w:rsidRDefault="00194E23" w:rsidP="007B3776">
      <w:pPr>
        <w:pStyle w:val="Heading4"/>
      </w:pPr>
      <w:r w:rsidRPr="00FD510D">
        <w:t>Visoko obrazovanje</w:t>
      </w:r>
    </w:p>
    <w:p w14:paraId="1875B81C" w14:textId="32EE57D5" w:rsidR="00194E23" w:rsidRPr="007B3776" w:rsidRDefault="009816D3" w:rsidP="007B3776">
      <w:r>
        <w:t>Na području gradova Duge</w:t>
      </w:r>
      <w:r w:rsidR="00194E23" w:rsidRPr="007B3776">
        <w:t xml:space="preserve"> Rese i Ozlja nema ustanova</w:t>
      </w:r>
      <w:r>
        <w:t xml:space="preserve"> visokog obrazovanja</w:t>
      </w:r>
      <w:r w:rsidR="00194E23" w:rsidRPr="007B3776">
        <w:t xml:space="preserve">, a studenti na studije odlaze najviše u Karlovac, Zagreb i Rijeku. Na području Grada Karlovca, te ujedno i na čitavom urbanom području, programi višeg i visokog obrazovanje provode se jedino na </w:t>
      </w:r>
      <w:r w:rsidR="00194E23" w:rsidRPr="008A380E">
        <w:rPr>
          <w:b/>
        </w:rPr>
        <w:t>Veleučilištu u Karlovcu</w:t>
      </w:r>
      <w:r w:rsidR="00194E23" w:rsidRPr="007B3776">
        <w:t xml:space="preserve"> gdje se izvodi nastava na 7 stručnih studijskih programa i 3 specijalistička diplomska studija. U Karlovcu studenti također mogu upisati i studij sestrinstva na Fakultetu zdravstvenih studija Sveučilišta u Rijeci. </w:t>
      </w:r>
    </w:p>
    <w:p w14:paraId="7724D5D9" w14:textId="77777777" w:rsidR="00194E23" w:rsidRPr="00FD510D" w:rsidRDefault="00194E23" w:rsidP="00194E23">
      <w:pPr>
        <w:pStyle w:val="Caption"/>
      </w:pPr>
      <w:bookmarkStart w:id="44" w:name="_Toc420581444"/>
      <w:bookmarkStart w:id="45" w:name="_Toc437387493"/>
      <w:r w:rsidRPr="00FD510D">
        <w:t xml:space="preserve">Tablica </w:t>
      </w:r>
      <w:r>
        <w:fldChar w:fldCharType="begin"/>
      </w:r>
      <w:r>
        <w:instrText xml:space="preserve"> SEQ Tablica \* ARABIC </w:instrText>
      </w:r>
      <w:r>
        <w:fldChar w:fldCharType="separate"/>
      </w:r>
      <w:r w:rsidR="001358A9">
        <w:rPr>
          <w:noProof/>
        </w:rPr>
        <w:t>20</w:t>
      </w:r>
      <w:r>
        <w:rPr>
          <w:noProof/>
        </w:rPr>
        <w:fldChar w:fldCharType="end"/>
      </w:r>
      <w:r w:rsidRPr="00FD510D">
        <w:t>. Pregled studijskih programa koji se izvode na urbanom području VUP Karlovac (2019.)</w:t>
      </w:r>
      <w:bookmarkEnd w:id="44"/>
      <w:bookmarkEnd w:id="4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654"/>
        <w:gridCol w:w="1417"/>
        <w:gridCol w:w="2268"/>
        <w:gridCol w:w="2279"/>
      </w:tblGrid>
      <w:tr w:rsidR="00194E23" w:rsidRPr="00FD510D" w14:paraId="498DB6B7" w14:textId="77777777" w:rsidTr="004914B1">
        <w:trPr>
          <w:cantSplit/>
          <w:trHeight w:val="170"/>
        </w:trPr>
        <w:tc>
          <w:tcPr>
            <w:tcW w:w="0" w:type="auto"/>
            <w:shd w:val="clear" w:color="auto" w:fill="39617A"/>
          </w:tcPr>
          <w:p w14:paraId="5B2CD134"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R.br.</w:t>
            </w:r>
          </w:p>
        </w:tc>
        <w:tc>
          <w:tcPr>
            <w:tcW w:w="2654" w:type="dxa"/>
            <w:shd w:val="clear" w:color="auto" w:fill="39617A"/>
          </w:tcPr>
          <w:p w14:paraId="61629CF8"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Naziv studijskog programa</w:t>
            </w:r>
          </w:p>
        </w:tc>
        <w:tc>
          <w:tcPr>
            <w:tcW w:w="1417" w:type="dxa"/>
            <w:shd w:val="clear" w:color="auto" w:fill="39617A"/>
          </w:tcPr>
          <w:p w14:paraId="1F2CB135"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Nositelj</w:t>
            </w:r>
          </w:p>
        </w:tc>
        <w:tc>
          <w:tcPr>
            <w:tcW w:w="2268" w:type="dxa"/>
            <w:shd w:val="clear" w:color="auto" w:fill="39617A"/>
          </w:tcPr>
          <w:p w14:paraId="1097134D"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Izvođač</w:t>
            </w:r>
          </w:p>
        </w:tc>
        <w:tc>
          <w:tcPr>
            <w:tcW w:w="2279" w:type="dxa"/>
            <w:shd w:val="clear" w:color="auto" w:fill="39617A"/>
          </w:tcPr>
          <w:p w14:paraId="0ECC2AAC"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Vrsta studijskog programa</w:t>
            </w:r>
          </w:p>
        </w:tc>
      </w:tr>
      <w:tr w:rsidR="00194E23" w:rsidRPr="00FD510D" w14:paraId="0A83B876" w14:textId="77777777" w:rsidTr="004914B1">
        <w:trPr>
          <w:cantSplit/>
          <w:trHeight w:val="170"/>
        </w:trPr>
        <w:tc>
          <w:tcPr>
            <w:tcW w:w="0" w:type="auto"/>
            <w:vAlign w:val="center"/>
          </w:tcPr>
          <w:p w14:paraId="5CA76717"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1.</w:t>
            </w:r>
          </w:p>
        </w:tc>
        <w:tc>
          <w:tcPr>
            <w:tcW w:w="2654" w:type="dxa"/>
            <w:shd w:val="clear" w:color="auto" w:fill="auto"/>
            <w:vAlign w:val="center"/>
          </w:tcPr>
          <w:p w14:paraId="1D2ACAAE"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Lovstvo i zaštita prirode</w:t>
            </w:r>
          </w:p>
        </w:tc>
        <w:tc>
          <w:tcPr>
            <w:tcW w:w="1417" w:type="dxa"/>
            <w:shd w:val="clear" w:color="auto" w:fill="auto"/>
            <w:vAlign w:val="center"/>
          </w:tcPr>
          <w:p w14:paraId="0DAE2937"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w:t>
            </w:r>
          </w:p>
        </w:tc>
        <w:tc>
          <w:tcPr>
            <w:tcW w:w="2268" w:type="dxa"/>
            <w:vAlign w:val="center"/>
          </w:tcPr>
          <w:p w14:paraId="6D6FD8B4"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(Karlovac) </w:t>
            </w:r>
          </w:p>
        </w:tc>
        <w:tc>
          <w:tcPr>
            <w:tcW w:w="2279" w:type="dxa"/>
            <w:vAlign w:val="center"/>
          </w:tcPr>
          <w:p w14:paraId="76D9544B"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Preddiplomski stručni studij</w:t>
            </w:r>
          </w:p>
        </w:tc>
      </w:tr>
      <w:tr w:rsidR="00194E23" w:rsidRPr="00FD510D" w14:paraId="01E22D42" w14:textId="77777777" w:rsidTr="004914B1">
        <w:trPr>
          <w:cantSplit/>
          <w:trHeight w:val="170"/>
        </w:trPr>
        <w:tc>
          <w:tcPr>
            <w:tcW w:w="0" w:type="auto"/>
            <w:vAlign w:val="center"/>
          </w:tcPr>
          <w:p w14:paraId="7A483A0A"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2.</w:t>
            </w:r>
          </w:p>
        </w:tc>
        <w:tc>
          <w:tcPr>
            <w:tcW w:w="2654" w:type="dxa"/>
            <w:shd w:val="clear" w:color="auto" w:fill="auto"/>
            <w:vAlign w:val="center"/>
          </w:tcPr>
          <w:p w14:paraId="3FE79429"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Mehatronika</w:t>
            </w:r>
          </w:p>
        </w:tc>
        <w:tc>
          <w:tcPr>
            <w:tcW w:w="1417" w:type="dxa"/>
            <w:shd w:val="clear" w:color="auto" w:fill="auto"/>
            <w:vAlign w:val="center"/>
          </w:tcPr>
          <w:p w14:paraId="322BAC8E"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w:t>
            </w:r>
          </w:p>
        </w:tc>
        <w:tc>
          <w:tcPr>
            <w:tcW w:w="2268" w:type="dxa"/>
            <w:vAlign w:val="center"/>
          </w:tcPr>
          <w:p w14:paraId="50879E40"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(Karlovac) </w:t>
            </w:r>
          </w:p>
        </w:tc>
        <w:tc>
          <w:tcPr>
            <w:tcW w:w="2279" w:type="dxa"/>
            <w:vAlign w:val="center"/>
          </w:tcPr>
          <w:p w14:paraId="7DCECED8"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Preddiplomski stručni studij</w:t>
            </w:r>
          </w:p>
        </w:tc>
      </w:tr>
      <w:tr w:rsidR="00194E23" w:rsidRPr="00FD510D" w14:paraId="6E8FCBFF" w14:textId="77777777" w:rsidTr="004914B1">
        <w:trPr>
          <w:cantSplit/>
          <w:trHeight w:val="170"/>
        </w:trPr>
        <w:tc>
          <w:tcPr>
            <w:tcW w:w="0" w:type="auto"/>
            <w:vAlign w:val="center"/>
          </w:tcPr>
          <w:p w14:paraId="5CEEE8F5"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3.</w:t>
            </w:r>
          </w:p>
        </w:tc>
        <w:tc>
          <w:tcPr>
            <w:tcW w:w="2654" w:type="dxa"/>
            <w:shd w:val="clear" w:color="auto" w:fill="auto"/>
            <w:vAlign w:val="center"/>
          </w:tcPr>
          <w:p w14:paraId="546BF0BF"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Prehrambena tehnologija; smjerovi: Prerada mlijeka, Pivarstvo</w:t>
            </w:r>
          </w:p>
        </w:tc>
        <w:tc>
          <w:tcPr>
            <w:tcW w:w="1417" w:type="dxa"/>
            <w:shd w:val="clear" w:color="auto" w:fill="auto"/>
            <w:vAlign w:val="center"/>
          </w:tcPr>
          <w:p w14:paraId="4BFFB5E3"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w:t>
            </w:r>
          </w:p>
        </w:tc>
        <w:tc>
          <w:tcPr>
            <w:tcW w:w="2268" w:type="dxa"/>
            <w:vAlign w:val="center"/>
          </w:tcPr>
          <w:p w14:paraId="2BF1B1E3"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(Karlovac) </w:t>
            </w:r>
          </w:p>
        </w:tc>
        <w:tc>
          <w:tcPr>
            <w:tcW w:w="2279" w:type="dxa"/>
            <w:vAlign w:val="center"/>
          </w:tcPr>
          <w:p w14:paraId="724224EF"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Preddiplomski stručni studij</w:t>
            </w:r>
          </w:p>
        </w:tc>
      </w:tr>
      <w:tr w:rsidR="00194E23" w:rsidRPr="00FD510D" w14:paraId="2C8D7C9E" w14:textId="77777777" w:rsidTr="004914B1">
        <w:trPr>
          <w:cantSplit/>
          <w:trHeight w:val="170"/>
        </w:trPr>
        <w:tc>
          <w:tcPr>
            <w:tcW w:w="0" w:type="auto"/>
            <w:vAlign w:val="center"/>
          </w:tcPr>
          <w:p w14:paraId="1D91FA7D"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4.</w:t>
            </w:r>
          </w:p>
        </w:tc>
        <w:tc>
          <w:tcPr>
            <w:tcW w:w="2654" w:type="dxa"/>
            <w:shd w:val="clear" w:color="auto" w:fill="auto"/>
            <w:vAlign w:val="center"/>
          </w:tcPr>
          <w:p w14:paraId="044342D7"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Sestrinstvo</w:t>
            </w:r>
          </w:p>
        </w:tc>
        <w:tc>
          <w:tcPr>
            <w:tcW w:w="1417" w:type="dxa"/>
            <w:shd w:val="clear" w:color="auto" w:fill="auto"/>
            <w:vAlign w:val="center"/>
          </w:tcPr>
          <w:p w14:paraId="2367D2C7"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Sveučilište u Rijeci </w:t>
            </w:r>
          </w:p>
        </w:tc>
        <w:tc>
          <w:tcPr>
            <w:tcW w:w="2268" w:type="dxa"/>
            <w:vAlign w:val="center"/>
          </w:tcPr>
          <w:p w14:paraId="610DD743"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Fakultet zdravstvenih studija (Rijeka) </w:t>
            </w:r>
          </w:p>
        </w:tc>
        <w:tc>
          <w:tcPr>
            <w:tcW w:w="2279" w:type="dxa"/>
            <w:vAlign w:val="center"/>
          </w:tcPr>
          <w:p w14:paraId="6B07FD4E"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Preddiplomski stručni studij</w:t>
            </w:r>
          </w:p>
        </w:tc>
      </w:tr>
      <w:tr w:rsidR="00194E23" w:rsidRPr="00FD510D" w14:paraId="0235AE03" w14:textId="77777777" w:rsidTr="004914B1">
        <w:trPr>
          <w:cantSplit/>
          <w:trHeight w:val="170"/>
        </w:trPr>
        <w:tc>
          <w:tcPr>
            <w:tcW w:w="0" w:type="auto"/>
            <w:vAlign w:val="center"/>
          </w:tcPr>
          <w:p w14:paraId="4AF286CD"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5.</w:t>
            </w:r>
          </w:p>
        </w:tc>
        <w:tc>
          <w:tcPr>
            <w:tcW w:w="2654" w:type="dxa"/>
            <w:shd w:val="clear" w:color="auto" w:fill="auto"/>
            <w:vAlign w:val="center"/>
          </w:tcPr>
          <w:p w14:paraId="552A324D"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Sigurnost i zaštita</w:t>
            </w:r>
          </w:p>
        </w:tc>
        <w:tc>
          <w:tcPr>
            <w:tcW w:w="1417" w:type="dxa"/>
            <w:shd w:val="clear" w:color="auto" w:fill="auto"/>
            <w:vAlign w:val="center"/>
          </w:tcPr>
          <w:p w14:paraId="4ED886EB"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w:t>
            </w:r>
          </w:p>
        </w:tc>
        <w:tc>
          <w:tcPr>
            <w:tcW w:w="2268" w:type="dxa"/>
            <w:vAlign w:val="center"/>
          </w:tcPr>
          <w:p w14:paraId="63BCC221"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(Karlovac) </w:t>
            </w:r>
          </w:p>
        </w:tc>
        <w:tc>
          <w:tcPr>
            <w:tcW w:w="2279" w:type="dxa"/>
            <w:vAlign w:val="center"/>
          </w:tcPr>
          <w:p w14:paraId="5B70673E"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Preddiplomski stručni studij</w:t>
            </w:r>
          </w:p>
        </w:tc>
      </w:tr>
      <w:tr w:rsidR="00194E23" w:rsidRPr="00FD510D" w14:paraId="1785C5C1" w14:textId="77777777" w:rsidTr="004914B1">
        <w:trPr>
          <w:cantSplit/>
          <w:trHeight w:val="170"/>
        </w:trPr>
        <w:tc>
          <w:tcPr>
            <w:tcW w:w="0" w:type="auto"/>
            <w:vAlign w:val="center"/>
          </w:tcPr>
          <w:p w14:paraId="60615F90"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6.</w:t>
            </w:r>
          </w:p>
        </w:tc>
        <w:tc>
          <w:tcPr>
            <w:tcW w:w="2654" w:type="dxa"/>
            <w:shd w:val="clear" w:color="auto" w:fill="auto"/>
            <w:vAlign w:val="center"/>
          </w:tcPr>
          <w:p w14:paraId="129BF32E"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Strojarstvo</w:t>
            </w:r>
          </w:p>
        </w:tc>
        <w:tc>
          <w:tcPr>
            <w:tcW w:w="1417" w:type="dxa"/>
            <w:shd w:val="clear" w:color="auto" w:fill="auto"/>
            <w:vAlign w:val="center"/>
          </w:tcPr>
          <w:p w14:paraId="03CCEA5B"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w:t>
            </w:r>
          </w:p>
        </w:tc>
        <w:tc>
          <w:tcPr>
            <w:tcW w:w="2268" w:type="dxa"/>
            <w:vAlign w:val="center"/>
          </w:tcPr>
          <w:p w14:paraId="674752D6"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(Karlovac) </w:t>
            </w:r>
          </w:p>
        </w:tc>
        <w:tc>
          <w:tcPr>
            <w:tcW w:w="2279" w:type="dxa"/>
            <w:vAlign w:val="center"/>
          </w:tcPr>
          <w:p w14:paraId="3641DB45"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Preddiplomski stručni studij</w:t>
            </w:r>
          </w:p>
        </w:tc>
      </w:tr>
      <w:tr w:rsidR="00194E23" w:rsidRPr="00FD510D" w14:paraId="761ACE61" w14:textId="77777777" w:rsidTr="004914B1">
        <w:trPr>
          <w:cantSplit/>
          <w:trHeight w:val="170"/>
        </w:trPr>
        <w:tc>
          <w:tcPr>
            <w:tcW w:w="0" w:type="auto"/>
            <w:vAlign w:val="center"/>
          </w:tcPr>
          <w:p w14:paraId="02002EDF"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7.</w:t>
            </w:r>
          </w:p>
        </w:tc>
        <w:tc>
          <w:tcPr>
            <w:tcW w:w="2654" w:type="dxa"/>
            <w:shd w:val="clear" w:color="auto" w:fill="auto"/>
            <w:vAlign w:val="center"/>
          </w:tcPr>
          <w:p w14:paraId="5C12C580"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Tekstilstvo</w:t>
            </w:r>
          </w:p>
        </w:tc>
        <w:tc>
          <w:tcPr>
            <w:tcW w:w="1417" w:type="dxa"/>
            <w:shd w:val="clear" w:color="auto" w:fill="auto"/>
            <w:vAlign w:val="center"/>
          </w:tcPr>
          <w:p w14:paraId="572FAAF3"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w:t>
            </w:r>
          </w:p>
        </w:tc>
        <w:tc>
          <w:tcPr>
            <w:tcW w:w="2268" w:type="dxa"/>
            <w:vAlign w:val="center"/>
          </w:tcPr>
          <w:p w14:paraId="5ABE08E3"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(Karlovac) </w:t>
            </w:r>
          </w:p>
        </w:tc>
        <w:tc>
          <w:tcPr>
            <w:tcW w:w="2279" w:type="dxa"/>
            <w:vAlign w:val="center"/>
          </w:tcPr>
          <w:p w14:paraId="4767D9C9"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Preddiplomski stručni studij</w:t>
            </w:r>
          </w:p>
        </w:tc>
      </w:tr>
      <w:tr w:rsidR="00194E23" w:rsidRPr="00FD510D" w14:paraId="267E4B63" w14:textId="77777777" w:rsidTr="004914B1">
        <w:trPr>
          <w:cantSplit/>
          <w:trHeight w:val="170"/>
        </w:trPr>
        <w:tc>
          <w:tcPr>
            <w:tcW w:w="0" w:type="auto"/>
            <w:vAlign w:val="center"/>
          </w:tcPr>
          <w:p w14:paraId="7D6C61AF"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8.</w:t>
            </w:r>
          </w:p>
        </w:tc>
        <w:tc>
          <w:tcPr>
            <w:tcW w:w="2654" w:type="dxa"/>
            <w:shd w:val="clear" w:color="auto" w:fill="auto"/>
            <w:vAlign w:val="center"/>
          </w:tcPr>
          <w:p w14:paraId="41EC7FEB"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Ugostiteljstvo</w:t>
            </w:r>
          </w:p>
        </w:tc>
        <w:tc>
          <w:tcPr>
            <w:tcW w:w="1417" w:type="dxa"/>
            <w:shd w:val="clear" w:color="auto" w:fill="auto"/>
            <w:vAlign w:val="center"/>
          </w:tcPr>
          <w:p w14:paraId="28F43244"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w:t>
            </w:r>
          </w:p>
        </w:tc>
        <w:tc>
          <w:tcPr>
            <w:tcW w:w="2268" w:type="dxa"/>
            <w:vAlign w:val="center"/>
          </w:tcPr>
          <w:p w14:paraId="3B3910A7"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(Karlovac) </w:t>
            </w:r>
          </w:p>
        </w:tc>
        <w:tc>
          <w:tcPr>
            <w:tcW w:w="2279" w:type="dxa"/>
            <w:vAlign w:val="center"/>
          </w:tcPr>
          <w:p w14:paraId="1740A81E"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Preddiplomski stručni studij</w:t>
            </w:r>
          </w:p>
        </w:tc>
      </w:tr>
      <w:tr w:rsidR="00194E23" w:rsidRPr="00FD510D" w14:paraId="63218892" w14:textId="77777777" w:rsidTr="004914B1">
        <w:trPr>
          <w:cantSplit/>
          <w:trHeight w:val="170"/>
        </w:trPr>
        <w:tc>
          <w:tcPr>
            <w:tcW w:w="0" w:type="auto"/>
            <w:vAlign w:val="center"/>
          </w:tcPr>
          <w:p w14:paraId="561EC930"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9.</w:t>
            </w:r>
          </w:p>
        </w:tc>
        <w:tc>
          <w:tcPr>
            <w:tcW w:w="2654" w:type="dxa"/>
            <w:shd w:val="clear" w:color="auto" w:fill="auto"/>
            <w:vAlign w:val="center"/>
          </w:tcPr>
          <w:p w14:paraId="7619276D"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Poslovno upravljanje</w:t>
            </w:r>
          </w:p>
        </w:tc>
        <w:tc>
          <w:tcPr>
            <w:tcW w:w="1417" w:type="dxa"/>
            <w:shd w:val="clear" w:color="auto" w:fill="auto"/>
            <w:vAlign w:val="center"/>
          </w:tcPr>
          <w:p w14:paraId="3E0A7D81"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w:t>
            </w:r>
          </w:p>
        </w:tc>
        <w:tc>
          <w:tcPr>
            <w:tcW w:w="2268" w:type="dxa"/>
            <w:vAlign w:val="center"/>
          </w:tcPr>
          <w:p w14:paraId="337D8FE9"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(Karlovac) </w:t>
            </w:r>
          </w:p>
        </w:tc>
        <w:tc>
          <w:tcPr>
            <w:tcW w:w="2279" w:type="dxa"/>
            <w:vAlign w:val="center"/>
          </w:tcPr>
          <w:p w14:paraId="7306B382"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Specijalistički diplomski stručni studij</w:t>
            </w:r>
          </w:p>
        </w:tc>
      </w:tr>
      <w:tr w:rsidR="00194E23" w:rsidRPr="00FD510D" w14:paraId="3443F490" w14:textId="77777777" w:rsidTr="004914B1">
        <w:trPr>
          <w:cantSplit/>
          <w:trHeight w:val="170"/>
        </w:trPr>
        <w:tc>
          <w:tcPr>
            <w:tcW w:w="0" w:type="auto"/>
            <w:vAlign w:val="center"/>
          </w:tcPr>
          <w:p w14:paraId="18813D1B"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10.</w:t>
            </w:r>
          </w:p>
        </w:tc>
        <w:tc>
          <w:tcPr>
            <w:tcW w:w="2654" w:type="dxa"/>
            <w:shd w:val="clear" w:color="auto" w:fill="auto"/>
            <w:vAlign w:val="center"/>
          </w:tcPr>
          <w:p w14:paraId="3111F626"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Sigurnost i zaštita</w:t>
            </w:r>
          </w:p>
        </w:tc>
        <w:tc>
          <w:tcPr>
            <w:tcW w:w="1417" w:type="dxa"/>
            <w:shd w:val="clear" w:color="auto" w:fill="auto"/>
            <w:vAlign w:val="center"/>
          </w:tcPr>
          <w:p w14:paraId="191CD245"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w:t>
            </w:r>
          </w:p>
        </w:tc>
        <w:tc>
          <w:tcPr>
            <w:tcW w:w="2268" w:type="dxa"/>
            <w:vAlign w:val="center"/>
          </w:tcPr>
          <w:p w14:paraId="01BB58F8"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(Karlovac) </w:t>
            </w:r>
          </w:p>
        </w:tc>
        <w:tc>
          <w:tcPr>
            <w:tcW w:w="2279" w:type="dxa"/>
            <w:vAlign w:val="center"/>
          </w:tcPr>
          <w:p w14:paraId="0B50C28B"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Specijalistički diplomski stručni studij</w:t>
            </w:r>
          </w:p>
        </w:tc>
      </w:tr>
      <w:tr w:rsidR="00194E23" w:rsidRPr="00FD510D" w14:paraId="2C78F1B2" w14:textId="77777777" w:rsidTr="004914B1">
        <w:trPr>
          <w:cantSplit/>
          <w:trHeight w:val="170"/>
        </w:trPr>
        <w:tc>
          <w:tcPr>
            <w:tcW w:w="0" w:type="auto"/>
            <w:vAlign w:val="center"/>
          </w:tcPr>
          <w:p w14:paraId="2E0A0D46"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11.</w:t>
            </w:r>
          </w:p>
        </w:tc>
        <w:tc>
          <w:tcPr>
            <w:tcW w:w="2654" w:type="dxa"/>
            <w:shd w:val="clear" w:color="auto" w:fill="auto"/>
            <w:vAlign w:val="center"/>
          </w:tcPr>
          <w:p w14:paraId="52AC0045"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Strojarstvo</w:t>
            </w:r>
          </w:p>
        </w:tc>
        <w:tc>
          <w:tcPr>
            <w:tcW w:w="1417" w:type="dxa"/>
            <w:shd w:val="clear" w:color="auto" w:fill="auto"/>
            <w:vAlign w:val="center"/>
          </w:tcPr>
          <w:p w14:paraId="2B93445A"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w:t>
            </w:r>
          </w:p>
        </w:tc>
        <w:tc>
          <w:tcPr>
            <w:tcW w:w="2268" w:type="dxa"/>
            <w:vAlign w:val="center"/>
          </w:tcPr>
          <w:p w14:paraId="4BB1F46E"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Veleučilište u Karlovcu (Karlovac) </w:t>
            </w:r>
          </w:p>
        </w:tc>
        <w:tc>
          <w:tcPr>
            <w:tcW w:w="2279" w:type="dxa"/>
            <w:vAlign w:val="center"/>
          </w:tcPr>
          <w:p w14:paraId="04FB0199" w14:textId="77777777" w:rsidR="00194E23" w:rsidRPr="00FD510D" w:rsidRDefault="00194E23" w:rsidP="004914B1">
            <w:pPr>
              <w:spacing w:before="40" w:after="40"/>
              <w:jc w:val="left"/>
              <w:rPr>
                <w:rFonts w:eastAsia="Times New Roman" w:cs="Tahoma"/>
                <w:color w:val="000000"/>
                <w:sz w:val="18"/>
                <w:szCs w:val="18"/>
              </w:rPr>
            </w:pPr>
            <w:r w:rsidRPr="00FD510D">
              <w:rPr>
                <w:rFonts w:eastAsia="Times New Roman" w:cs="Tahoma"/>
                <w:color w:val="000000"/>
                <w:sz w:val="18"/>
                <w:szCs w:val="18"/>
              </w:rPr>
              <w:t>Specijalistički diplomski stručni studij</w:t>
            </w:r>
          </w:p>
        </w:tc>
      </w:tr>
    </w:tbl>
    <w:p w14:paraId="36DD0C76" w14:textId="77777777" w:rsidR="00194E23" w:rsidRPr="00FD510D" w:rsidRDefault="00194E23" w:rsidP="00194E23">
      <w:pPr>
        <w:jc w:val="left"/>
        <w:rPr>
          <w:rFonts w:cs="Tahoma"/>
          <w:color w:val="39617A"/>
          <w:sz w:val="18"/>
          <w:szCs w:val="18"/>
        </w:rPr>
      </w:pPr>
      <w:r w:rsidRPr="00FD510D">
        <w:rPr>
          <w:rFonts w:cs="Tahoma"/>
          <w:color w:val="39617A"/>
          <w:sz w:val="18"/>
          <w:szCs w:val="18"/>
        </w:rPr>
        <w:t>Izvor: AZVO (Preglednik studijskih programa, 2019.)</w:t>
      </w:r>
    </w:p>
    <w:p w14:paraId="0908F210" w14:textId="7CAC5008" w:rsidR="00194E23" w:rsidRPr="008A380E" w:rsidRDefault="00194E23" w:rsidP="008A380E">
      <w:r w:rsidRPr="008A380E">
        <w:t xml:space="preserve">Od navedenih studijskih programa, prema Preporukama za obrazovnu upisnu politiku i politiku stipendiranja u 2019. godini (HZZ) potrebno je </w:t>
      </w:r>
      <w:r w:rsidRPr="008A380E">
        <w:rPr>
          <w:b/>
        </w:rPr>
        <w:t>smanjiti broj upisanih studenata u gotovo polovici svih programa koji se provode na Veleučilištu</w:t>
      </w:r>
      <w:r w:rsidR="008A380E">
        <w:t xml:space="preserve">: </w:t>
      </w:r>
    </w:p>
    <w:p w14:paraId="373B0D54" w14:textId="77777777" w:rsidR="00194E23" w:rsidRPr="008A380E" w:rsidRDefault="00194E23" w:rsidP="00F950C3">
      <w:pPr>
        <w:pStyle w:val="ListParagraph"/>
        <w:numPr>
          <w:ilvl w:val="0"/>
          <w:numId w:val="29"/>
        </w:numPr>
      </w:pPr>
      <w:r w:rsidRPr="008A380E">
        <w:t xml:space="preserve">Ugostiteljstvo </w:t>
      </w:r>
    </w:p>
    <w:p w14:paraId="6F7B2E39" w14:textId="77777777" w:rsidR="00194E23" w:rsidRPr="008A380E" w:rsidRDefault="00194E23" w:rsidP="00F950C3">
      <w:pPr>
        <w:pStyle w:val="ListParagraph"/>
        <w:numPr>
          <w:ilvl w:val="0"/>
          <w:numId w:val="29"/>
        </w:numPr>
      </w:pPr>
      <w:r w:rsidRPr="008A380E">
        <w:t xml:space="preserve">Lovstvo i zaštita prirode  </w:t>
      </w:r>
    </w:p>
    <w:p w14:paraId="63A93153" w14:textId="77777777" w:rsidR="00194E23" w:rsidRPr="008A380E" w:rsidRDefault="00194E23" w:rsidP="00F950C3">
      <w:pPr>
        <w:pStyle w:val="ListParagraph"/>
        <w:numPr>
          <w:ilvl w:val="0"/>
          <w:numId w:val="29"/>
        </w:numPr>
      </w:pPr>
      <w:r w:rsidRPr="008A380E">
        <w:lastRenderedPageBreak/>
        <w:t xml:space="preserve">Zaštita na radu </w:t>
      </w:r>
    </w:p>
    <w:p w14:paraId="6CD6174A" w14:textId="77777777" w:rsidR="00194E23" w:rsidRPr="008A380E" w:rsidRDefault="00194E23" w:rsidP="00F950C3">
      <w:pPr>
        <w:pStyle w:val="ListParagraph"/>
        <w:numPr>
          <w:ilvl w:val="0"/>
          <w:numId w:val="29"/>
        </w:numPr>
      </w:pPr>
      <w:r w:rsidRPr="008A380E">
        <w:t>Prehrambena tehnologija</w:t>
      </w:r>
    </w:p>
    <w:p w14:paraId="2F81C804" w14:textId="64FC2F1E" w:rsidR="00194E23" w:rsidRPr="008A380E" w:rsidRDefault="00194E23" w:rsidP="008A380E">
      <w:r w:rsidRPr="008A380E">
        <w:t xml:space="preserve">Od programa u kojima treba povećati broj upisanih studenata izdvaja se jedino stručni studij </w:t>
      </w:r>
      <w:r w:rsidRPr="008A380E">
        <w:rPr>
          <w:b/>
        </w:rPr>
        <w:t>strojarstva</w:t>
      </w:r>
      <w:r w:rsidR="008A380E">
        <w:t>.</w:t>
      </w:r>
    </w:p>
    <w:p w14:paraId="44305731" w14:textId="7AEEFFAB" w:rsidR="00194E23" w:rsidRPr="008A380E" w:rsidRDefault="00194E23" w:rsidP="008A380E">
      <w:r w:rsidRPr="008A380E">
        <w:t xml:space="preserve">Prema podacima Državnog zavoda za statistiku u 2017. </w:t>
      </w:r>
      <w:r w:rsidR="009816D3" w:rsidRPr="008A380E">
        <w:t>G</w:t>
      </w:r>
      <w:r w:rsidRPr="008A380E">
        <w:t>odini</w:t>
      </w:r>
      <w:r w:rsidR="009816D3">
        <w:t>,</w:t>
      </w:r>
      <w:r w:rsidRPr="008A380E">
        <w:t xml:space="preserve"> s prebivalištem na urbanom području studiralo je sveukupno </w:t>
      </w:r>
      <w:r w:rsidRPr="008A380E">
        <w:rPr>
          <w:b/>
        </w:rPr>
        <w:t>2.259 studenata</w:t>
      </w:r>
      <w:r w:rsidRPr="008A380E">
        <w:t xml:space="preserve">, što je gotovo identičan broj studenata u odnosu na prethodnu 2016. godinu. Najviše </w:t>
      </w:r>
      <w:r w:rsidR="009816D3">
        <w:t>ih</w:t>
      </w:r>
      <w:r w:rsidRPr="008A380E">
        <w:t xml:space="preserve"> je bilo upisano na sveučilišni studij (65,4%), zatim na veleučilišta (22,9%), na stručne studije (7,3%), zatim na visokim školama (3,1%) te na umjetničkim akademijama (1,3%). Također, u akademskoj je godini 2016./2017. na poslijediplomski specijalistički studij bilo upisano 13 studenata, a na poslijediplomski doktorski studij 42 osobe što je 3 osobe više u odnosu na 2015./2016. godinu. </w:t>
      </w:r>
      <w:r w:rsidR="009816D3">
        <w:t>Od 2013. godine,</w:t>
      </w:r>
      <w:r w:rsidRPr="008A380E">
        <w:t xml:space="preserve"> broj studenata na Veleučilištu Karlovac smanjuje se po prosječnoj godi</w:t>
      </w:r>
      <w:r w:rsidR="008A380E">
        <w:t xml:space="preserve">šnjoj stopi od 3,6%, a broj </w:t>
      </w:r>
      <w:r w:rsidRPr="008A380E">
        <w:t xml:space="preserve">studenata </w:t>
      </w:r>
      <w:r w:rsidR="008A380E" w:rsidRPr="008A380E">
        <w:t xml:space="preserve">upisanih </w:t>
      </w:r>
      <w:r w:rsidRPr="008A380E">
        <w:t xml:space="preserve">na I. godinu u akademskoj godini 2016./2017. smanjio </w:t>
      </w:r>
      <w:r w:rsidR="008A380E">
        <w:t xml:space="preserve">se </w:t>
      </w:r>
      <w:r w:rsidRPr="008A380E">
        <w:t xml:space="preserve">za 27 u odnosu na akademsku godinu 2013./2014. </w:t>
      </w:r>
    </w:p>
    <w:p w14:paraId="0D8DDC14" w14:textId="77777777" w:rsidR="00194E23" w:rsidRPr="00FD510D" w:rsidRDefault="00194E23" w:rsidP="00194E23">
      <w:pPr>
        <w:pStyle w:val="Caption"/>
      </w:pPr>
      <w:bookmarkStart w:id="46" w:name="_Toc420581445"/>
      <w:bookmarkStart w:id="47" w:name="_Toc437387494"/>
      <w:r w:rsidRPr="00FD510D">
        <w:t xml:space="preserve">Tablica </w:t>
      </w:r>
      <w:r>
        <w:fldChar w:fldCharType="begin"/>
      </w:r>
      <w:r>
        <w:instrText xml:space="preserve"> SEQ Tablica \* ARABIC </w:instrText>
      </w:r>
      <w:r>
        <w:fldChar w:fldCharType="separate"/>
      </w:r>
      <w:r w:rsidR="001358A9">
        <w:rPr>
          <w:noProof/>
        </w:rPr>
        <w:t>21</w:t>
      </w:r>
      <w:r>
        <w:rPr>
          <w:noProof/>
        </w:rPr>
        <w:fldChar w:fldCharType="end"/>
      </w:r>
      <w:r w:rsidRPr="00FD510D">
        <w:t>. Upisani studenti na Veleučilištu u Karlovcu</w:t>
      </w:r>
      <w:bookmarkEnd w:id="46"/>
      <w:bookmarkEnd w:id="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2"/>
        <w:gridCol w:w="1671"/>
        <w:gridCol w:w="1671"/>
        <w:gridCol w:w="1671"/>
        <w:gridCol w:w="1669"/>
      </w:tblGrid>
      <w:tr w:rsidR="00194E23" w:rsidRPr="00FD510D" w14:paraId="40D7E414" w14:textId="77777777" w:rsidTr="00194E23">
        <w:trPr>
          <w:cantSplit/>
          <w:trHeight w:val="170"/>
        </w:trPr>
        <w:tc>
          <w:tcPr>
            <w:tcW w:w="1425" w:type="pct"/>
            <w:shd w:val="clear" w:color="auto" w:fill="39617A"/>
          </w:tcPr>
          <w:p w14:paraId="1640A69D"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Studenti / ak. godina</w:t>
            </w:r>
          </w:p>
        </w:tc>
        <w:tc>
          <w:tcPr>
            <w:tcW w:w="894" w:type="pct"/>
            <w:shd w:val="clear" w:color="auto" w:fill="39617A"/>
          </w:tcPr>
          <w:p w14:paraId="4944831E"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2013./2014.</w:t>
            </w:r>
          </w:p>
        </w:tc>
        <w:tc>
          <w:tcPr>
            <w:tcW w:w="894" w:type="pct"/>
            <w:shd w:val="clear" w:color="auto" w:fill="39617A"/>
          </w:tcPr>
          <w:p w14:paraId="6466E492"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2014./2015.</w:t>
            </w:r>
          </w:p>
        </w:tc>
        <w:tc>
          <w:tcPr>
            <w:tcW w:w="894" w:type="pct"/>
            <w:shd w:val="clear" w:color="auto" w:fill="39617A"/>
          </w:tcPr>
          <w:p w14:paraId="5A5BAA9A"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2015./2016.</w:t>
            </w:r>
          </w:p>
        </w:tc>
        <w:tc>
          <w:tcPr>
            <w:tcW w:w="894" w:type="pct"/>
            <w:shd w:val="clear" w:color="auto" w:fill="39617A"/>
          </w:tcPr>
          <w:p w14:paraId="09ACAF90" w14:textId="77777777" w:rsidR="00194E23" w:rsidRPr="00FD510D" w:rsidRDefault="00194E23" w:rsidP="00194E23">
            <w:pPr>
              <w:jc w:val="center"/>
              <w:rPr>
                <w:rFonts w:eastAsia="Times New Roman" w:cs="Tahoma"/>
                <w:color w:val="FFFFFF"/>
                <w:sz w:val="18"/>
                <w:szCs w:val="18"/>
              </w:rPr>
            </w:pPr>
            <w:r w:rsidRPr="00FD510D">
              <w:rPr>
                <w:rFonts w:eastAsia="Times New Roman" w:cs="Tahoma"/>
                <w:color w:val="FFFFFF"/>
                <w:sz w:val="18"/>
                <w:szCs w:val="18"/>
              </w:rPr>
              <w:t>2016./2017.</w:t>
            </w:r>
          </w:p>
        </w:tc>
      </w:tr>
      <w:tr w:rsidR="00194E23" w:rsidRPr="00FD510D" w14:paraId="23AA9920" w14:textId="77777777" w:rsidTr="00194E23">
        <w:trPr>
          <w:cantSplit/>
          <w:trHeight w:val="170"/>
        </w:trPr>
        <w:tc>
          <w:tcPr>
            <w:tcW w:w="1425" w:type="pct"/>
          </w:tcPr>
          <w:p w14:paraId="3555B905"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Svi</w:t>
            </w:r>
          </w:p>
        </w:tc>
        <w:tc>
          <w:tcPr>
            <w:tcW w:w="894" w:type="pct"/>
            <w:shd w:val="clear" w:color="auto" w:fill="auto"/>
            <w:vAlign w:val="center"/>
          </w:tcPr>
          <w:p w14:paraId="34A7C1EB"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1.909</w:t>
            </w:r>
          </w:p>
        </w:tc>
        <w:tc>
          <w:tcPr>
            <w:tcW w:w="894" w:type="pct"/>
            <w:shd w:val="clear" w:color="auto" w:fill="auto"/>
            <w:vAlign w:val="center"/>
          </w:tcPr>
          <w:p w14:paraId="22C72AB1"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1.885</w:t>
            </w:r>
          </w:p>
        </w:tc>
        <w:tc>
          <w:tcPr>
            <w:tcW w:w="894" w:type="pct"/>
            <w:vAlign w:val="center"/>
          </w:tcPr>
          <w:p w14:paraId="4DBD855E"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1.730</w:t>
            </w:r>
          </w:p>
        </w:tc>
        <w:tc>
          <w:tcPr>
            <w:tcW w:w="894" w:type="pct"/>
            <w:vAlign w:val="center"/>
          </w:tcPr>
          <w:p w14:paraId="7AB24268"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1.708</w:t>
            </w:r>
          </w:p>
        </w:tc>
      </w:tr>
      <w:tr w:rsidR="00194E23" w:rsidRPr="00FD510D" w14:paraId="4AADAD9B" w14:textId="77777777" w:rsidTr="00194E23">
        <w:trPr>
          <w:cantSplit/>
          <w:trHeight w:val="170"/>
        </w:trPr>
        <w:tc>
          <w:tcPr>
            <w:tcW w:w="1425" w:type="pct"/>
          </w:tcPr>
          <w:p w14:paraId="62C13884" w14:textId="77777777" w:rsidR="00194E23" w:rsidRPr="00FD510D" w:rsidRDefault="00194E23" w:rsidP="00194E23">
            <w:pPr>
              <w:jc w:val="left"/>
              <w:rPr>
                <w:rFonts w:eastAsia="Times New Roman" w:cs="Tahoma"/>
                <w:color w:val="000000"/>
                <w:sz w:val="18"/>
                <w:szCs w:val="18"/>
              </w:rPr>
            </w:pPr>
            <w:r w:rsidRPr="00FD510D">
              <w:rPr>
                <w:rFonts w:eastAsia="Times New Roman" w:cs="Tahoma"/>
                <w:color w:val="000000"/>
                <w:sz w:val="18"/>
                <w:szCs w:val="18"/>
              </w:rPr>
              <w:t>I. god.</w:t>
            </w:r>
          </w:p>
        </w:tc>
        <w:tc>
          <w:tcPr>
            <w:tcW w:w="894" w:type="pct"/>
            <w:shd w:val="clear" w:color="auto" w:fill="auto"/>
            <w:vAlign w:val="center"/>
          </w:tcPr>
          <w:p w14:paraId="29A1FC44"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905</w:t>
            </w:r>
          </w:p>
        </w:tc>
        <w:tc>
          <w:tcPr>
            <w:tcW w:w="894" w:type="pct"/>
            <w:shd w:val="clear" w:color="auto" w:fill="auto"/>
            <w:vAlign w:val="center"/>
          </w:tcPr>
          <w:p w14:paraId="46578E26"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935</w:t>
            </w:r>
          </w:p>
        </w:tc>
        <w:tc>
          <w:tcPr>
            <w:tcW w:w="894" w:type="pct"/>
            <w:vAlign w:val="center"/>
          </w:tcPr>
          <w:p w14:paraId="27F532A7"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916</w:t>
            </w:r>
          </w:p>
        </w:tc>
        <w:tc>
          <w:tcPr>
            <w:tcW w:w="894" w:type="pct"/>
            <w:vAlign w:val="center"/>
          </w:tcPr>
          <w:p w14:paraId="04A50B43" w14:textId="77777777" w:rsidR="00194E23" w:rsidRPr="00FD510D" w:rsidRDefault="00194E23" w:rsidP="00194E23">
            <w:pPr>
              <w:jc w:val="center"/>
              <w:rPr>
                <w:rFonts w:eastAsia="Times New Roman" w:cs="Tahoma"/>
                <w:color w:val="000000"/>
                <w:sz w:val="18"/>
                <w:szCs w:val="18"/>
              </w:rPr>
            </w:pPr>
            <w:r w:rsidRPr="00FD510D">
              <w:rPr>
                <w:rFonts w:eastAsia="Times New Roman" w:cs="Tahoma"/>
                <w:color w:val="000000"/>
                <w:sz w:val="18"/>
                <w:szCs w:val="18"/>
              </w:rPr>
              <w:t>878</w:t>
            </w:r>
          </w:p>
        </w:tc>
      </w:tr>
    </w:tbl>
    <w:p w14:paraId="03E9E9DB" w14:textId="77777777" w:rsidR="00194E23" w:rsidRPr="00FD510D" w:rsidRDefault="00194E23" w:rsidP="00194E23">
      <w:pPr>
        <w:jc w:val="left"/>
        <w:rPr>
          <w:rFonts w:cs="Tahoma"/>
          <w:color w:val="39617A"/>
          <w:sz w:val="18"/>
          <w:szCs w:val="18"/>
        </w:rPr>
      </w:pPr>
      <w:r w:rsidRPr="00FD510D">
        <w:rPr>
          <w:rFonts w:cs="Tahoma"/>
          <w:color w:val="39617A"/>
          <w:sz w:val="18"/>
          <w:szCs w:val="18"/>
        </w:rPr>
        <w:t>Izvor: DZS (Studenti u akademskoj godini)</w:t>
      </w:r>
    </w:p>
    <w:p w14:paraId="55D49A85" w14:textId="6840D23A" w:rsidR="00194E23" w:rsidRPr="008A380E" w:rsidRDefault="00E9755C" w:rsidP="008A380E">
      <w:r>
        <w:t>Na području VUPKA postoji jedan studentski dom, onaj u</w:t>
      </w:r>
      <w:r w:rsidR="00194E23" w:rsidRPr="008A380E">
        <w:t xml:space="preserve"> </w:t>
      </w:r>
      <w:r>
        <w:t xml:space="preserve">sklopu kampusa Veleučilišta u Zvijezdi. Dom je otvoren u rujnu 2016. godine, nakon prenamjene i obnove bivše vojarne, a pruža mogućnost smještaja za 153 studenta. </w:t>
      </w:r>
      <w:r w:rsidR="00194E23" w:rsidRPr="008A380E">
        <w:t xml:space="preserve"> </w:t>
      </w:r>
    </w:p>
    <w:p w14:paraId="5838C46B" w14:textId="77777777" w:rsidR="00194E23" w:rsidRPr="008A380E" w:rsidRDefault="00194E23" w:rsidP="008A380E"/>
    <w:p w14:paraId="14D4307D" w14:textId="77777777" w:rsidR="00194E23" w:rsidRPr="00FD510D" w:rsidRDefault="00194E23" w:rsidP="008A380E">
      <w:pPr>
        <w:pStyle w:val="Heading4"/>
      </w:pPr>
      <w:r w:rsidRPr="00FD510D">
        <w:t>Obrazovanje odraslih</w:t>
      </w:r>
    </w:p>
    <w:p w14:paraId="2B54E94D" w14:textId="39A87016" w:rsidR="00194E23" w:rsidRPr="008A380E" w:rsidRDefault="00194E23" w:rsidP="008A380E">
      <w:r w:rsidRPr="008A380E">
        <w:t xml:space="preserve">Obrazovanje odraslih na urbanom području provodi se u privatnim i javnim ustanovama za obrazovanje koje imaju verificirane programe te su ovlaštene za izdavanje javnih isprava – certifikata. Na urbanom području, uz škole koje nude osnovno školovanje te srednjoškolsko obrazovanje odraslih, djeluje </w:t>
      </w:r>
      <w:r w:rsidRPr="008A380E">
        <w:rPr>
          <w:b/>
        </w:rPr>
        <w:t>7 ustanova za obrazovanje</w:t>
      </w:r>
      <w:r w:rsidRPr="008A380E">
        <w:t xml:space="preserve"> </w:t>
      </w:r>
      <w:r w:rsidRPr="008A380E">
        <w:rPr>
          <w:b/>
        </w:rPr>
        <w:t>odraslih što čini gotovo 90% ustanova za obrazovanje odraslih na području Županije</w:t>
      </w:r>
      <w:r w:rsidRPr="008A380E">
        <w:t>.</w:t>
      </w:r>
    </w:p>
    <w:p w14:paraId="30B212FB" w14:textId="77777777" w:rsidR="00AC2776" w:rsidRPr="00921AE8" w:rsidRDefault="00AC2776" w:rsidP="00921AE8"/>
    <w:p w14:paraId="42E28DCB" w14:textId="2CF2F1BF" w:rsidR="003C7C29" w:rsidRPr="00DA239E" w:rsidRDefault="008D1B13" w:rsidP="001A5F94">
      <w:pPr>
        <w:pStyle w:val="Heading2"/>
        <w:rPr>
          <w:noProof/>
        </w:rPr>
      </w:pPr>
      <w:bookmarkStart w:id="48" w:name="_Toc437390581"/>
      <w:r w:rsidRPr="00DA239E">
        <w:rPr>
          <w:noProof/>
        </w:rPr>
        <w:t>Gospodarstvo</w:t>
      </w:r>
      <w:bookmarkEnd w:id="48"/>
    </w:p>
    <w:p w14:paraId="5DCB60E8" w14:textId="0FB63992" w:rsidR="00E04B40" w:rsidRDefault="00E34764" w:rsidP="008A380E">
      <w:pPr>
        <w:pStyle w:val="Heading3"/>
      </w:pPr>
      <w:bookmarkStart w:id="49" w:name="_Toc437390582"/>
      <w:r>
        <w:t>Poslovni sektor VUPKA</w:t>
      </w:r>
      <w:r w:rsidR="009D2828">
        <w:rPr>
          <w:rStyle w:val="FootnoteReference"/>
        </w:rPr>
        <w:footnoteReference w:id="16"/>
      </w:r>
      <w:bookmarkEnd w:id="49"/>
    </w:p>
    <w:p w14:paraId="71CF0C79" w14:textId="5F876C23" w:rsidR="004F7C12" w:rsidRDefault="004F7C12" w:rsidP="004F7C12">
      <w:r w:rsidRPr="004F7C12">
        <w:t xml:space="preserve">Najveća koncentracija poduzetnika, zaposlenosti i gospodarske aktivnosti </w:t>
      </w:r>
      <w:r w:rsidR="00EC57D1">
        <w:t xml:space="preserve">Karlovačke županije </w:t>
      </w:r>
      <w:r w:rsidRPr="004F7C12">
        <w:t>ostvaruju se u gradskim središtima Županije</w:t>
      </w:r>
      <w:r w:rsidR="009816D3">
        <w:t>, pri čemu se može</w:t>
      </w:r>
      <w:r w:rsidR="00EC57D1">
        <w:t xml:space="preserve"> ustvrditi da</w:t>
      </w:r>
      <w:r w:rsidR="00EC57D1" w:rsidRPr="00EC57D1">
        <w:t xml:space="preserve"> </w:t>
      </w:r>
      <w:r w:rsidR="009816D3">
        <w:t>je V</w:t>
      </w:r>
      <w:r w:rsidR="00EC57D1">
        <w:t>eće urbano područje Karlovac kojeg čine tri grada nositelj gospodarstva županije</w:t>
      </w:r>
      <w:r w:rsidR="00395CAF">
        <w:t>, kako je ilustrirano slijedećim podacima</w:t>
      </w:r>
      <w:r w:rsidRPr="004F7C12">
        <w:t>:</w:t>
      </w:r>
    </w:p>
    <w:p w14:paraId="5C9EA515" w14:textId="23F46E55" w:rsidR="001358A9" w:rsidRPr="004F7C12" w:rsidRDefault="001358A9" w:rsidP="001358A9">
      <w:pPr>
        <w:pStyle w:val="Caption"/>
      </w:pPr>
      <w:bookmarkStart w:id="50" w:name="_Toc437387495"/>
      <w:r>
        <w:t xml:space="preserve">Tablica </w:t>
      </w:r>
      <w:r>
        <w:fldChar w:fldCharType="begin"/>
      </w:r>
      <w:r>
        <w:instrText xml:space="preserve"> SEQ Tablica \* ARABIC </w:instrText>
      </w:r>
      <w:r>
        <w:fldChar w:fldCharType="separate"/>
      </w:r>
      <w:r>
        <w:rPr>
          <w:noProof/>
        </w:rPr>
        <w:t>22</w:t>
      </w:r>
      <w:r>
        <w:fldChar w:fldCharType="end"/>
      </w:r>
      <w:r>
        <w:t xml:space="preserve"> Udjeli gradova u gospodarstvu Karlovačke županije</w:t>
      </w:r>
      <w:bookmarkEnd w:id="50"/>
    </w:p>
    <w:tbl>
      <w:tblPr>
        <w:tblW w:w="9112" w:type="dxa"/>
        <w:tblBorders>
          <w:top w:val="single" w:sz="6" w:space="0" w:color="CCCBCC"/>
          <w:left w:val="single" w:sz="6" w:space="0" w:color="CCCBCC"/>
          <w:bottom w:val="single" w:sz="6" w:space="0" w:color="CCCBCC"/>
          <w:right w:val="single" w:sz="6" w:space="0" w:color="CCCBCC"/>
        </w:tblBorders>
        <w:tblCellMar>
          <w:top w:w="40" w:type="dxa"/>
          <w:left w:w="40" w:type="dxa"/>
          <w:bottom w:w="40" w:type="dxa"/>
          <w:right w:w="40" w:type="dxa"/>
        </w:tblCellMar>
        <w:tblLook w:val="04A0" w:firstRow="1" w:lastRow="0" w:firstColumn="1" w:lastColumn="0" w:noHBand="0" w:noVBand="1"/>
      </w:tblPr>
      <w:tblGrid>
        <w:gridCol w:w="2025"/>
        <w:gridCol w:w="1771"/>
        <w:gridCol w:w="1772"/>
        <w:gridCol w:w="1772"/>
        <w:gridCol w:w="1772"/>
      </w:tblGrid>
      <w:tr w:rsidR="004F7C12" w:rsidRPr="00395CAF" w14:paraId="0DF2CCBD" w14:textId="77777777" w:rsidTr="00395CAF">
        <w:tc>
          <w:tcPr>
            <w:tcW w:w="2025" w:type="dxa"/>
            <w:vMerge w:val="restart"/>
            <w:tcBorders>
              <w:top w:val="outset" w:sz="6" w:space="0" w:color="auto"/>
              <w:left w:val="outset" w:sz="6" w:space="0" w:color="auto"/>
              <w:bottom w:val="outset" w:sz="6" w:space="0" w:color="auto"/>
              <w:right w:val="outset" w:sz="6" w:space="0" w:color="auto"/>
            </w:tcBorders>
            <w:shd w:val="clear" w:color="auto" w:fill="39617A"/>
            <w:hideMark/>
          </w:tcPr>
          <w:p w14:paraId="2F1E7B2A" w14:textId="77777777" w:rsidR="004F7C12" w:rsidRPr="00395CAF" w:rsidRDefault="004F7C12" w:rsidP="00395CAF">
            <w:pPr>
              <w:pStyle w:val="tabletxt"/>
              <w:jc w:val="center"/>
              <w:rPr>
                <w:b/>
                <w:color w:val="FFFFFF" w:themeColor="background1"/>
                <w:lang w:val="en-GB"/>
              </w:rPr>
            </w:pPr>
            <w:r w:rsidRPr="00395CAF">
              <w:rPr>
                <w:b/>
                <w:color w:val="FFFFFF" w:themeColor="background1"/>
                <w:lang w:val="en-GB"/>
              </w:rPr>
              <w:t>Gradovi</w:t>
            </w:r>
          </w:p>
        </w:tc>
        <w:tc>
          <w:tcPr>
            <w:tcW w:w="7087" w:type="dxa"/>
            <w:gridSpan w:val="4"/>
            <w:tcBorders>
              <w:top w:val="outset" w:sz="6" w:space="0" w:color="auto"/>
              <w:left w:val="outset" w:sz="6" w:space="0" w:color="auto"/>
              <w:bottom w:val="outset" w:sz="6" w:space="0" w:color="auto"/>
              <w:right w:val="outset" w:sz="6" w:space="0" w:color="auto"/>
            </w:tcBorders>
            <w:shd w:val="clear" w:color="auto" w:fill="39617A"/>
            <w:hideMark/>
          </w:tcPr>
          <w:p w14:paraId="3F67D8BE" w14:textId="77777777" w:rsidR="004F7C12" w:rsidRPr="00395CAF" w:rsidRDefault="004F7C12" w:rsidP="00395CAF">
            <w:pPr>
              <w:pStyle w:val="tabletxt"/>
              <w:jc w:val="center"/>
              <w:rPr>
                <w:b/>
                <w:color w:val="FFFFFF" w:themeColor="background1"/>
                <w:lang w:val="en-GB"/>
              </w:rPr>
            </w:pPr>
            <w:r w:rsidRPr="00395CAF">
              <w:rPr>
                <w:b/>
                <w:color w:val="FFFFFF" w:themeColor="background1"/>
                <w:lang w:val="en-GB"/>
              </w:rPr>
              <w:t>Udjeli u %</w:t>
            </w:r>
          </w:p>
        </w:tc>
      </w:tr>
      <w:tr w:rsidR="004F7C12" w:rsidRPr="004F7C12" w14:paraId="417A9594" w14:textId="77777777" w:rsidTr="00395CAF">
        <w:tc>
          <w:tcPr>
            <w:tcW w:w="2025" w:type="dxa"/>
            <w:vMerge/>
            <w:tcBorders>
              <w:top w:val="outset" w:sz="6" w:space="0" w:color="auto"/>
              <w:left w:val="outset" w:sz="6" w:space="0" w:color="auto"/>
              <w:bottom w:val="outset" w:sz="6" w:space="0" w:color="auto"/>
              <w:right w:val="outset" w:sz="6" w:space="0" w:color="auto"/>
            </w:tcBorders>
            <w:shd w:val="clear" w:color="auto" w:fill="F5F5F5"/>
            <w:vAlign w:val="center"/>
            <w:hideMark/>
          </w:tcPr>
          <w:p w14:paraId="36A52EBA" w14:textId="77777777" w:rsidR="004F7C12" w:rsidRPr="004F7C12" w:rsidRDefault="004F7C12" w:rsidP="00395CAF">
            <w:pPr>
              <w:pStyle w:val="tabletxt"/>
              <w:rPr>
                <w:lang w:val="en-GB"/>
              </w:rPr>
            </w:pPr>
          </w:p>
        </w:tc>
        <w:tc>
          <w:tcPr>
            <w:tcW w:w="1771" w:type="dxa"/>
            <w:tcBorders>
              <w:top w:val="outset" w:sz="6" w:space="0" w:color="auto"/>
              <w:left w:val="outset" w:sz="6" w:space="0" w:color="auto"/>
              <w:bottom w:val="outset" w:sz="6" w:space="0" w:color="auto"/>
              <w:right w:val="outset" w:sz="6" w:space="0" w:color="auto"/>
            </w:tcBorders>
            <w:shd w:val="clear" w:color="auto" w:fill="39617A"/>
            <w:hideMark/>
          </w:tcPr>
          <w:p w14:paraId="79FE54A8" w14:textId="77777777" w:rsidR="004F7C12" w:rsidRPr="00395CAF" w:rsidRDefault="004F7C12" w:rsidP="00395CAF">
            <w:pPr>
              <w:pStyle w:val="tabletxt"/>
              <w:jc w:val="center"/>
              <w:rPr>
                <w:color w:val="FFFFFF" w:themeColor="background1"/>
                <w:lang w:val="en-GB"/>
              </w:rPr>
            </w:pPr>
            <w:r w:rsidRPr="00395CAF">
              <w:rPr>
                <w:color w:val="FFFFFF" w:themeColor="background1"/>
                <w:lang w:val="en-GB"/>
              </w:rPr>
              <w:t>Broj poduzetnika</w:t>
            </w:r>
          </w:p>
        </w:tc>
        <w:tc>
          <w:tcPr>
            <w:tcW w:w="1772" w:type="dxa"/>
            <w:tcBorders>
              <w:top w:val="outset" w:sz="6" w:space="0" w:color="auto"/>
              <w:left w:val="outset" w:sz="6" w:space="0" w:color="auto"/>
              <w:bottom w:val="outset" w:sz="6" w:space="0" w:color="auto"/>
              <w:right w:val="outset" w:sz="6" w:space="0" w:color="auto"/>
            </w:tcBorders>
            <w:shd w:val="clear" w:color="auto" w:fill="39617A"/>
            <w:hideMark/>
          </w:tcPr>
          <w:p w14:paraId="2D02AEFD" w14:textId="77777777" w:rsidR="004F7C12" w:rsidRPr="00395CAF" w:rsidRDefault="004F7C12" w:rsidP="00395CAF">
            <w:pPr>
              <w:pStyle w:val="tabletxt"/>
              <w:jc w:val="center"/>
              <w:rPr>
                <w:color w:val="FFFFFF" w:themeColor="background1"/>
                <w:lang w:val="en-GB"/>
              </w:rPr>
            </w:pPr>
            <w:r w:rsidRPr="00395CAF">
              <w:rPr>
                <w:color w:val="FFFFFF" w:themeColor="background1"/>
                <w:lang w:val="en-GB"/>
              </w:rPr>
              <w:t>Broj zaposlenih</w:t>
            </w:r>
          </w:p>
        </w:tc>
        <w:tc>
          <w:tcPr>
            <w:tcW w:w="1772" w:type="dxa"/>
            <w:tcBorders>
              <w:top w:val="outset" w:sz="6" w:space="0" w:color="auto"/>
              <w:left w:val="outset" w:sz="6" w:space="0" w:color="auto"/>
              <w:bottom w:val="outset" w:sz="6" w:space="0" w:color="auto"/>
              <w:right w:val="outset" w:sz="6" w:space="0" w:color="auto"/>
            </w:tcBorders>
            <w:shd w:val="clear" w:color="auto" w:fill="39617A"/>
            <w:hideMark/>
          </w:tcPr>
          <w:p w14:paraId="5AFFE06C" w14:textId="77777777" w:rsidR="004F7C12" w:rsidRPr="00395CAF" w:rsidRDefault="004F7C12" w:rsidP="00395CAF">
            <w:pPr>
              <w:pStyle w:val="tabletxt"/>
              <w:jc w:val="center"/>
              <w:rPr>
                <w:color w:val="FFFFFF" w:themeColor="background1"/>
                <w:lang w:val="en-GB"/>
              </w:rPr>
            </w:pPr>
            <w:r w:rsidRPr="00395CAF">
              <w:rPr>
                <w:color w:val="FFFFFF" w:themeColor="background1"/>
                <w:lang w:val="en-GB"/>
              </w:rPr>
              <w:t>Ukupni prihod</w:t>
            </w:r>
          </w:p>
        </w:tc>
        <w:tc>
          <w:tcPr>
            <w:tcW w:w="1772" w:type="dxa"/>
            <w:tcBorders>
              <w:top w:val="outset" w:sz="6" w:space="0" w:color="auto"/>
              <w:left w:val="outset" w:sz="6" w:space="0" w:color="auto"/>
              <w:bottom w:val="outset" w:sz="6" w:space="0" w:color="auto"/>
              <w:right w:val="outset" w:sz="6" w:space="0" w:color="auto"/>
            </w:tcBorders>
            <w:shd w:val="clear" w:color="auto" w:fill="39617A"/>
            <w:hideMark/>
          </w:tcPr>
          <w:p w14:paraId="25517823" w14:textId="77777777" w:rsidR="004F7C12" w:rsidRPr="00395CAF" w:rsidRDefault="004F7C12" w:rsidP="00395CAF">
            <w:pPr>
              <w:pStyle w:val="tabletxt"/>
              <w:jc w:val="center"/>
              <w:rPr>
                <w:color w:val="FFFFFF" w:themeColor="background1"/>
                <w:lang w:val="en-GB"/>
              </w:rPr>
            </w:pPr>
            <w:r w:rsidRPr="00395CAF">
              <w:rPr>
                <w:color w:val="FFFFFF" w:themeColor="background1"/>
                <w:lang w:val="en-GB"/>
              </w:rPr>
              <w:t>Dobit</w:t>
            </w:r>
          </w:p>
        </w:tc>
      </w:tr>
      <w:tr w:rsidR="004F7C12" w:rsidRPr="004F7C12" w14:paraId="0CD979FA" w14:textId="77777777" w:rsidTr="00395CAF">
        <w:tc>
          <w:tcPr>
            <w:tcW w:w="2025" w:type="dxa"/>
            <w:tcBorders>
              <w:top w:val="outset" w:sz="6" w:space="0" w:color="auto"/>
              <w:left w:val="outset" w:sz="6" w:space="0" w:color="auto"/>
              <w:bottom w:val="outset" w:sz="6" w:space="0" w:color="auto"/>
              <w:right w:val="outset" w:sz="6" w:space="0" w:color="auto"/>
            </w:tcBorders>
            <w:hideMark/>
          </w:tcPr>
          <w:p w14:paraId="16C937D1" w14:textId="77777777" w:rsidR="004F7C12" w:rsidRPr="004F7C12" w:rsidRDefault="004F7C12" w:rsidP="00395CAF">
            <w:pPr>
              <w:pStyle w:val="tabletxt"/>
              <w:rPr>
                <w:lang w:val="en-GB"/>
              </w:rPr>
            </w:pPr>
            <w:r w:rsidRPr="004F7C12">
              <w:rPr>
                <w:lang w:val="en-GB"/>
              </w:rPr>
              <w:t>Karlovac</w:t>
            </w:r>
          </w:p>
        </w:tc>
        <w:tc>
          <w:tcPr>
            <w:tcW w:w="1771" w:type="dxa"/>
            <w:tcBorders>
              <w:top w:val="outset" w:sz="6" w:space="0" w:color="auto"/>
              <w:left w:val="outset" w:sz="6" w:space="0" w:color="auto"/>
              <w:bottom w:val="outset" w:sz="6" w:space="0" w:color="auto"/>
              <w:right w:val="outset" w:sz="6" w:space="0" w:color="auto"/>
            </w:tcBorders>
            <w:vAlign w:val="center"/>
            <w:hideMark/>
          </w:tcPr>
          <w:p w14:paraId="406F19BA" w14:textId="77777777" w:rsidR="004F7C12" w:rsidRPr="004F7C12" w:rsidRDefault="004F7C12" w:rsidP="00395CAF">
            <w:pPr>
              <w:pStyle w:val="tabletxt"/>
              <w:jc w:val="center"/>
              <w:rPr>
                <w:lang w:val="en-GB"/>
              </w:rPr>
            </w:pPr>
            <w:r w:rsidRPr="004F7C12">
              <w:rPr>
                <w:lang w:val="en-GB"/>
              </w:rPr>
              <w:t>51,6</w:t>
            </w:r>
          </w:p>
        </w:tc>
        <w:tc>
          <w:tcPr>
            <w:tcW w:w="1772" w:type="dxa"/>
            <w:tcBorders>
              <w:top w:val="outset" w:sz="6" w:space="0" w:color="auto"/>
              <w:left w:val="outset" w:sz="6" w:space="0" w:color="auto"/>
              <w:bottom w:val="outset" w:sz="6" w:space="0" w:color="auto"/>
              <w:right w:val="outset" w:sz="6" w:space="0" w:color="auto"/>
            </w:tcBorders>
            <w:vAlign w:val="center"/>
            <w:hideMark/>
          </w:tcPr>
          <w:p w14:paraId="013AD562" w14:textId="77777777" w:rsidR="004F7C12" w:rsidRPr="004F7C12" w:rsidRDefault="004F7C12" w:rsidP="00395CAF">
            <w:pPr>
              <w:pStyle w:val="tabletxt"/>
              <w:jc w:val="center"/>
              <w:rPr>
                <w:lang w:val="en-GB"/>
              </w:rPr>
            </w:pPr>
            <w:r w:rsidRPr="004F7C12">
              <w:rPr>
                <w:lang w:val="en-GB"/>
              </w:rPr>
              <w:t>64,2</w:t>
            </w:r>
          </w:p>
        </w:tc>
        <w:tc>
          <w:tcPr>
            <w:tcW w:w="1772" w:type="dxa"/>
            <w:tcBorders>
              <w:top w:val="outset" w:sz="6" w:space="0" w:color="auto"/>
              <w:left w:val="outset" w:sz="6" w:space="0" w:color="auto"/>
              <w:bottom w:val="outset" w:sz="6" w:space="0" w:color="auto"/>
              <w:right w:val="outset" w:sz="6" w:space="0" w:color="auto"/>
            </w:tcBorders>
            <w:vAlign w:val="center"/>
            <w:hideMark/>
          </w:tcPr>
          <w:p w14:paraId="4918B7CA" w14:textId="77777777" w:rsidR="004F7C12" w:rsidRPr="004F7C12" w:rsidRDefault="004F7C12" w:rsidP="00395CAF">
            <w:pPr>
              <w:pStyle w:val="tabletxt"/>
              <w:jc w:val="center"/>
              <w:rPr>
                <w:lang w:val="en-GB"/>
              </w:rPr>
            </w:pPr>
            <w:r w:rsidRPr="004F7C12">
              <w:rPr>
                <w:lang w:val="en-GB"/>
              </w:rPr>
              <w:t>72,0</w:t>
            </w:r>
          </w:p>
        </w:tc>
        <w:tc>
          <w:tcPr>
            <w:tcW w:w="1772" w:type="dxa"/>
            <w:tcBorders>
              <w:top w:val="outset" w:sz="6" w:space="0" w:color="auto"/>
              <w:left w:val="outset" w:sz="6" w:space="0" w:color="auto"/>
              <w:bottom w:val="outset" w:sz="6" w:space="0" w:color="auto"/>
              <w:right w:val="outset" w:sz="6" w:space="0" w:color="auto"/>
            </w:tcBorders>
            <w:vAlign w:val="center"/>
            <w:hideMark/>
          </w:tcPr>
          <w:p w14:paraId="544F9A26" w14:textId="77777777" w:rsidR="004F7C12" w:rsidRPr="004F7C12" w:rsidRDefault="004F7C12" w:rsidP="00395CAF">
            <w:pPr>
              <w:pStyle w:val="tabletxt"/>
              <w:jc w:val="center"/>
              <w:rPr>
                <w:lang w:val="en-GB"/>
              </w:rPr>
            </w:pPr>
            <w:r w:rsidRPr="004F7C12">
              <w:rPr>
                <w:lang w:val="en-GB"/>
              </w:rPr>
              <w:t>76,3</w:t>
            </w:r>
          </w:p>
        </w:tc>
      </w:tr>
      <w:tr w:rsidR="004F7C12" w:rsidRPr="004F7C12" w14:paraId="56E695CA" w14:textId="77777777" w:rsidTr="00395CAF">
        <w:tc>
          <w:tcPr>
            <w:tcW w:w="2025" w:type="dxa"/>
            <w:tcBorders>
              <w:top w:val="outset" w:sz="6" w:space="0" w:color="auto"/>
              <w:left w:val="outset" w:sz="6" w:space="0" w:color="auto"/>
              <w:bottom w:val="outset" w:sz="6" w:space="0" w:color="auto"/>
              <w:right w:val="outset" w:sz="6" w:space="0" w:color="auto"/>
            </w:tcBorders>
            <w:hideMark/>
          </w:tcPr>
          <w:p w14:paraId="0E291AF4" w14:textId="77777777" w:rsidR="004F7C12" w:rsidRPr="004F7C12" w:rsidRDefault="004F7C12" w:rsidP="00395CAF">
            <w:pPr>
              <w:pStyle w:val="tabletxt"/>
              <w:rPr>
                <w:lang w:val="en-GB"/>
              </w:rPr>
            </w:pPr>
            <w:r w:rsidRPr="004F7C12">
              <w:rPr>
                <w:lang w:val="en-GB"/>
              </w:rPr>
              <w:t>Duga Resa</w:t>
            </w:r>
          </w:p>
        </w:tc>
        <w:tc>
          <w:tcPr>
            <w:tcW w:w="1771" w:type="dxa"/>
            <w:tcBorders>
              <w:top w:val="outset" w:sz="6" w:space="0" w:color="auto"/>
              <w:left w:val="outset" w:sz="6" w:space="0" w:color="auto"/>
              <w:bottom w:val="outset" w:sz="6" w:space="0" w:color="auto"/>
              <w:right w:val="outset" w:sz="6" w:space="0" w:color="auto"/>
            </w:tcBorders>
            <w:vAlign w:val="center"/>
            <w:hideMark/>
          </w:tcPr>
          <w:p w14:paraId="59FBBFC8" w14:textId="77777777" w:rsidR="004F7C12" w:rsidRPr="004F7C12" w:rsidRDefault="004F7C12" w:rsidP="00395CAF">
            <w:pPr>
              <w:pStyle w:val="tabletxt"/>
              <w:jc w:val="center"/>
              <w:rPr>
                <w:lang w:val="en-GB"/>
              </w:rPr>
            </w:pPr>
            <w:r w:rsidRPr="004F7C12">
              <w:rPr>
                <w:lang w:val="en-GB"/>
              </w:rPr>
              <w:t>10,8</w:t>
            </w:r>
          </w:p>
        </w:tc>
        <w:tc>
          <w:tcPr>
            <w:tcW w:w="1772" w:type="dxa"/>
            <w:tcBorders>
              <w:top w:val="outset" w:sz="6" w:space="0" w:color="auto"/>
              <w:left w:val="outset" w:sz="6" w:space="0" w:color="auto"/>
              <w:bottom w:val="outset" w:sz="6" w:space="0" w:color="auto"/>
              <w:right w:val="outset" w:sz="6" w:space="0" w:color="auto"/>
            </w:tcBorders>
            <w:vAlign w:val="center"/>
            <w:hideMark/>
          </w:tcPr>
          <w:p w14:paraId="29F93DE4" w14:textId="77777777" w:rsidR="004F7C12" w:rsidRPr="004F7C12" w:rsidRDefault="004F7C12" w:rsidP="00395CAF">
            <w:pPr>
              <w:pStyle w:val="tabletxt"/>
              <w:jc w:val="center"/>
              <w:rPr>
                <w:lang w:val="en-GB"/>
              </w:rPr>
            </w:pPr>
            <w:r w:rsidRPr="004F7C12">
              <w:rPr>
                <w:lang w:val="en-GB"/>
              </w:rPr>
              <w:t>9,1</w:t>
            </w:r>
          </w:p>
        </w:tc>
        <w:tc>
          <w:tcPr>
            <w:tcW w:w="1772" w:type="dxa"/>
            <w:tcBorders>
              <w:top w:val="outset" w:sz="6" w:space="0" w:color="auto"/>
              <w:left w:val="outset" w:sz="6" w:space="0" w:color="auto"/>
              <w:bottom w:val="outset" w:sz="6" w:space="0" w:color="auto"/>
              <w:right w:val="outset" w:sz="6" w:space="0" w:color="auto"/>
            </w:tcBorders>
            <w:vAlign w:val="center"/>
            <w:hideMark/>
          </w:tcPr>
          <w:p w14:paraId="59C80C53" w14:textId="77777777" w:rsidR="004F7C12" w:rsidRPr="004F7C12" w:rsidRDefault="004F7C12" w:rsidP="00395CAF">
            <w:pPr>
              <w:pStyle w:val="tabletxt"/>
              <w:jc w:val="center"/>
              <w:rPr>
                <w:lang w:val="en-GB"/>
              </w:rPr>
            </w:pPr>
            <w:r w:rsidRPr="004F7C12">
              <w:rPr>
                <w:lang w:val="en-GB"/>
              </w:rPr>
              <w:t>5,2</w:t>
            </w:r>
          </w:p>
        </w:tc>
        <w:tc>
          <w:tcPr>
            <w:tcW w:w="1772" w:type="dxa"/>
            <w:tcBorders>
              <w:top w:val="outset" w:sz="6" w:space="0" w:color="auto"/>
              <w:left w:val="outset" w:sz="6" w:space="0" w:color="auto"/>
              <w:bottom w:val="outset" w:sz="6" w:space="0" w:color="auto"/>
              <w:right w:val="outset" w:sz="6" w:space="0" w:color="auto"/>
            </w:tcBorders>
            <w:vAlign w:val="center"/>
            <w:hideMark/>
          </w:tcPr>
          <w:p w14:paraId="6A8DA457" w14:textId="77777777" w:rsidR="004F7C12" w:rsidRPr="004F7C12" w:rsidRDefault="004F7C12" w:rsidP="00395CAF">
            <w:pPr>
              <w:pStyle w:val="tabletxt"/>
              <w:jc w:val="center"/>
              <w:rPr>
                <w:lang w:val="en-GB"/>
              </w:rPr>
            </w:pPr>
            <w:r w:rsidRPr="004F7C12">
              <w:rPr>
                <w:lang w:val="en-GB"/>
              </w:rPr>
              <w:t>4,8</w:t>
            </w:r>
          </w:p>
        </w:tc>
      </w:tr>
      <w:tr w:rsidR="004F7C12" w:rsidRPr="004F7C12" w14:paraId="076F50F0" w14:textId="77777777" w:rsidTr="00395CAF">
        <w:tc>
          <w:tcPr>
            <w:tcW w:w="2025" w:type="dxa"/>
            <w:tcBorders>
              <w:top w:val="outset" w:sz="6" w:space="0" w:color="auto"/>
              <w:left w:val="outset" w:sz="6" w:space="0" w:color="auto"/>
              <w:bottom w:val="outset" w:sz="6" w:space="0" w:color="auto"/>
              <w:right w:val="outset" w:sz="6" w:space="0" w:color="auto"/>
            </w:tcBorders>
            <w:hideMark/>
          </w:tcPr>
          <w:p w14:paraId="670D4DB5" w14:textId="77777777" w:rsidR="004F7C12" w:rsidRPr="004F7C12" w:rsidRDefault="004F7C12" w:rsidP="00395CAF">
            <w:pPr>
              <w:pStyle w:val="tabletxt"/>
              <w:rPr>
                <w:lang w:val="en-GB"/>
              </w:rPr>
            </w:pPr>
            <w:r w:rsidRPr="004F7C12">
              <w:rPr>
                <w:lang w:val="en-GB"/>
              </w:rPr>
              <w:t>Ogulin</w:t>
            </w:r>
          </w:p>
        </w:tc>
        <w:tc>
          <w:tcPr>
            <w:tcW w:w="1771" w:type="dxa"/>
            <w:tcBorders>
              <w:top w:val="outset" w:sz="6" w:space="0" w:color="auto"/>
              <w:left w:val="outset" w:sz="6" w:space="0" w:color="auto"/>
              <w:bottom w:val="outset" w:sz="6" w:space="0" w:color="auto"/>
              <w:right w:val="outset" w:sz="6" w:space="0" w:color="auto"/>
            </w:tcBorders>
            <w:vAlign w:val="center"/>
            <w:hideMark/>
          </w:tcPr>
          <w:p w14:paraId="046B051B" w14:textId="77777777" w:rsidR="004F7C12" w:rsidRPr="004F7C12" w:rsidRDefault="004F7C12" w:rsidP="00395CAF">
            <w:pPr>
              <w:pStyle w:val="tabletxt"/>
              <w:jc w:val="center"/>
              <w:rPr>
                <w:lang w:val="en-GB"/>
              </w:rPr>
            </w:pPr>
            <w:r w:rsidRPr="004F7C12">
              <w:rPr>
                <w:lang w:val="en-GB"/>
              </w:rPr>
              <w:t>10,4</w:t>
            </w:r>
          </w:p>
        </w:tc>
        <w:tc>
          <w:tcPr>
            <w:tcW w:w="1772" w:type="dxa"/>
            <w:tcBorders>
              <w:top w:val="outset" w:sz="6" w:space="0" w:color="auto"/>
              <w:left w:val="outset" w:sz="6" w:space="0" w:color="auto"/>
              <w:bottom w:val="outset" w:sz="6" w:space="0" w:color="auto"/>
              <w:right w:val="outset" w:sz="6" w:space="0" w:color="auto"/>
            </w:tcBorders>
            <w:vAlign w:val="center"/>
            <w:hideMark/>
          </w:tcPr>
          <w:p w14:paraId="18AF82F3" w14:textId="77777777" w:rsidR="004F7C12" w:rsidRPr="004F7C12" w:rsidRDefault="004F7C12" w:rsidP="00395CAF">
            <w:pPr>
              <w:pStyle w:val="tabletxt"/>
              <w:jc w:val="center"/>
              <w:rPr>
                <w:lang w:val="en-GB"/>
              </w:rPr>
            </w:pPr>
            <w:r w:rsidRPr="004F7C12">
              <w:rPr>
                <w:lang w:val="en-GB"/>
              </w:rPr>
              <w:t>11,5</w:t>
            </w:r>
          </w:p>
        </w:tc>
        <w:tc>
          <w:tcPr>
            <w:tcW w:w="1772" w:type="dxa"/>
            <w:tcBorders>
              <w:top w:val="outset" w:sz="6" w:space="0" w:color="auto"/>
              <w:left w:val="outset" w:sz="6" w:space="0" w:color="auto"/>
              <w:bottom w:val="outset" w:sz="6" w:space="0" w:color="auto"/>
              <w:right w:val="outset" w:sz="6" w:space="0" w:color="auto"/>
            </w:tcBorders>
            <w:vAlign w:val="center"/>
            <w:hideMark/>
          </w:tcPr>
          <w:p w14:paraId="203F6937" w14:textId="77777777" w:rsidR="004F7C12" w:rsidRPr="004F7C12" w:rsidRDefault="004F7C12" w:rsidP="00395CAF">
            <w:pPr>
              <w:pStyle w:val="tabletxt"/>
              <w:jc w:val="center"/>
              <w:rPr>
                <w:lang w:val="en-GB"/>
              </w:rPr>
            </w:pPr>
            <w:r w:rsidRPr="004F7C12">
              <w:rPr>
                <w:lang w:val="en-GB"/>
              </w:rPr>
              <w:t>11,9</w:t>
            </w:r>
          </w:p>
        </w:tc>
        <w:tc>
          <w:tcPr>
            <w:tcW w:w="1772" w:type="dxa"/>
            <w:tcBorders>
              <w:top w:val="outset" w:sz="6" w:space="0" w:color="auto"/>
              <w:left w:val="outset" w:sz="6" w:space="0" w:color="auto"/>
              <w:bottom w:val="outset" w:sz="6" w:space="0" w:color="auto"/>
              <w:right w:val="outset" w:sz="6" w:space="0" w:color="auto"/>
            </w:tcBorders>
            <w:vAlign w:val="center"/>
            <w:hideMark/>
          </w:tcPr>
          <w:p w14:paraId="3BB41AA7" w14:textId="77777777" w:rsidR="004F7C12" w:rsidRPr="004F7C12" w:rsidRDefault="004F7C12" w:rsidP="00395CAF">
            <w:pPr>
              <w:pStyle w:val="tabletxt"/>
              <w:jc w:val="center"/>
              <w:rPr>
                <w:lang w:val="en-GB"/>
              </w:rPr>
            </w:pPr>
            <w:r w:rsidRPr="004F7C12">
              <w:rPr>
                <w:lang w:val="en-GB"/>
              </w:rPr>
              <w:t>8,7</w:t>
            </w:r>
          </w:p>
        </w:tc>
      </w:tr>
      <w:tr w:rsidR="004F7C12" w:rsidRPr="004F7C12" w14:paraId="3591F3B3" w14:textId="77777777" w:rsidTr="00395CAF">
        <w:tc>
          <w:tcPr>
            <w:tcW w:w="2025" w:type="dxa"/>
            <w:tcBorders>
              <w:top w:val="outset" w:sz="6" w:space="0" w:color="auto"/>
              <w:left w:val="outset" w:sz="6" w:space="0" w:color="auto"/>
              <w:bottom w:val="outset" w:sz="6" w:space="0" w:color="auto"/>
              <w:right w:val="outset" w:sz="6" w:space="0" w:color="auto"/>
            </w:tcBorders>
            <w:hideMark/>
          </w:tcPr>
          <w:p w14:paraId="5480B99D" w14:textId="77777777" w:rsidR="004F7C12" w:rsidRPr="004F7C12" w:rsidRDefault="004F7C12" w:rsidP="00395CAF">
            <w:pPr>
              <w:pStyle w:val="tabletxt"/>
              <w:rPr>
                <w:lang w:val="en-GB"/>
              </w:rPr>
            </w:pPr>
            <w:r w:rsidRPr="004F7C12">
              <w:rPr>
                <w:lang w:val="en-GB"/>
              </w:rPr>
              <w:t>Ozalj</w:t>
            </w:r>
          </w:p>
        </w:tc>
        <w:tc>
          <w:tcPr>
            <w:tcW w:w="1771" w:type="dxa"/>
            <w:tcBorders>
              <w:top w:val="outset" w:sz="6" w:space="0" w:color="auto"/>
              <w:left w:val="outset" w:sz="6" w:space="0" w:color="auto"/>
              <w:bottom w:val="outset" w:sz="6" w:space="0" w:color="auto"/>
              <w:right w:val="outset" w:sz="6" w:space="0" w:color="auto"/>
            </w:tcBorders>
            <w:vAlign w:val="center"/>
            <w:hideMark/>
          </w:tcPr>
          <w:p w14:paraId="695D9F3D" w14:textId="77777777" w:rsidR="004F7C12" w:rsidRPr="004F7C12" w:rsidRDefault="004F7C12" w:rsidP="00395CAF">
            <w:pPr>
              <w:pStyle w:val="tabletxt"/>
              <w:jc w:val="center"/>
              <w:rPr>
                <w:lang w:val="en-GB"/>
              </w:rPr>
            </w:pPr>
            <w:r w:rsidRPr="004F7C12">
              <w:rPr>
                <w:lang w:val="en-GB"/>
              </w:rPr>
              <w:t>6,4</w:t>
            </w:r>
          </w:p>
        </w:tc>
        <w:tc>
          <w:tcPr>
            <w:tcW w:w="1772" w:type="dxa"/>
            <w:tcBorders>
              <w:top w:val="outset" w:sz="6" w:space="0" w:color="auto"/>
              <w:left w:val="outset" w:sz="6" w:space="0" w:color="auto"/>
              <w:bottom w:val="outset" w:sz="6" w:space="0" w:color="auto"/>
              <w:right w:val="outset" w:sz="6" w:space="0" w:color="auto"/>
            </w:tcBorders>
            <w:vAlign w:val="center"/>
            <w:hideMark/>
          </w:tcPr>
          <w:p w14:paraId="47B2D3E2" w14:textId="77777777" w:rsidR="004F7C12" w:rsidRPr="004F7C12" w:rsidRDefault="004F7C12" w:rsidP="00395CAF">
            <w:pPr>
              <w:pStyle w:val="tabletxt"/>
              <w:jc w:val="center"/>
              <w:rPr>
                <w:lang w:val="en-GB"/>
              </w:rPr>
            </w:pPr>
            <w:r w:rsidRPr="004F7C12">
              <w:rPr>
                <w:lang w:val="en-GB"/>
              </w:rPr>
              <w:t>4,0</w:t>
            </w:r>
          </w:p>
        </w:tc>
        <w:tc>
          <w:tcPr>
            <w:tcW w:w="1772" w:type="dxa"/>
            <w:tcBorders>
              <w:top w:val="outset" w:sz="6" w:space="0" w:color="auto"/>
              <w:left w:val="outset" w:sz="6" w:space="0" w:color="auto"/>
              <w:bottom w:val="outset" w:sz="6" w:space="0" w:color="auto"/>
              <w:right w:val="outset" w:sz="6" w:space="0" w:color="auto"/>
            </w:tcBorders>
            <w:vAlign w:val="center"/>
            <w:hideMark/>
          </w:tcPr>
          <w:p w14:paraId="32774E15" w14:textId="77777777" w:rsidR="004F7C12" w:rsidRPr="004F7C12" w:rsidRDefault="004F7C12" w:rsidP="00395CAF">
            <w:pPr>
              <w:pStyle w:val="tabletxt"/>
              <w:jc w:val="center"/>
              <w:rPr>
                <w:lang w:val="en-GB"/>
              </w:rPr>
            </w:pPr>
            <w:r w:rsidRPr="004F7C12">
              <w:rPr>
                <w:lang w:val="en-GB"/>
              </w:rPr>
              <w:t>4,2</w:t>
            </w:r>
          </w:p>
        </w:tc>
        <w:tc>
          <w:tcPr>
            <w:tcW w:w="1772" w:type="dxa"/>
            <w:tcBorders>
              <w:top w:val="outset" w:sz="6" w:space="0" w:color="auto"/>
              <w:left w:val="outset" w:sz="6" w:space="0" w:color="auto"/>
              <w:bottom w:val="outset" w:sz="6" w:space="0" w:color="auto"/>
              <w:right w:val="outset" w:sz="6" w:space="0" w:color="auto"/>
            </w:tcBorders>
            <w:vAlign w:val="center"/>
            <w:hideMark/>
          </w:tcPr>
          <w:p w14:paraId="25FB5253" w14:textId="77777777" w:rsidR="004F7C12" w:rsidRPr="004F7C12" w:rsidRDefault="004F7C12" w:rsidP="00395CAF">
            <w:pPr>
              <w:pStyle w:val="tabletxt"/>
              <w:jc w:val="center"/>
              <w:rPr>
                <w:lang w:val="en-GB"/>
              </w:rPr>
            </w:pPr>
            <w:r w:rsidRPr="004F7C12">
              <w:rPr>
                <w:lang w:val="en-GB"/>
              </w:rPr>
              <w:t>4,2</w:t>
            </w:r>
          </w:p>
        </w:tc>
      </w:tr>
      <w:tr w:rsidR="004F7C12" w:rsidRPr="004F7C12" w14:paraId="18A2435F" w14:textId="77777777" w:rsidTr="00395CAF">
        <w:tc>
          <w:tcPr>
            <w:tcW w:w="2025" w:type="dxa"/>
            <w:tcBorders>
              <w:top w:val="outset" w:sz="6" w:space="0" w:color="auto"/>
              <w:left w:val="outset" w:sz="6" w:space="0" w:color="auto"/>
              <w:bottom w:val="outset" w:sz="6" w:space="0" w:color="auto"/>
              <w:right w:val="outset" w:sz="6" w:space="0" w:color="auto"/>
            </w:tcBorders>
            <w:hideMark/>
          </w:tcPr>
          <w:p w14:paraId="3B3EE0AF" w14:textId="77777777" w:rsidR="004F7C12" w:rsidRPr="004F7C12" w:rsidRDefault="004F7C12" w:rsidP="00395CAF">
            <w:pPr>
              <w:pStyle w:val="tabletxt"/>
              <w:rPr>
                <w:lang w:val="en-GB"/>
              </w:rPr>
            </w:pPr>
            <w:r w:rsidRPr="004F7C12">
              <w:rPr>
                <w:lang w:val="en-GB"/>
              </w:rPr>
              <w:t>Slunj</w:t>
            </w:r>
          </w:p>
        </w:tc>
        <w:tc>
          <w:tcPr>
            <w:tcW w:w="1771" w:type="dxa"/>
            <w:tcBorders>
              <w:top w:val="outset" w:sz="6" w:space="0" w:color="auto"/>
              <w:left w:val="outset" w:sz="6" w:space="0" w:color="auto"/>
              <w:bottom w:val="outset" w:sz="6" w:space="0" w:color="auto"/>
              <w:right w:val="outset" w:sz="6" w:space="0" w:color="auto"/>
            </w:tcBorders>
            <w:vAlign w:val="center"/>
            <w:hideMark/>
          </w:tcPr>
          <w:p w14:paraId="763E7E6D" w14:textId="77777777" w:rsidR="004F7C12" w:rsidRPr="004F7C12" w:rsidRDefault="004F7C12" w:rsidP="00395CAF">
            <w:pPr>
              <w:pStyle w:val="tabletxt"/>
              <w:jc w:val="center"/>
              <w:rPr>
                <w:lang w:val="en-GB"/>
              </w:rPr>
            </w:pPr>
            <w:r w:rsidRPr="004F7C12">
              <w:rPr>
                <w:lang w:val="en-GB"/>
              </w:rPr>
              <w:t>2,9</w:t>
            </w:r>
          </w:p>
        </w:tc>
        <w:tc>
          <w:tcPr>
            <w:tcW w:w="1772" w:type="dxa"/>
            <w:tcBorders>
              <w:top w:val="outset" w:sz="6" w:space="0" w:color="auto"/>
              <w:left w:val="outset" w:sz="6" w:space="0" w:color="auto"/>
              <w:bottom w:val="outset" w:sz="6" w:space="0" w:color="auto"/>
              <w:right w:val="outset" w:sz="6" w:space="0" w:color="auto"/>
            </w:tcBorders>
            <w:vAlign w:val="center"/>
            <w:hideMark/>
          </w:tcPr>
          <w:p w14:paraId="5685082B" w14:textId="77777777" w:rsidR="004F7C12" w:rsidRPr="004F7C12" w:rsidRDefault="004F7C12" w:rsidP="00395CAF">
            <w:pPr>
              <w:pStyle w:val="tabletxt"/>
              <w:jc w:val="center"/>
              <w:rPr>
                <w:lang w:val="en-GB"/>
              </w:rPr>
            </w:pPr>
            <w:r w:rsidRPr="004F7C12">
              <w:rPr>
                <w:lang w:val="en-GB"/>
              </w:rPr>
              <w:t>2,2</w:t>
            </w:r>
          </w:p>
        </w:tc>
        <w:tc>
          <w:tcPr>
            <w:tcW w:w="1772" w:type="dxa"/>
            <w:tcBorders>
              <w:top w:val="outset" w:sz="6" w:space="0" w:color="auto"/>
              <w:left w:val="outset" w:sz="6" w:space="0" w:color="auto"/>
              <w:bottom w:val="outset" w:sz="6" w:space="0" w:color="auto"/>
              <w:right w:val="outset" w:sz="6" w:space="0" w:color="auto"/>
            </w:tcBorders>
            <w:vAlign w:val="center"/>
            <w:hideMark/>
          </w:tcPr>
          <w:p w14:paraId="48973B1A" w14:textId="77777777" w:rsidR="004F7C12" w:rsidRPr="004F7C12" w:rsidRDefault="004F7C12" w:rsidP="00395CAF">
            <w:pPr>
              <w:pStyle w:val="tabletxt"/>
              <w:jc w:val="center"/>
              <w:rPr>
                <w:lang w:val="en-GB"/>
              </w:rPr>
            </w:pPr>
            <w:r w:rsidRPr="004F7C12">
              <w:rPr>
                <w:lang w:val="en-GB"/>
              </w:rPr>
              <w:t>1,5</w:t>
            </w:r>
          </w:p>
        </w:tc>
        <w:tc>
          <w:tcPr>
            <w:tcW w:w="1772" w:type="dxa"/>
            <w:tcBorders>
              <w:top w:val="outset" w:sz="6" w:space="0" w:color="auto"/>
              <w:left w:val="outset" w:sz="6" w:space="0" w:color="auto"/>
              <w:bottom w:val="outset" w:sz="6" w:space="0" w:color="auto"/>
              <w:right w:val="outset" w:sz="6" w:space="0" w:color="auto"/>
            </w:tcBorders>
            <w:vAlign w:val="center"/>
            <w:hideMark/>
          </w:tcPr>
          <w:p w14:paraId="6CC33A58" w14:textId="77777777" w:rsidR="004F7C12" w:rsidRPr="004F7C12" w:rsidRDefault="004F7C12" w:rsidP="00395CAF">
            <w:pPr>
              <w:pStyle w:val="tabletxt"/>
              <w:jc w:val="center"/>
              <w:rPr>
                <w:lang w:val="en-GB"/>
              </w:rPr>
            </w:pPr>
            <w:r w:rsidRPr="004F7C12">
              <w:rPr>
                <w:lang w:val="en-GB"/>
              </w:rPr>
              <w:t>0,9</w:t>
            </w:r>
          </w:p>
        </w:tc>
      </w:tr>
      <w:tr w:rsidR="004F7C12" w:rsidRPr="004F7C12" w14:paraId="53FD83FF" w14:textId="77777777" w:rsidTr="00395CAF">
        <w:tc>
          <w:tcPr>
            <w:tcW w:w="2025" w:type="dxa"/>
            <w:tcBorders>
              <w:top w:val="outset" w:sz="6" w:space="0" w:color="auto"/>
              <w:left w:val="outset" w:sz="6" w:space="0" w:color="auto"/>
              <w:bottom w:val="outset" w:sz="6" w:space="0" w:color="auto"/>
              <w:right w:val="outset" w:sz="6" w:space="0" w:color="auto"/>
            </w:tcBorders>
            <w:hideMark/>
          </w:tcPr>
          <w:p w14:paraId="23FF61AA" w14:textId="77777777" w:rsidR="004F7C12" w:rsidRPr="004F7C12" w:rsidRDefault="004F7C12" w:rsidP="00395CAF">
            <w:pPr>
              <w:pStyle w:val="tabletxt"/>
              <w:rPr>
                <w:lang w:val="en-GB"/>
              </w:rPr>
            </w:pPr>
            <w:r w:rsidRPr="004F7C12">
              <w:rPr>
                <w:b/>
                <w:bCs/>
                <w:bdr w:val="none" w:sz="0" w:space="0" w:color="auto" w:frame="1"/>
                <w:lang w:val="en-GB"/>
              </w:rPr>
              <w:t>Ukupno gradovi</w:t>
            </w:r>
          </w:p>
        </w:tc>
        <w:tc>
          <w:tcPr>
            <w:tcW w:w="1771" w:type="dxa"/>
            <w:tcBorders>
              <w:top w:val="outset" w:sz="6" w:space="0" w:color="auto"/>
              <w:left w:val="outset" w:sz="6" w:space="0" w:color="auto"/>
              <w:bottom w:val="outset" w:sz="6" w:space="0" w:color="auto"/>
              <w:right w:val="outset" w:sz="6" w:space="0" w:color="auto"/>
            </w:tcBorders>
            <w:vAlign w:val="center"/>
            <w:hideMark/>
          </w:tcPr>
          <w:p w14:paraId="17527B8B" w14:textId="77777777" w:rsidR="004F7C12" w:rsidRPr="004F7C12" w:rsidRDefault="004F7C12" w:rsidP="00395CAF">
            <w:pPr>
              <w:pStyle w:val="tabletxt"/>
              <w:jc w:val="center"/>
              <w:rPr>
                <w:lang w:val="en-GB"/>
              </w:rPr>
            </w:pPr>
            <w:r w:rsidRPr="004F7C12">
              <w:rPr>
                <w:b/>
                <w:bCs/>
                <w:bdr w:val="none" w:sz="0" w:space="0" w:color="auto" w:frame="1"/>
                <w:lang w:val="en-GB"/>
              </w:rPr>
              <w:t>82,1</w:t>
            </w:r>
          </w:p>
        </w:tc>
        <w:tc>
          <w:tcPr>
            <w:tcW w:w="1772" w:type="dxa"/>
            <w:tcBorders>
              <w:top w:val="outset" w:sz="6" w:space="0" w:color="auto"/>
              <w:left w:val="outset" w:sz="6" w:space="0" w:color="auto"/>
              <w:bottom w:val="outset" w:sz="6" w:space="0" w:color="auto"/>
              <w:right w:val="outset" w:sz="6" w:space="0" w:color="auto"/>
            </w:tcBorders>
            <w:vAlign w:val="center"/>
            <w:hideMark/>
          </w:tcPr>
          <w:p w14:paraId="525A5398" w14:textId="77777777" w:rsidR="004F7C12" w:rsidRPr="004F7C12" w:rsidRDefault="004F7C12" w:rsidP="00395CAF">
            <w:pPr>
              <w:pStyle w:val="tabletxt"/>
              <w:jc w:val="center"/>
              <w:rPr>
                <w:lang w:val="en-GB"/>
              </w:rPr>
            </w:pPr>
            <w:r w:rsidRPr="004F7C12">
              <w:rPr>
                <w:b/>
                <w:bCs/>
                <w:bdr w:val="none" w:sz="0" w:space="0" w:color="auto" w:frame="1"/>
                <w:lang w:val="en-GB"/>
              </w:rPr>
              <w:t>91,0</w:t>
            </w:r>
          </w:p>
        </w:tc>
        <w:tc>
          <w:tcPr>
            <w:tcW w:w="1772" w:type="dxa"/>
            <w:tcBorders>
              <w:top w:val="outset" w:sz="6" w:space="0" w:color="auto"/>
              <w:left w:val="outset" w:sz="6" w:space="0" w:color="auto"/>
              <w:bottom w:val="outset" w:sz="6" w:space="0" w:color="auto"/>
              <w:right w:val="outset" w:sz="6" w:space="0" w:color="auto"/>
            </w:tcBorders>
            <w:vAlign w:val="center"/>
            <w:hideMark/>
          </w:tcPr>
          <w:p w14:paraId="6E45CEB9" w14:textId="77777777" w:rsidR="004F7C12" w:rsidRPr="004F7C12" w:rsidRDefault="004F7C12" w:rsidP="00395CAF">
            <w:pPr>
              <w:pStyle w:val="tabletxt"/>
              <w:jc w:val="center"/>
              <w:rPr>
                <w:lang w:val="en-GB"/>
              </w:rPr>
            </w:pPr>
            <w:r w:rsidRPr="004F7C12">
              <w:rPr>
                <w:b/>
                <w:bCs/>
                <w:bdr w:val="none" w:sz="0" w:space="0" w:color="auto" w:frame="1"/>
                <w:lang w:val="en-GB"/>
              </w:rPr>
              <w:t>94,8</w:t>
            </w:r>
          </w:p>
        </w:tc>
        <w:tc>
          <w:tcPr>
            <w:tcW w:w="1772" w:type="dxa"/>
            <w:tcBorders>
              <w:top w:val="outset" w:sz="6" w:space="0" w:color="auto"/>
              <w:left w:val="outset" w:sz="6" w:space="0" w:color="auto"/>
              <w:bottom w:val="outset" w:sz="6" w:space="0" w:color="auto"/>
              <w:right w:val="outset" w:sz="6" w:space="0" w:color="auto"/>
            </w:tcBorders>
            <w:vAlign w:val="center"/>
            <w:hideMark/>
          </w:tcPr>
          <w:p w14:paraId="07188D9D" w14:textId="77777777" w:rsidR="004F7C12" w:rsidRPr="004F7C12" w:rsidRDefault="004F7C12" w:rsidP="00395CAF">
            <w:pPr>
              <w:pStyle w:val="tabletxt"/>
              <w:jc w:val="center"/>
              <w:rPr>
                <w:lang w:val="en-GB"/>
              </w:rPr>
            </w:pPr>
            <w:r w:rsidRPr="004F7C12">
              <w:rPr>
                <w:b/>
                <w:bCs/>
                <w:bdr w:val="none" w:sz="0" w:space="0" w:color="auto" w:frame="1"/>
                <w:lang w:val="en-GB"/>
              </w:rPr>
              <w:t>94,9</w:t>
            </w:r>
          </w:p>
        </w:tc>
      </w:tr>
      <w:tr w:rsidR="00395CAF" w:rsidRPr="004F7C12" w14:paraId="4CFC391D" w14:textId="77777777" w:rsidTr="00395CAF">
        <w:tc>
          <w:tcPr>
            <w:tcW w:w="2025" w:type="dxa"/>
            <w:tcBorders>
              <w:top w:val="outset" w:sz="6" w:space="0" w:color="auto"/>
              <w:left w:val="outset" w:sz="6" w:space="0" w:color="auto"/>
              <w:bottom w:val="outset" w:sz="6" w:space="0" w:color="auto"/>
              <w:right w:val="outset" w:sz="6" w:space="0" w:color="auto"/>
            </w:tcBorders>
          </w:tcPr>
          <w:p w14:paraId="3E115DC2" w14:textId="0327E1FC" w:rsidR="00395CAF" w:rsidRPr="004F7C12" w:rsidRDefault="00395CAF" w:rsidP="00395CAF">
            <w:pPr>
              <w:pStyle w:val="tabletxt"/>
              <w:rPr>
                <w:b/>
                <w:bCs/>
                <w:bdr w:val="none" w:sz="0" w:space="0" w:color="auto" w:frame="1"/>
                <w:lang w:val="en-GB"/>
              </w:rPr>
            </w:pPr>
            <w:r>
              <w:rPr>
                <w:b/>
                <w:bCs/>
                <w:bdr w:val="none" w:sz="0" w:space="0" w:color="auto" w:frame="1"/>
                <w:lang w:val="en-GB"/>
              </w:rPr>
              <w:t>Ukupno VUPKA</w:t>
            </w:r>
          </w:p>
        </w:tc>
        <w:tc>
          <w:tcPr>
            <w:tcW w:w="1771" w:type="dxa"/>
            <w:tcBorders>
              <w:top w:val="outset" w:sz="6" w:space="0" w:color="auto"/>
              <w:left w:val="outset" w:sz="6" w:space="0" w:color="auto"/>
              <w:bottom w:val="outset" w:sz="6" w:space="0" w:color="auto"/>
              <w:right w:val="outset" w:sz="6" w:space="0" w:color="auto"/>
            </w:tcBorders>
            <w:vAlign w:val="center"/>
          </w:tcPr>
          <w:p w14:paraId="3B46A3B5" w14:textId="2C1528DC" w:rsidR="00395CAF" w:rsidRPr="004F7C12" w:rsidRDefault="00395CAF" w:rsidP="00395CAF">
            <w:pPr>
              <w:pStyle w:val="tabletxt"/>
              <w:jc w:val="center"/>
              <w:rPr>
                <w:b/>
                <w:bCs/>
                <w:bdr w:val="none" w:sz="0" w:space="0" w:color="auto" w:frame="1"/>
                <w:lang w:val="en-GB"/>
              </w:rPr>
            </w:pPr>
            <w:r>
              <w:rPr>
                <w:b/>
                <w:bCs/>
                <w:bdr w:val="none" w:sz="0" w:space="0" w:color="auto" w:frame="1"/>
                <w:lang w:val="en-GB"/>
              </w:rPr>
              <w:t>68.8</w:t>
            </w:r>
          </w:p>
        </w:tc>
        <w:tc>
          <w:tcPr>
            <w:tcW w:w="1772" w:type="dxa"/>
            <w:tcBorders>
              <w:top w:val="outset" w:sz="6" w:space="0" w:color="auto"/>
              <w:left w:val="outset" w:sz="6" w:space="0" w:color="auto"/>
              <w:bottom w:val="outset" w:sz="6" w:space="0" w:color="auto"/>
              <w:right w:val="outset" w:sz="6" w:space="0" w:color="auto"/>
            </w:tcBorders>
            <w:vAlign w:val="center"/>
          </w:tcPr>
          <w:p w14:paraId="2003347E" w14:textId="42CD4F20" w:rsidR="00395CAF" w:rsidRPr="004F7C12" w:rsidRDefault="00395CAF" w:rsidP="00395CAF">
            <w:pPr>
              <w:pStyle w:val="tabletxt"/>
              <w:jc w:val="center"/>
              <w:rPr>
                <w:b/>
                <w:bCs/>
                <w:bdr w:val="none" w:sz="0" w:space="0" w:color="auto" w:frame="1"/>
                <w:lang w:val="en-GB"/>
              </w:rPr>
            </w:pPr>
            <w:r>
              <w:rPr>
                <w:b/>
                <w:bCs/>
                <w:bdr w:val="none" w:sz="0" w:space="0" w:color="auto" w:frame="1"/>
                <w:lang w:val="en-GB"/>
              </w:rPr>
              <w:t>77,3</w:t>
            </w:r>
          </w:p>
        </w:tc>
        <w:tc>
          <w:tcPr>
            <w:tcW w:w="1772" w:type="dxa"/>
            <w:tcBorders>
              <w:top w:val="outset" w:sz="6" w:space="0" w:color="auto"/>
              <w:left w:val="outset" w:sz="6" w:space="0" w:color="auto"/>
              <w:bottom w:val="outset" w:sz="6" w:space="0" w:color="auto"/>
              <w:right w:val="outset" w:sz="6" w:space="0" w:color="auto"/>
            </w:tcBorders>
            <w:vAlign w:val="center"/>
          </w:tcPr>
          <w:p w14:paraId="3601822B" w14:textId="596148E1" w:rsidR="00395CAF" w:rsidRPr="004F7C12" w:rsidRDefault="00395CAF" w:rsidP="00395CAF">
            <w:pPr>
              <w:pStyle w:val="tabletxt"/>
              <w:jc w:val="center"/>
              <w:rPr>
                <w:b/>
                <w:bCs/>
                <w:bdr w:val="none" w:sz="0" w:space="0" w:color="auto" w:frame="1"/>
                <w:lang w:val="en-GB"/>
              </w:rPr>
            </w:pPr>
            <w:r>
              <w:rPr>
                <w:b/>
                <w:bCs/>
                <w:bdr w:val="none" w:sz="0" w:space="0" w:color="auto" w:frame="1"/>
                <w:lang w:val="en-GB"/>
              </w:rPr>
              <w:t>81,4</w:t>
            </w:r>
          </w:p>
        </w:tc>
        <w:tc>
          <w:tcPr>
            <w:tcW w:w="1772" w:type="dxa"/>
            <w:tcBorders>
              <w:top w:val="outset" w:sz="6" w:space="0" w:color="auto"/>
              <w:left w:val="outset" w:sz="6" w:space="0" w:color="auto"/>
              <w:bottom w:val="outset" w:sz="6" w:space="0" w:color="auto"/>
              <w:right w:val="outset" w:sz="6" w:space="0" w:color="auto"/>
            </w:tcBorders>
            <w:vAlign w:val="center"/>
          </w:tcPr>
          <w:p w14:paraId="72EB6E87" w14:textId="0435B9CE" w:rsidR="00395CAF" w:rsidRPr="004F7C12" w:rsidRDefault="00395CAF" w:rsidP="00395CAF">
            <w:pPr>
              <w:pStyle w:val="tabletxt"/>
              <w:jc w:val="center"/>
              <w:rPr>
                <w:b/>
                <w:bCs/>
                <w:bdr w:val="none" w:sz="0" w:space="0" w:color="auto" w:frame="1"/>
                <w:lang w:val="en-GB"/>
              </w:rPr>
            </w:pPr>
            <w:r>
              <w:rPr>
                <w:b/>
                <w:bCs/>
                <w:bdr w:val="none" w:sz="0" w:space="0" w:color="auto" w:frame="1"/>
                <w:lang w:val="en-GB"/>
              </w:rPr>
              <w:t>85,3</w:t>
            </w:r>
          </w:p>
        </w:tc>
      </w:tr>
    </w:tbl>
    <w:p w14:paraId="7244C3BF" w14:textId="1E3DE2B6" w:rsidR="00395CAF" w:rsidRPr="00FD510D" w:rsidRDefault="00395CAF" w:rsidP="00395CAF">
      <w:pPr>
        <w:jc w:val="left"/>
        <w:rPr>
          <w:rFonts w:cs="Tahoma"/>
          <w:color w:val="39617A"/>
          <w:sz w:val="18"/>
          <w:szCs w:val="18"/>
        </w:rPr>
      </w:pPr>
      <w:r w:rsidRPr="00FD510D">
        <w:rPr>
          <w:rFonts w:cs="Tahoma"/>
          <w:color w:val="39617A"/>
          <w:sz w:val="18"/>
          <w:szCs w:val="18"/>
        </w:rPr>
        <w:t xml:space="preserve">Izvor: </w:t>
      </w:r>
      <w:r>
        <w:rPr>
          <w:rFonts w:cs="Tahoma"/>
          <w:color w:val="39617A"/>
          <w:sz w:val="18"/>
          <w:szCs w:val="18"/>
        </w:rPr>
        <w:t>Karlovačka županija, www.kazup.hr</w:t>
      </w:r>
    </w:p>
    <w:p w14:paraId="29F3E425" w14:textId="77777777" w:rsidR="004F7C12" w:rsidRDefault="004F7C12" w:rsidP="003447D4"/>
    <w:p w14:paraId="7C913B0B" w14:textId="236EB930" w:rsidR="009824A7" w:rsidRDefault="001358A9" w:rsidP="003447D4">
      <w:r>
        <w:t xml:space="preserve">Udio gospodarstva </w:t>
      </w:r>
      <w:r w:rsidR="009824A7">
        <w:t xml:space="preserve">Karlovačke županije </w:t>
      </w:r>
      <w:r>
        <w:t>u gospodarstvu RH prikazan je tablicom niže</w:t>
      </w:r>
      <w:r w:rsidR="003D4754">
        <w:t>, a nešto detaljniji prikaz doprinosa nacionalnom gospodarstvu (mjereno bruto društvenim proizvodom – BDP-om), dan je u Prilogu 2</w:t>
      </w:r>
      <w:r>
        <w:t>.</w:t>
      </w:r>
    </w:p>
    <w:p w14:paraId="03FE7F4F" w14:textId="2817B9EE" w:rsidR="001358A9" w:rsidRDefault="001358A9" w:rsidP="001358A9">
      <w:pPr>
        <w:pStyle w:val="Caption"/>
      </w:pPr>
      <w:bookmarkStart w:id="51" w:name="_Toc437387496"/>
      <w:r>
        <w:t xml:space="preserve">Tablica </w:t>
      </w:r>
      <w:r>
        <w:fldChar w:fldCharType="begin"/>
      </w:r>
      <w:r>
        <w:instrText xml:space="preserve"> SEQ Tablica \* ARABIC </w:instrText>
      </w:r>
      <w:r>
        <w:fldChar w:fldCharType="separate"/>
      </w:r>
      <w:r>
        <w:rPr>
          <w:noProof/>
        </w:rPr>
        <w:t>23</w:t>
      </w:r>
      <w:r>
        <w:fldChar w:fldCharType="end"/>
      </w:r>
      <w:r>
        <w:t xml:space="preserve"> Udio gospodarstva Karlovačke županije u gospodarstvu RH, 2017.</w:t>
      </w:r>
      <w:bookmarkEnd w:id="51"/>
    </w:p>
    <w:tbl>
      <w:tblPr>
        <w:tblW w:w="9087" w:type="dxa"/>
        <w:tblInd w:w="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149"/>
        <w:gridCol w:w="1263"/>
        <w:gridCol w:w="1112"/>
        <w:gridCol w:w="1113"/>
        <w:gridCol w:w="1112"/>
        <w:gridCol w:w="1113"/>
        <w:gridCol w:w="1112"/>
        <w:gridCol w:w="1113"/>
      </w:tblGrid>
      <w:tr w:rsidR="00B018A1" w:rsidRPr="00F3635E" w14:paraId="18A950DC" w14:textId="74C196AD" w:rsidTr="00B018A1">
        <w:trPr>
          <w:trHeight w:val="280"/>
        </w:trPr>
        <w:tc>
          <w:tcPr>
            <w:tcW w:w="1149" w:type="dxa"/>
            <w:shd w:val="clear" w:color="auto" w:fill="39617A"/>
            <w:noWrap/>
            <w:vAlign w:val="bottom"/>
            <w:hideMark/>
          </w:tcPr>
          <w:p w14:paraId="2A26F63E" w14:textId="77777777" w:rsidR="00B018A1" w:rsidRPr="00F3635E" w:rsidRDefault="00B018A1" w:rsidP="001358A9">
            <w:pPr>
              <w:pStyle w:val="tabletxt"/>
              <w:rPr>
                <w:b/>
                <w:color w:val="FFFFFF" w:themeColor="background1"/>
                <w:lang w:val="en-GB"/>
              </w:rPr>
            </w:pPr>
          </w:p>
        </w:tc>
        <w:tc>
          <w:tcPr>
            <w:tcW w:w="1263" w:type="dxa"/>
            <w:shd w:val="clear" w:color="auto" w:fill="39617A"/>
            <w:noWrap/>
            <w:vAlign w:val="bottom"/>
            <w:hideMark/>
          </w:tcPr>
          <w:p w14:paraId="33C1812A" w14:textId="044349D2" w:rsidR="00B018A1" w:rsidRPr="00F3635E" w:rsidRDefault="00B018A1" w:rsidP="00F3635E">
            <w:pPr>
              <w:pStyle w:val="tabletxt"/>
              <w:jc w:val="center"/>
              <w:rPr>
                <w:b/>
                <w:color w:val="FFFFFF" w:themeColor="background1"/>
                <w:lang w:val="en-GB"/>
              </w:rPr>
            </w:pPr>
            <w:r>
              <w:rPr>
                <w:b/>
                <w:color w:val="FFFFFF" w:themeColor="background1"/>
                <w:lang w:val="en-GB"/>
              </w:rPr>
              <w:t>Broj p</w:t>
            </w:r>
            <w:r w:rsidRPr="00F3635E">
              <w:rPr>
                <w:b/>
                <w:color w:val="FFFFFF" w:themeColor="background1"/>
                <w:lang w:val="en-GB"/>
              </w:rPr>
              <w:t>oduzetnika</w:t>
            </w:r>
          </w:p>
        </w:tc>
        <w:tc>
          <w:tcPr>
            <w:tcW w:w="1112" w:type="dxa"/>
            <w:shd w:val="clear" w:color="auto" w:fill="39617A"/>
            <w:noWrap/>
            <w:vAlign w:val="bottom"/>
            <w:hideMark/>
          </w:tcPr>
          <w:p w14:paraId="2184FD87" w14:textId="07900703" w:rsidR="00B018A1" w:rsidRPr="00F3635E" w:rsidRDefault="00B018A1" w:rsidP="00F3635E">
            <w:pPr>
              <w:pStyle w:val="tabletxt"/>
              <w:jc w:val="center"/>
              <w:rPr>
                <w:b/>
                <w:color w:val="FFFFFF" w:themeColor="background1"/>
                <w:lang w:val="en-GB"/>
              </w:rPr>
            </w:pPr>
            <w:r>
              <w:rPr>
                <w:b/>
                <w:color w:val="FFFFFF" w:themeColor="background1"/>
                <w:lang w:val="en-GB"/>
              </w:rPr>
              <w:t>Broj</w:t>
            </w:r>
            <w:r w:rsidRPr="00F3635E">
              <w:rPr>
                <w:b/>
                <w:color w:val="FFFFFF" w:themeColor="background1"/>
                <w:lang w:val="en-GB"/>
              </w:rPr>
              <w:t xml:space="preserve"> zaposlenih</w:t>
            </w:r>
          </w:p>
        </w:tc>
        <w:tc>
          <w:tcPr>
            <w:tcW w:w="1113" w:type="dxa"/>
            <w:shd w:val="clear" w:color="auto" w:fill="39617A"/>
            <w:noWrap/>
            <w:vAlign w:val="bottom"/>
            <w:hideMark/>
          </w:tcPr>
          <w:p w14:paraId="05FEF2A6" w14:textId="63B377FB" w:rsidR="00B018A1" w:rsidRPr="00F3635E" w:rsidRDefault="00B018A1" w:rsidP="00F3635E">
            <w:pPr>
              <w:pStyle w:val="tabletxt"/>
              <w:jc w:val="center"/>
              <w:rPr>
                <w:b/>
                <w:color w:val="FFFFFF" w:themeColor="background1"/>
                <w:lang w:val="en-GB"/>
              </w:rPr>
            </w:pPr>
            <w:r>
              <w:rPr>
                <w:b/>
                <w:color w:val="FFFFFF" w:themeColor="background1"/>
                <w:lang w:val="en-GB"/>
              </w:rPr>
              <w:t>U</w:t>
            </w:r>
            <w:r w:rsidRPr="00F3635E">
              <w:rPr>
                <w:b/>
                <w:color w:val="FFFFFF" w:themeColor="background1"/>
                <w:lang w:val="en-GB"/>
              </w:rPr>
              <w:t>kupan prihod u mil. HRK</w:t>
            </w:r>
          </w:p>
        </w:tc>
        <w:tc>
          <w:tcPr>
            <w:tcW w:w="1112" w:type="dxa"/>
            <w:shd w:val="clear" w:color="auto" w:fill="39617A"/>
            <w:noWrap/>
            <w:vAlign w:val="bottom"/>
            <w:hideMark/>
          </w:tcPr>
          <w:p w14:paraId="20AF6C2D" w14:textId="0B62CFC0" w:rsidR="00B018A1" w:rsidRPr="00F3635E" w:rsidRDefault="00B018A1" w:rsidP="00F3635E">
            <w:pPr>
              <w:pStyle w:val="tabletxt"/>
              <w:jc w:val="center"/>
              <w:rPr>
                <w:b/>
                <w:color w:val="FFFFFF" w:themeColor="background1"/>
                <w:lang w:val="en-GB"/>
              </w:rPr>
            </w:pPr>
            <w:r>
              <w:rPr>
                <w:b/>
                <w:color w:val="FFFFFF" w:themeColor="background1"/>
                <w:lang w:val="en-GB"/>
              </w:rPr>
              <w:t>kK</w:t>
            </w:r>
            <w:r w:rsidRPr="00F3635E">
              <w:rPr>
                <w:b/>
                <w:color w:val="FFFFFF" w:themeColor="background1"/>
                <w:lang w:val="en-GB"/>
              </w:rPr>
              <w:t>nsolidirani financijski rezultat u mil. HRK</w:t>
            </w:r>
          </w:p>
        </w:tc>
        <w:tc>
          <w:tcPr>
            <w:tcW w:w="1113" w:type="dxa"/>
            <w:shd w:val="clear" w:color="auto" w:fill="39617A"/>
            <w:noWrap/>
            <w:vAlign w:val="bottom"/>
            <w:hideMark/>
          </w:tcPr>
          <w:p w14:paraId="04D5B1B9" w14:textId="5EA2EF10" w:rsidR="00B018A1" w:rsidRPr="00F3635E" w:rsidRDefault="00B018A1" w:rsidP="00F3635E">
            <w:pPr>
              <w:pStyle w:val="tabletxt"/>
              <w:jc w:val="center"/>
              <w:rPr>
                <w:b/>
                <w:color w:val="FFFFFF" w:themeColor="background1"/>
                <w:lang w:val="en-GB"/>
              </w:rPr>
            </w:pPr>
            <w:r>
              <w:rPr>
                <w:b/>
                <w:color w:val="FFFFFF" w:themeColor="background1"/>
                <w:lang w:val="en-GB"/>
              </w:rPr>
              <w:t>I</w:t>
            </w:r>
            <w:r w:rsidRPr="00F3635E">
              <w:rPr>
                <w:b/>
                <w:color w:val="FFFFFF" w:themeColor="background1"/>
                <w:lang w:val="en-GB"/>
              </w:rPr>
              <w:t>zvoz</w:t>
            </w:r>
            <w:r>
              <w:rPr>
                <w:b/>
                <w:color w:val="FFFFFF" w:themeColor="background1"/>
                <w:lang w:val="en-GB"/>
              </w:rPr>
              <w:t>, u</w:t>
            </w:r>
            <w:r w:rsidRPr="00F3635E">
              <w:rPr>
                <w:b/>
                <w:color w:val="FFFFFF" w:themeColor="background1"/>
                <w:lang w:val="en-GB"/>
              </w:rPr>
              <w:t xml:space="preserve"> 000 </w:t>
            </w:r>
            <w:r>
              <w:rPr>
                <w:b/>
                <w:color w:val="FFFFFF" w:themeColor="background1"/>
                <w:lang w:val="en-GB"/>
              </w:rPr>
              <w:t>HRK</w:t>
            </w:r>
          </w:p>
        </w:tc>
        <w:tc>
          <w:tcPr>
            <w:tcW w:w="1112" w:type="dxa"/>
            <w:shd w:val="clear" w:color="auto" w:fill="39617A"/>
            <w:noWrap/>
            <w:vAlign w:val="bottom"/>
            <w:hideMark/>
          </w:tcPr>
          <w:p w14:paraId="150FC29A" w14:textId="18D471BE" w:rsidR="00B018A1" w:rsidRPr="00F3635E" w:rsidRDefault="00B018A1" w:rsidP="00F3635E">
            <w:pPr>
              <w:pStyle w:val="tabletxt"/>
              <w:jc w:val="center"/>
              <w:rPr>
                <w:b/>
                <w:color w:val="FFFFFF" w:themeColor="background1"/>
                <w:lang w:val="en-GB"/>
              </w:rPr>
            </w:pPr>
            <w:r>
              <w:rPr>
                <w:b/>
                <w:color w:val="FFFFFF" w:themeColor="background1"/>
                <w:lang w:val="en-GB"/>
              </w:rPr>
              <w:t>U</w:t>
            </w:r>
            <w:r w:rsidRPr="00F3635E">
              <w:rPr>
                <w:b/>
                <w:color w:val="FFFFFF" w:themeColor="background1"/>
                <w:lang w:val="en-GB"/>
              </w:rPr>
              <w:t>voz</w:t>
            </w:r>
            <w:r>
              <w:rPr>
                <w:b/>
                <w:color w:val="FFFFFF" w:themeColor="background1"/>
                <w:lang w:val="en-GB"/>
              </w:rPr>
              <w:t>, u</w:t>
            </w:r>
            <w:r w:rsidRPr="00F3635E">
              <w:rPr>
                <w:b/>
                <w:color w:val="FFFFFF" w:themeColor="background1"/>
                <w:lang w:val="en-GB"/>
              </w:rPr>
              <w:t xml:space="preserve"> 000 </w:t>
            </w:r>
            <w:r>
              <w:rPr>
                <w:b/>
                <w:color w:val="FFFFFF" w:themeColor="background1"/>
                <w:lang w:val="en-GB"/>
              </w:rPr>
              <w:t>HRK</w:t>
            </w:r>
          </w:p>
        </w:tc>
        <w:tc>
          <w:tcPr>
            <w:tcW w:w="1113" w:type="dxa"/>
            <w:shd w:val="clear" w:color="auto" w:fill="39617A"/>
          </w:tcPr>
          <w:p w14:paraId="41BE6940" w14:textId="0EB76259" w:rsidR="00B018A1" w:rsidRDefault="00B018A1" w:rsidP="00F3635E">
            <w:pPr>
              <w:pStyle w:val="tabletxt"/>
              <w:jc w:val="center"/>
              <w:rPr>
                <w:b/>
                <w:color w:val="FFFFFF" w:themeColor="background1"/>
                <w:lang w:val="en-GB"/>
              </w:rPr>
            </w:pPr>
            <w:r>
              <w:rPr>
                <w:b/>
                <w:color w:val="FFFFFF" w:themeColor="background1"/>
                <w:lang w:val="en-GB"/>
              </w:rPr>
              <w:t>Broj turističkih noćenja</w:t>
            </w:r>
          </w:p>
        </w:tc>
      </w:tr>
      <w:tr w:rsidR="00B018A1" w:rsidRPr="001358A9" w14:paraId="2CFCF3B3" w14:textId="40D8A693" w:rsidTr="00B018A1">
        <w:trPr>
          <w:trHeight w:val="280"/>
        </w:trPr>
        <w:tc>
          <w:tcPr>
            <w:tcW w:w="1149" w:type="dxa"/>
            <w:shd w:val="clear" w:color="auto" w:fill="auto"/>
            <w:noWrap/>
            <w:vAlign w:val="bottom"/>
            <w:hideMark/>
          </w:tcPr>
          <w:p w14:paraId="328FC344" w14:textId="4AD0004E" w:rsidR="00B018A1" w:rsidRPr="001358A9" w:rsidRDefault="00B018A1" w:rsidP="001358A9">
            <w:pPr>
              <w:pStyle w:val="tabletxt"/>
              <w:rPr>
                <w:lang w:val="en-GB"/>
              </w:rPr>
            </w:pPr>
            <w:r>
              <w:rPr>
                <w:lang w:val="en-GB"/>
              </w:rPr>
              <w:t>Republika Hrvatska</w:t>
            </w:r>
          </w:p>
        </w:tc>
        <w:tc>
          <w:tcPr>
            <w:tcW w:w="1263" w:type="dxa"/>
            <w:shd w:val="clear" w:color="auto" w:fill="auto"/>
            <w:noWrap/>
            <w:vAlign w:val="bottom"/>
            <w:hideMark/>
          </w:tcPr>
          <w:p w14:paraId="5042DC26" w14:textId="3E6BABEB" w:rsidR="00B018A1" w:rsidRPr="001358A9" w:rsidRDefault="00B018A1" w:rsidP="00F3635E">
            <w:pPr>
              <w:pStyle w:val="tabletxt"/>
              <w:jc w:val="center"/>
              <w:rPr>
                <w:lang w:val="en-GB"/>
              </w:rPr>
            </w:pPr>
            <w:r w:rsidRPr="001358A9">
              <w:rPr>
                <w:lang w:val="en-GB"/>
              </w:rPr>
              <w:t>120,081</w:t>
            </w:r>
          </w:p>
        </w:tc>
        <w:tc>
          <w:tcPr>
            <w:tcW w:w="1112" w:type="dxa"/>
            <w:shd w:val="clear" w:color="auto" w:fill="auto"/>
            <w:noWrap/>
            <w:vAlign w:val="bottom"/>
            <w:hideMark/>
          </w:tcPr>
          <w:p w14:paraId="30046C7B" w14:textId="313E4BC9" w:rsidR="00B018A1" w:rsidRPr="001358A9" w:rsidRDefault="00B018A1" w:rsidP="00F3635E">
            <w:pPr>
              <w:pStyle w:val="tabletxt"/>
              <w:jc w:val="center"/>
              <w:rPr>
                <w:lang w:val="en-GB"/>
              </w:rPr>
            </w:pPr>
            <w:r w:rsidRPr="001358A9">
              <w:rPr>
                <w:lang w:val="en-GB"/>
              </w:rPr>
              <w:t>882,884</w:t>
            </w:r>
          </w:p>
        </w:tc>
        <w:tc>
          <w:tcPr>
            <w:tcW w:w="1113" w:type="dxa"/>
            <w:shd w:val="clear" w:color="auto" w:fill="auto"/>
            <w:noWrap/>
            <w:vAlign w:val="bottom"/>
            <w:hideMark/>
          </w:tcPr>
          <w:p w14:paraId="34C279E2" w14:textId="73248FA8" w:rsidR="00B018A1" w:rsidRPr="001358A9" w:rsidRDefault="00B018A1" w:rsidP="00F3635E">
            <w:pPr>
              <w:pStyle w:val="tabletxt"/>
              <w:jc w:val="center"/>
              <w:rPr>
                <w:lang w:val="en-GB"/>
              </w:rPr>
            </w:pPr>
            <w:r w:rsidRPr="001358A9">
              <w:rPr>
                <w:lang w:val="en-GB"/>
              </w:rPr>
              <w:t>678,395</w:t>
            </w:r>
          </w:p>
        </w:tc>
        <w:tc>
          <w:tcPr>
            <w:tcW w:w="1112" w:type="dxa"/>
            <w:shd w:val="clear" w:color="auto" w:fill="auto"/>
            <w:noWrap/>
            <w:vAlign w:val="bottom"/>
            <w:hideMark/>
          </w:tcPr>
          <w:p w14:paraId="23CAACB8" w14:textId="3787DF60" w:rsidR="00B018A1" w:rsidRPr="001358A9" w:rsidRDefault="00B018A1" w:rsidP="00F3635E">
            <w:pPr>
              <w:pStyle w:val="tabletxt"/>
              <w:jc w:val="center"/>
              <w:rPr>
                <w:lang w:val="en-GB"/>
              </w:rPr>
            </w:pPr>
            <w:r w:rsidRPr="001358A9">
              <w:rPr>
                <w:lang w:val="en-GB"/>
              </w:rPr>
              <w:t>21,885</w:t>
            </w:r>
          </w:p>
        </w:tc>
        <w:tc>
          <w:tcPr>
            <w:tcW w:w="1113" w:type="dxa"/>
            <w:shd w:val="clear" w:color="auto" w:fill="auto"/>
            <w:noWrap/>
            <w:vAlign w:val="bottom"/>
            <w:hideMark/>
          </w:tcPr>
          <w:p w14:paraId="3150CB9D" w14:textId="4A6E33D5" w:rsidR="00B018A1" w:rsidRPr="001358A9" w:rsidRDefault="00B018A1" w:rsidP="00F3635E">
            <w:pPr>
              <w:pStyle w:val="tabletxt"/>
              <w:jc w:val="center"/>
              <w:rPr>
                <w:lang w:val="en-GB"/>
              </w:rPr>
            </w:pPr>
            <w:r w:rsidRPr="001358A9">
              <w:rPr>
                <w:lang w:val="en-GB"/>
              </w:rPr>
              <w:t>104,600,956</w:t>
            </w:r>
          </w:p>
        </w:tc>
        <w:tc>
          <w:tcPr>
            <w:tcW w:w="1112" w:type="dxa"/>
            <w:shd w:val="clear" w:color="auto" w:fill="auto"/>
            <w:noWrap/>
            <w:vAlign w:val="bottom"/>
            <w:hideMark/>
          </w:tcPr>
          <w:p w14:paraId="03A0056E" w14:textId="785696ED" w:rsidR="00B018A1" w:rsidRPr="001358A9" w:rsidRDefault="00B018A1" w:rsidP="00F3635E">
            <w:pPr>
              <w:pStyle w:val="tabletxt"/>
              <w:jc w:val="center"/>
              <w:rPr>
                <w:lang w:val="en-GB"/>
              </w:rPr>
            </w:pPr>
            <w:r w:rsidRPr="001358A9">
              <w:rPr>
                <w:lang w:val="en-GB"/>
              </w:rPr>
              <w:t>163,313,126</w:t>
            </w:r>
          </w:p>
        </w:tc>
        <w:tc>
          <w:tcPr>
            <w:tcW w:w="1113" w:type="dxa"/>
            <w:vAlign w:val="center"/>
          </w:tcPr>
          <w:p w14:paraId="527B2593" w14:textId="2C449B44" w:rsidR="00B018A1" w:rsidRPr="001358A9" w:rsidRDefault="00B018A1" w:rsidP="00B018A1">
            <w:pPr>
              <w:pStyle w:val="tabletxt"/>
              <w:jc w:val="center"/>
              <w:rPr>
                <w:lang w:val="en-GB"/>
              </w:rPr>
            </w:pPr>
            <w:r>
              <w:rPr>
                <w:lang w:val="en-GB"/>
              </w:rPr>
              <w:t>86,200,261</w:t>
            </w:r>
          </w:p>
        </w:tc>
      </w:tr>
      <w:tr w:rsidR="00B018A1" w:rsidRPr="001358A9" w14:paraId="032C3424" w14:textId="595D5FE1" w:rsidTr="00B018A1">
        <w:trPr>
          <w:trHeight w:val="280"/>
        </w:trPr>
        <w:tc>
          <w:tcPr>
            <w:tcW w:w="1149" w:type="dxa"/>
            <w:shd w:val="clear" w:color="auto" w:fill="auto"/>
            <w:noWrap/>
            <w:vAlign w:val="bottom"/>
            <w:hideMark/>
          </w:tcPr>
          <w:p w14:paraId="7F1DF057" w14:textId="66F19930" w:rsidR="00B018A1" w:rsidRPr="001358A9" w:rsidRDefault="00B018A1" w:rsidP="001358A9">
            <w:pPr>
              <w:pStyle w:val="tabletxt"/>
              <w:rPr>
                <w:lang w:val="en-GB"/>
              </w:rPr>
            </w:pPr>
            <w:r>
              <w:rPr>
                <w:lang w:val="en-GB"/>
              </w:rPr>
              <w:t>Karlovačka županija</w:t>
            </w:r>
          </w:p>
        </w:tc>
        <w:tc>
          <w:tcPr>
            <w:tcW w:w="1263" w:type="dxa"/>
            <w:shd w:val="clear" w:color="auto" w:fill="auto"/>
            <w:noWrap/>
            <w:vAlign w:val="bottom"/>
            <w:hideMark/>
          </w:tcPr>
          <w:p w14:paraId="3A9A4366" w14:textId="02719C9B" w:rsidR="00B018A1" w:rsidRPr="001358A9" w:rsidRDefault="00B018A1" w:rsidP="00F3635E">
            <w:pPr>
              <w:pStyle w:val="tabletxt"/>
              <w:jc w:val="center"/>
              <w:rPr>
                <w:lang w:val="en-GB"/>
              </w:rPr>
            </w:pPr>
            <w:r w:rsidRPr="001358A9">
              <w:rPr>
                <w:lang w:val="en-GB"/>
              </w:rPr>
              <w:t>2,093</w:t>
            </w:r>
          </w:p>
        </w:tc>
        <w:tc>
          <w:tcPr>
            <w:tcW w:w="1112" w:type="dxa"/>
            <w:shd w:val="clear" w:color="auto" w:fill="auto"/>
            <w:noWrap/>
            <w:vAlign w:val="bottom"/>
            <w:hideMark/>
          </w:tcPr>
          <w:p w14:paraId="4B187B64" w14:textId="7D5AD375" w:rsidR="00B018A1" w:rsidRPr="001358A9" w:rsidRDefault="00B018A1" w:rsidP="00F3635E">
            <w:pPr>
              <w:pStyle w:val="tabletxt"/>
              <w:jc w:val="center"/>
              <w:rPr>
                <w:lang w:val="en-GB"/>
              </w:rPr>
            </w:pPr>
            <w:r w:rsidRPr="001358A9">
              <w:rPr>
                <w:lang w:val="en-GB"/>
              </w:rPr>
              <w:t>16,886</w:t>
            </w:r>
          </w:p>
        </w:tc>
        <w:tc>
          <w:tcPr>
            <w:tcW w:w="1113" w:type="dxa"/>
            <w:shd w:val="clear" w:color="auto" w:fill="auto"/>
            <w:noWrap/>
            <w:vAlign w:val="bottom"/>
            <w:hideMark/>
          </w:tcPr>
          <w:p w14:paraId="05429548" w14:textId="614FE97C" w:rsidR="00B018A1" w:rsidRPr="001358A9" w:rsidRDefault="00B018A1" w:rsidP="00F3635E">
            <w:pPr>
              <w:pStyle w:val="tabletxt"/>
              <w:jc w:val="center"/>
              <w:rPr>
                <w:lang w:val="en-GB"/>
              </w:rPr>
            </w:pPr>
            <w:r w:rsidRPr="001358A9">
              <w:rPr>
                <w:lang w:val="en-GB"/>
              </w:rPr>
              <w:t>9,488</w:t>
            </w:r>
          </w:p>
        </w:tc>
        <w:tc>
          <w:tcPr>
            <w:tcW w:w="1112" w:type="dxa"/>
            <w:shd w:val="clear" w:color="auto" w:fill="auto"/>
            <w:noWrap/>
            <w:vAlign w:val="bottom"/>
            <w:hideMark/>
          </w:tcPr>
          <w:p w14:paraId="6665987C" w14:textId="62D26208" w:rsidR="00B018A1" w:rsidRPr="001358A9" w:rsidRDefault="00B018A1" w:rsidP="00F3635E">
            <w:pPr>
              <w:pStyle w:val="tabletxt"/>
              <w:jc w:val="center"/>
              <w:rPr>
                <w:lang w:val="en-GB"/>
              </w:rPr>
            </w:pPr>
            <w:r w:rsidRPr="001358A9">
              <w:rPr>
                <w:lang w:val="en-GB"/>
              </w:rPr>
              <w:t>488</w:t>
            </w:r>
          </w:p>
        </w:tc>
        <w:tc>
          <w:tcPr>
            <w:tcW w:w="1113" w:type="dxa"/>
            <w:shd w:val="clear" w:color="auto" w:fill="auto"/>
            <w:noWrap/>
            <w:vAlign w:val="bottom"/>
            <w:hideMark/>
          </w:tcPr>
          <w:p w14:paraId="6297C920" w14:textId="11BC23B3" w:rsidR="00B018A1" w:rsidRPr="001358A9" w:rsidRDefault="00B018A1" w:rsidP="00F3635E">
            <w:pPr>
              <w:pStyle w:val="tabletxt"/>
              <w:jc w:val="center"/>
              <w:rPr>
                <w:lang w:val="en-GB"/>
              </w:rPr>
            </w:pPr>
            <w:r w:rsidRPr="001358A9">
              <w:rPr>
                <w:lang w:val="en-GB"/>
              </w:rPr>
              <w:t>2,156,702</w:t>
            </w:r>
          </w:p>
        </w:tc>
        <w:tc>
          <w:tcPr>
            <w:tcW w:w="1112" w:type="dxa"/>
            <w:shd w:val="clear" w:color="auto" w:fill="auto"/>
            <w:noWrap/>
            <w:vAlign w:val="bottom"/>
            <w:hideMark/>
          </w:tcPr>
          <w:p w14:paraId="740BC908" w14:textId="49D98266" w:rsidR="00B018A1" w:rsidRPr="001358A9" w:rsidRDefault="00B018A1" w:rsidP="00F3635E">
            <w:pPr>
              <w:pStyle w:val="tabletxt"/>
              <w:jc w:val="center"/>
              <w:rPr>
                <w:lang w:val="en-GB"/>
              </w:rPr>
            </w:pPr>
            <w:r w:rsidRPr="001358A9">
              <w:rPr>
                <w:lang w:val="en-GB"/>
              </w:rPr>
              <w:t>2,042,486</w:t>
            </w:r>
          </w:p>
        </w:tc>
        <w:tc>
          <w:tcPr>
            <w:tcW w:w="1113" w:type="dxa"/>
            <w:vAlign w:val="center"/>
          </w:tcPr>
          <w:p w14:paraId="6E340EA8" w14:textId="5F055C9D" w:rsidR="00B018A1" w:rsidRPr="001358A9" w:rsidRDefault="00B018A1" w:rsidP="00B018A1">
            <w:pPr>
              <w:pStyle w:val="tabletxt"/>
              <w:jc w:val="center"/>
              <w:rPr>
                <w:lang w:val="en-GB"/>
              </w:rPr>
            </w:pPr>
            <w:r>
              <w:rPr>
                <w:lang w:val="en-GB"/>
              </w:rPr>
              <w:t>565,298</w:t>
            </w:r>
          </w:p>
        </w:tc>
      </w:tr>
      <w:tr w:rsidR="00B018A1" w:rsidRPr="00F3635E" w14:paraId="7F73B0DE" w14:textId="5E232DA7" w:rsidTr="00B018A1">
        <w:trPr>
          <w:trHeight w:val="280"/>
        </w:trPr>
        <w:tc>
          <w:tcPr>
            <w:tcW w:w="1149" w:type="dxa"/>
            <w:shd w:val="clear" w:color="auto" w:fill="auto"/>
            <w:noWrap/>
            <w:vAlign w:val="bottom"/>
            <w:hideMark/>
          </w:tcPr>
          <w:p w14:paraId="51D902D9" w14:textId="2E46BF49" w:rsidR="00B018A1" w:rsidRPr="00F3635E" w:rsidRDefault="00B018A1" w:rsidP="001358A9">
            <w:pPr>
              <w:pStyle w:val="tabletxt"/>
              <w:rPr>
                <w:b/>
                <w:lang w:val="en-GB"/>
              </w:rPr>
            </w:pPr>
            <w:r w:rsidRPr="00F3635E">
              <w:rPr>
                <w:b/>
                <w:lang w:val="en-GB"/>
              </w:rPr>
              <w:t>Udio KŽ/RH</w:t>
            </w:r>
          </w:p>
        </w:tc>
        <w:tc>
          <w:tcPr>
            <w:tcW w:w="1263" w:type="dxa"/>
            <w:shd w:val="clear" w:color="auto" w:fill="auto"/>
            <w:noWrap/>
            <w:vAlign w:val="bottom"/>
            <w:hideMark/>
          </w:tcPr>
          <w:p w14:paraId="0D4F1A66" w14:textId="77777777" w:rsidR="00B018A1" w:rsidRPr="00F3635E" w:rsidRDefault="00B018A1" w:rsidP="00F3635E">
            <w:pPr>
              <w:pStyle w:val="tabletxt"/>
              <w:jc w:val="center"/>
              <w:rPr>
                <w:b/>
                <w:lang w:val="en-GB"/>
              </w:rPr>
            </w:pPr>
            <w:r w:rsidRPr="00F3635E">
              <w:rPr>
                <w:b/>
                <w:lang w:val="en-GB"/>
              </w:rPr>
              <w:t>1.7%</w:t>
            </w:r>
          </w:p>
        </w:tc>
        <w:tc>
          <w:tcPr>
            <w:tcW w:w="1112" w:type="dxa"/>
            <w:shd w:val="clear" w:color="auto" w:fill="auto"/>
            <w:noWrap/>
            <w:vAlign w:val="bottom"/>
            <w:hideMark/>
          </w:tcPr>
          <w:p w14:paraId="2EB48430" w14:textId="77777777" w:rsidR="00B018A1" w:rsidRPr="00F3635E" w:rsidRDefault="00B018A1" w:rsidP="00F3635E">
            <w:pPr>
              <w:pStyle w:val="tabletxt"/>
              <w:jc w:val="center"/>
              <w:rPr>
                <w:b/>
                <w:lang w:val="en-GB"/>
              </w:rPr>
            </w:pPr>
            <w:r w:rsidRPr="00F3635E">
              <w:rPr>
                <w:b/>
                <w:lang w:val="en-GB"/>
              </w:rPr>
              <w:t>1.9%</w:t>
            </w:r>
          </w:p>
        </w:tc>
        <w:tc>
          <w:tcPr>
            <w:tcW w:w="1113" w:type="dxa"/>
            <w:shd w:val="clear" w:color="auto" w:fill="auto"/>
            <w:noWrap/>
            <w:vAlign w:val="bottom"/>
            <w:hideMark/>
          </w:tcPr>
          <w:p w14:paraId="5E3FE3B4" w14:textId="77777777" w:rsidR="00B018A1" w:rsidRPr="00F3635E" w:rsidRDefault="00B018A1" w:rsidP="00F3635E">
            <w:pPr>
              <w:pStyle w:val="tabletxt"/>
              <w:jc w:val="center"/>
              <w:rPr>
                <w:b/>
                <w:lang w:val="en-GB"/>
              </w:rPr>
            </w:pPr>
            <w:r w:rsidRPr="00F3635E">
              <w:rPr>
                <w:b/>
                <w:lang w:val="en-GB"/>
              </w:rPr>
              <w:t>1.4%</w:t>
            </w:r>
          </w:p>
        </w:tc>
        <w:tc>
          <w:tcPr>
            <w:tcW w:w="1112" w:type="dxa"/>
            <w:shd w:val="clear" w:color="auto" w:fill="auto"/>
            <w:noWrap/>
            <w:vAlign w:val="bottom"/>
            <w:hideMark/>
          </w:tcPr>
          <w:p w14:paraId="540F480E" w14:textId="77777777" w:rsidR="00B018A1" w:rsidRPr="00F3635E" w:rsidRDefault="00B018A1" w:rsidP="00F3635E">
            <w:pPr>
              <w:pStyle w:val="tabletxt"/>
              <w:jc w:val="center"/>
              <w:rPr>
                <w:b/>
                <w:lang w:val="en-GB"/>
              </w:rPr>
            </w:pPr>
            <w:r w:rsidRPr="00F3635E">
              <w:rPr>
                <w:b/>
                <w:lang w:val="en-GB"/>
              </w:rPr>
              <w:t>2.2%</w:t>
            </w:r>
          </w:p>
        </w:tc>
        <w:tc>
          <w:tcPr>
            <w:tcW w:w="1113" w:type="dxa"/>
            <w:shd w:val="clear" w:color="auto" w:fill="auto"/>
            <w:noWrap/>
            <w:vAlign w:val="bottom"/>
            <w:hideMark/>
          </w:tcPr>
          <w:p w14:paraId="694C2EDB" w14:textId="77777777" w:rsidR="00B018A1" w:rsidRPr="00F3635E" w:rsidRDefault="00B018A1" w:rsidP="00F3635E">
            <w:pPr>
              <w:pStyle w:val="tabletxt"/>
              <w:jc w:val="center"/>
              <w:rPr>
                <w:b/>
                <w:lang w:val="en-GB"/>
              </w:rPr>
            </w:pPr>
            <w:r w:rsidRPr="00F3635E">
              <w:rPr>
                <w:b/>
                <w:lang w:val="en-GB"/>
              </w:rPr>
              <w:t>2.1%</w:t>
            </w:r>
          </w:p>
        </w:tc>
        <w:tc>
          <w:tcPr>
            <w:tcW w:w="1112" w:type="dxa"/>
            <w:shd w:val="clear" w:color="auto" w:fill="auto"/>
            <w:noWrap/>
            <w:vAlign w:val="bottom"/>
            <w:hideMark/>
          </w:tcPr>
          <w:p w14:paraId="2AAE655F" w14:textId="77777777" w:rsidR="00B018A1" w:rsidRPr="00F3635E" w:rsidRDefault="00B018A1" w:rsidP="00F3635E">
            <w:pPr>
              <w:pStyle w:val="tabletxt"/>
              <w:jc w:val="center"/>
              <w:rPr>
                <w:b/>
                <w:lang w:val="en-GB"/>
              </w:rPr>
            </w:pPr>
            <w:r w:rsidRPr="00F3635E">
              <w:rPr>
                <w:b/>
                <w:lang w:val="en-GB"/>
              </w:rPr>
              <w:t>1.3%</w:t>
            </w:r>
          </w:p>
        </w:tc>
        <w:tc>
          <w:tcPr>
            <w:tcW w:w="1113" w:type="dxa"/>
          </w:tcPr>
          <w:p w14:paraId="069B4BCB" w14:textId="38066BC7" w:rsidR="00B018A1" w:rsidRPr="00F3635E" w:rsidRDefault="00B018A1" w:rsidP="00F3635E">
            <w:pPr>
              <w:pStyle w:val="tabletxt"/>
              <w:jc w:val="center"/>
              <w:rPr>
                <w:b/>
                <w:lang w:val="en-GB"/>
              </w:rPr>
            </w:pPr>
            <w:r>
              <w:rPr>
                <w:b/>
                <w:lang w:val="en-GB"/>
              </w:rPr>
              <w:t>0.7%</w:t>
            </w:r>
          </w:p>
        </w:tc>
      </w:tr>
    </w:tbl>
    <w:p w14:paraId="1EFBC2B2" w14:textId="0D9B524E" w:rsidR="00395CAF" w:rsidRPr="00F3635E" w:rsidRDefault="00F3635E" w:rsidP="00F3635E">
      <w:pPr>
        <w:jc w:val="left"/>
        <w:rPr>
          <w:rFonts w:cs="Tahoma"/>
          <w:color w:val="39617A"/>
          <w:sz w:val="18"/>
          <w:szCs w:val="18"/>
        </w:rPr>
      </w:pPr>
      <w:r w:rsidRPr="00FD510D">
        <w:rPr>
          <w:rFonts w:cs="Tahoma"/>
          <w:color w:val="39617A"/>
          <w:sz w:val="18"/>
          <w:szCs w:val="18"/>
        </w:rPr>
        <w:t xml:space="preserve">Izvor: </w:t>
      </w:r>
      <w:r w:rsidR="00395CAF" w:rsidRPr="00F3635E">
        <w:rPr>
          <w:rFonts w:cs="Tahoma"/>
          <w:color w:val="39617A"/>
          <w:sz w:val="18"/>
          <w:szCs w:val="18"/>
        </w:rPr>
        <w:t xml:space="preserve">HGK, </w:t>
      </w:r>
      <w:r w:rsidR="00395CAF" w:rsidRPr="00F3635E">
        <w:rPr>
          <w:rFonts w:cs="Tahoma"/>
          <w:i/>
          <w:color w:val="39617A"/>
          <w:sz w:val="18"/>
          <w:szCs w:val="18"/>
        </w:rPr>
        <w:t>Županije – razvojna raznolikost i gospodarski potencijali</w:t>
      </w:r>
      <w:r w:rsidR="00395CAF" w:rsidRPr="00F3635E">
        <w:rPr>
          <w:rFonts w:cs="Tahoma"/>
          <w:color w:val="39617A"/>
          <w:sz w:val="18"/>
          <w:szCs w:val="18"/>
        </w:rPr>
        <w:t>, 2018./2019.</w:t>
      </w:r>
    </w:p>
    <w:p w14:paraId="46DF9567" w14:textId="33673A5F" w:rsidR="00E47585" w:rsidRPr="003447D4" w:rsidRDefault="00E47585" w:rsidP="003447D4">
      <w:r w:rsidRPr="003447D4">
        <w:t xml:space="preserve">Na području VUPKA je, prema podacima FINA-e, tijekom 2017. godine bilo sveukupno </w:t>
      </w:r>
      <w:r w:rsidRPr="003447D4">
        <w:rPr>
          <w:b/>
        </w:rPr>
        <w:t xml:space="preserve">1.393 </w:t>
      </w:r>
      <w:r w:rsidR="00F950C3" w:rsidRPr="003447D4">
        <w:rPr>
          <w:b/>
        </w:rPr>
        <w:t>aktivnih društava koji su ukupno zapošljavali 12,226 osoba.</w:t>
      </w:r>
      <w:r w:rsidR="00F950C3" w:rsidRPr="003447D4">
        <w:t xml:space="preserve"> </w:t>
      </w:r>
      <w:r w:rsidR="00E34764" w:rsidRPr="003447D4">
        <w:t xml:space="preserve">Broj poduzetnika u gradu Karlovcu u </w:t>
      </w:r>
      <w:r w:rsidR="009816D3">
        <w:t>razdoblju</w:t>
      </w:r>
      <w:r w:rsidR="00E34764" w:rsidRPr="003447D4">
        <w:t xml:space="preserve"> od 2013. – 2017. godine sveukupno je porastao za 9,85%</w:t>
      </w:r>
      <w:r w:rsidR="009816D3">
        <w:t>,</w:t>
      </w:r>
      <w:r w:rsidR="00E34764" w:rsidRPr="003447D4">
        <w:t xml:space="preserve"> što u nominalnom smislu predstavlja povećan</w:t>
      </w:r>
      <w:r w:rsidR="00F950C3" w:rsidRPr="003447D4">
        <w:t xml:space="preserve">je od 98 novoosnovanih Društava, u Dugoj Resi </w:t>
      </w:r>
      <w:r w:rsidRPr="003447D4">
        <w:t xml:space="preserve">za 26,09% </w:t>
      </w:r>
      <w:r w:rsidR="00F950C3" w:rsidRPr="003447D4">
        <w:t>(</w:t>
      </w:r>
      <w:r w:rsidRPr="003447D4">
        <w:t>36 novoosnovanih Društava</w:t>
      </w:r>
      <w:r w:rsidR="00F950C3" w:rsidRPr="003447D4">
        <w:t xml:space="preserve">), a u Ozlju </w:t>
      </w:r>
      <w:r w:rsidRPr="003447D4">
        <w:t xml:space="preserve">za 8,62% </w:t>
      </w:r>
      <w:r w:rsidR="00F950C3" w:rsidRPr="003447D4">
        <w:t>(</w:t>
      </w:r>
      <w:r w:rsidRPr="003447D4">
        <w:t>10 novoosnovanih Društava</w:t>
      </w:r>
      <w:r w:rsidR="00F950C3" w:rsidRPr="003447D4">
        <w:t xml:space="preserve">). U istom </w:t>
      </w:r>
      <w:r w:rsidR="009816D3">
        <w:t>razdoblju,</w:t>
      </w:r>
      <w:r w:rsidR="00F950C3" w:rsidRPr="003447D4">
        <w:t xml:space="preserve"> broj zaposlenih </w:t>
      </w:r>
      <w:r w:rsidR="003447D4" w:rsidRPr="003447D4">
        <w:t xml:space="preserve">na cijelom području VUPKA </w:t>
      </w:r>
      <w:r w:rsidR="00F950C3" w:rsidRPr="003447D4">
        <w:t xml:space="preserve">je porastao </w:t>
      </w:r>
      <w:r w:rsidR="003447D4" w:rsidRPr="003447D4">
        <w:t>za 6,4%, s 11,441 na 12,226 osoba.</w:t>
      </w:r>
      <w:r w:rsidR="00A33549">
        <w:t xml:space="preserve"> Ukupno na području VUPKA djeluje 1.393 </w:t>
      </w:r>
      <w:r w:rsidR="009816D3">
        <w:t>trgovačka društ</w:t>
      </w:r>
      <w:r w:rsidR="00C22E03">
        <w:t>va</w:t>
      </w:r>
      <w:r w:rsidR="00A33549">
        <w:t xml:space="preserve"> (prema podacima FINA-e za 2017 g</w:t>
      </w:r>
      <w:r w:rsidR="009816D3">
        <w:t>odinu</w:t>
      </w:r>
      <w:r w:rsidR="00A33549">
        <w:t>), što znači otprilike 190 poduzeća na 10.000 stanovnika</w:t>
      </w:r>
      <w:r w:rsidR="00A33549">
        <w:rPr>
          <w:rStyle w:val="FootnoteReference"/>
        </w:rPr>
        <w:footnoteReference w:id="17"/>
      </w:r>
      <w:r w:rsidR="00A33549">
        <w:t xml:space="preserve">. </w:t>
      </w:r>
      <w:r w:rsidR="00C22E03">
        <w:t xml:space="preserve"> Ovoj brojki valja pridodati i 1.111 akt</w:t>
      </w:r>
      <w:r w:rsidR="009816D3">
        <w:t>ivnih obrta na području tri JLS</w:t>
      </w:r>
      <w:r w:rsidR="00C22E03">
        <w:t>, prema podacima iz Obrtnog registra u rujnu 2019. g</w:t>
      </w:r>
      <w:r w:rsidR="009816D3">
        <w:t>odine</w:t>
      </w:r>
      <w:r w:rsidR="00C22E03">
        <w:t>.</w:t>
      </w:r>
    </w:p>
    <w:p w14:paraId="380F2E9E" w14:textId="1A371000" w:rsidR="00B21E72" w:rsidRDefault="00B21E72" w:rsidP="00E34764">
      <w:r>
        <w:t xml:space="preserve">Financijski rezultati poslovanja poduzetnika na području VUPKA </w:t>
      </w:r>
      <w:r w:rsidR="00C22E03">
        <w:t>prema FINA</w:t>
      </w:r>
      <w:r w:rsidR="009816D3">
        <w:t>-e</w:t>
      </w:r>
      <w:r w:rsidR="00C22E03">
        <w:t xml:space="preserve"> podacima </w:t>
      </w:r>
      <w:r>
        <w:t xml:space="preserve">su ujednačeni; oko </w:t>
      </w:r>
      <w:r w:rsidRPr="006968B9">
        <w:rPr>
          <w:b/>
        </w:rPr>
        <w:t>68% poduzetnika je krajem 2017. godine ostvarilo dobit od poslovanja,</w:t>
      </w:r>
      <w:r>
        <w:t xml:space="preserve"> što je poboljšanje u odnosu na 2013. godinu, kada je prosječno 62% poduzetnika VUPKA poslovalo s dobitkom. </w:t>
      </w:r>
    </w:p>
    <w:p w14:paraId="18637DF5" w14:textId="76A70B40" w:rsidR="00E47585" w:rsidRDefault="00E34764" w:rsidP="00E34764">
      <w:r w:rsidRPr="006968B9">
        <w:rPr>
          <w:b/>
        </w:rPr>
        <w:lastRenderedPageBreak/>
        <w:t xml:space="preserve">Ukupni prihodi svih Društava na području </w:t>
      </w:r>
      <w:r w:rsidR="00B21E72" w:rsidRPr="006968B9">
        <w:rPr>
          <w:b/>
        </w:rPr>
        <w:t>VUPKA</w:t>
      </w:r>
      <w:r w:rsidRPr="006968B9">
        <w:rPr>
          <w:b/>
        </w:rPr>
        <w:t xml:space="preserve"> tokom 2017. godine iznosili su </w:t>
      </w:r>
      <w:r w:rsidR="00B21E72" w:rsidRPr="006968B9">
        <w:rPr>
          <w:b/>
        </w:rPr>
        <w:t>7,33</w:t>
      </w:r>
      <w:r w:rsidR="009816D3">
        <w:rPr>
          <w:b/>
        </w:rPr>
        <w:t xml:space="preserve"> milijarde</w:t>
      </w:r>
      <w:r w:rsidRPr="006968B9">
        <w:rPr>
          <w:b/>
        </w:rPr>
        <w:t xml:space="preserve"> kuna što je povećanje od</w:t>
      </w:r>
      <w:r w:rsidR="00E47585" w:rsidRPr="006968B9">
        <w:rPr>
          <w:b/>
        </w:rPr>
        <w:t xml:space="preserve"> </w:t>
      </w:r>
      <w:r w:rsidR="000D6407">
        <w:rPr>
          <w:b/>
        </w:rPr>
        <w:t>13</w:t>
      </w:r>
      <w:r w:rsidR="00E47585" w:rsidRPr="006968B9">
        <w:rPr>
          <w:b/>
        </w:rPr>
        <w:t>% u odnosu na 2013. godinu</w:t>
      </w:r>
      <w:r w:rsidR="00E47585">
        <w:t xml:space="preserve">, </w:t>
      </w:r>
      <w:r w:rsidR="006968B9">
        <w:t xml:space="preserve">pri čemu najveći dio otpada na poduzetnike na području grada Karlovca (89%). Najveći porast prihoda ostvarili su poduzetnici grada Ozlja, kojima su se prihodi u promatranom razdoblju </w:t>
      </w:r>
      <w:r w:rsidR="009816D3">
        <w:t>(</w:t>
      </w:r>
      <w:r w:rsidR="006968B9">
        <w:t>2013. – 2017.</w:t>
      </w:r>
      <w:r w:rsidR="009816D3">
        <w:t>)</w:t>
      </w:r>
      <w:r w:rsidR="006968B9">
        <w:t xml:space="preserve"> povećali sa 276 milijuna</w:t>
      </w:r>
      <w:r w:rsidR="00114757">
        <w:t xml:space="preserve"> na 468 milijuna kuna, ili za 70</w:t>
      </w:r>
      <w:r w:rsidR="006968B9">
        <w:t>%.</w:t>
      </w:r>
    </w:p>
    <w:p w14:paraId="6C0274AC" w14:textId="353A8350" w:rsidR="00E34764" w:rsidRDefault="00E34764" w:rsidP="00E34764">
      <w:r w:rsidRPr="00E34764">
        <w:t>Kada se promatraju samo ona Društva koja su ostvarila dobitak iz poslovanja</w:t>
      </w:r>
      <w:r w:rsidR="009816D3">
        <w:t>,</w:t>
      </w:r>
      <w:r w:rsidRPr="00E34764">
        <w:t xml:space="preserve"> ukupni financijski rezultat pokazuje </w:t>
      </w:r>
      <w:r w:rsidRPr="00816726">
        <w:rPr>
          <w:b/>
        </w:rPr>
        <w:t>sm</w:t>
      </w:r>
      <w:r w:rsidR="006968B9" w:rsidRPr="00816726">
        <w:rPr>
          <w:b/>
        </w:rPr>
        <w:t>anjenje dobiti razdoblja sa 78</w:t>
      </w:r>
      <w:r w:rsidRPr="00816726">
        <w:rPr>
          <w:b/>
        </w:rPr>
        <w:t xml:space="preserve">6 milijuna kuna u 2013. godini na </w:t>
      </w:r>
      <w:r w:rsidR="00951D7F" w:rsidRPr="00816726">
        <w:rPr>
          <w:b/>
        </w:rPr>
        <w:t>572,9</w:t>
      </w:r>
      <w:r w:rsidRPr="00816726">
        <w:rPr>
          <w:b/>
        </w:rPr>
        <w:t xml:space="preserve"> milijuna kuna u 2017. godini</w:t>
      </w:r>
      <w:r w:rsidRPr="00E34764">
        <w:t xml:space="preserve"> što preds</w:t>
      </w:r>
      <w:r w:rsidR="00114757">
        <w:t>tavlja smanjenje od otprilike 2</w:t>
      </w:r>
      <w:r w:rsidR="00951D7F">
        <w:t>7</w:t>
      </w:r>
      <w:r w:rsidRPr="00E34764">
        <w:t>%</w:t>
      </w:r>
      <w:r w:rsidR="00951D7F">
        <w:t xml:space="preserve"> za cijelo područje VUPKA, </w:t>
      </w:r>
      <w:r w:rsidR="009816D3">
        <w:t>iako</w:t>
      </w:r>
      <w:r w:rsidR="00951D7F">
        <w:t xml:space="preserve"> se ovo smanjenje pripisuje isključivo poduze</w:t>
      </w:r>
      <w:r w:rsidR="00114757">
        <w:t>tnicima s područja Karlovca (pad dobiti za 32</w:t>
      </w:r>
      <w:r w:rsidR="00951D7F">
        <w:t>%), dok je dobit onih na područjima Du</w:t>
      </w:r>
      <w:r w:rsidR="00114757">
        <w:t xml:space="preserve">ge </w:t>
      </w:r>
      <w:r w:rsidR="009816D3">
        <w:t>Rese i Ozlja porasla za 134%</w:t>
      </w:r>
      <w:r w:rsidR="00114757">
        <w:t xml:space="preserve"> odnosno 146</w:t>
      </w:r>
      <w:r w:rsidR="00951D7F">
        <w:t>%</w:t>
      </w:r>
      <w:r w:rsidRPr="00E34764">
        <w:t xml:space="preserve">. Na strani poduzetnika koji su u istom </w:t>
      </w:r>
      <w:r w:rsidR="009816D3">
        <w:t>razdoblju</w:t>
      </w:r>
      <w:r w:rsidRPr="00E34764">
        <w:t xml:space="preserve"> ostvarili gubitak iz poslovanja</w:t>
      </w:r>
      <w:r w:rsidR="009816D3">
        <w:t>,</w:t>
      </w:r>
      <w:r w:rsidRPr="00E34764">
        <w:t xml:space="preserve"> primjetna je suprotna tendencija kretanja financijskog rezultata. </w:t>
      </w:r>
      <w:r w:rsidR="00951D7F">
        <w:t>Drugim riječima, ne samo da je u predmetnom razdoblju smanjen broj g</w:t>
      </w:r>
      <w:r w:rsidR="009816D3">
        <w:t>ubitaša, već je</w:t>
      </w:r>
      <w:r w:rsidR="00951D7F">
        <w:t xml:space="preserve"> </w:t>
      </w:r>
      <w:r w:rsidR="00816726">
        <w:t>u Karlovcu i Dugoj Resi došlo do smanjenja gubit</w:t>
      </w:r>
      <w:r w:rsidR="00951D7F">
        <w:t>k</w:t>
      </w:r>
      <w:r w:rsidR="00816726">
        <w:t>a, koji kumulativno za sve tri JLS u 2017. godini iznosi</w:t>
      </w:r>
      <w:r w:rsidR="00951D7F">
        <w:t xml:space="preserve"> </w:t>
      </w:r>
      <w:r w:rsidR="00816726">
        <w:t xml:space="preserve">78,2 milijuna kuna. </w:t>
      </w:r>
      <w:r w:rsidRPr="00E34764">
        <w:t>Sveukupni rezultat poslovanja</w:t>
      </w:r>
      <w:r w:rsidR="009816D3">
        <w:t>,</w:t>
      </w:r>
      <w:r w:rsidRPr="00E34764">
        <w:t xml:space="preserve"> kada se promatraju svi poduzetnici zajedno</w:t>
      </w:r>
      <w:r w:rsidR="009816D3">
        <w:t>,</w:t>
      </w:r>
      <w:r w:rsidRPr="00E34764">
        <w:t xml:space="preserve"> može se okarakterizirati kao razdoblje u kojem se smanjila sveukupna dobit poduzeća</w:t>
      </w:r>
      <w:r w:rsidR="009816D3">
        <w:t>,</w:t>
      </w:r>
      <w:r w:rsidRPr="00E34764">
        <w:t xml:space="preserve"> ali kao pozitivna stavka može se reći da je sveukupna zaposlenost povećana odnosno da je taj rezultat ostvaren uz veći broj zaposlenih osoba.</w:t>
      </w:r>
    </w:p>
    <w:p w14:paraId="478093AB" w14:textId="1CE1EBD5" w:rsidR="00816726" w:rsidRPr="00E34764" w:rsidRDefault="00816726" w:rsidP="00E34764">
      <w:r>
        <w:t xml:space="preserve">Karakteristično za promatrano razdoblje jest i </w:t>
      </w:r>
      <w:r w:rsidRPr="0050608C">
        <w:rPr>
          <w:b/>
        </w:rPr>
        <w:t xml:space="preserve">smanjenje </w:t>
      </w:r>
      <w:r w:rsidR="00BB7C09" w:rsidRPr="0050608C">
        <w:rPr>
          <w:b/>
        </w:rPr>
        <w:t xml:space="preserve">broja i visine </w:t>
      </w:r>
      <w:r w:rsidRPr="0050608C">
        <w:rPr>
          <w:b/>
        </w:rPr>
        <w:t>investicija</w:t>
      </w:r>
      <w:r w:rsidR="00BB7C09" w:rsidRPr="0050608C">
        <w:rPr>
          <w:b/>
        </w:rPr>
        <w:t xml:space="preserve"> u dugotrajnu imovinu, ali i povećanje izvoza</w:t>
      </w:r>
      <w:r w:rsidR="00BB7C09">
        <w:t xml:space="preserve">; broj izvoznika se povećao za </w:t>
      </w:r>
      <w:r w:rsidR="00114757">
        <w:t>46</w:t>
      </w:r>
      <w:r w:rsidR="00BB7C09">
        <w:t>%, a vri</w:t>
      </w:r>
      <w:r w:rsidR="00114757">
        <w:t>jednost izvoza povećana je za 11</w:t>
      </w:r>
      <w:r w:rsidR="00BB7C09">
        <w:t>%.</w:t>
      </w:r>
      <w:r w:rsidR="0050608C">
        <w:t xml:space="preserve"> Vanjskotrgovinski saldo je pozitivan za poduzetnike u sve tri JLS, pri čemu je naročito impresivan rezultat poduzetnika s područja grada Duge Rese i Ozlja, čiji je pozitivan vanjskotrgovinski saldo u razdoblju 2013. – 2017. porastao za 460% u Dugoj Resi, odnosno 159% u Ozlju.</w:t>
      </w:r>
    </w:p>
    <w:p w14:paraId="73CFF156" w14:textId="241445B6" w:rsidR="00222540" w:rsidRPr="00222540" w:rsidRDefault="0050608C" w:rsidP="00222540">
      <w:r w:rsidRPr="00222540">
        <w:rPr>
          <w:b/>
        </w:rPr>
        <w:t xml:space="preserve">Prosječna mjesečna primanja zaposlenika </w:t>
      </w:r>
      <w:r w:rsidR="00222540" w:rsidRPr="00222540">
        <w:rPr>
          <w:b/>
        </w:rPr>
        <w:t>na području VUPKA su od 2013. do</w:t>
      </w:r>
      <w:r w:rsidRPr="00222540">
        <w:rPr>
          <w:b/>
        </w:rPr>
        <w:t xml:space="preserve"> 2017. godine </w:t>
      </w:r>
      <w:r w:rsidR="00114757">
        <w:rPr>
          <w:b/>
        </w:rPr>
        <w:t>porasla za 14</w:t>
      </w:r>
      <w:r w:rsidR="00222540" w:rsidRPr="00222540">
        <w:rPr>
          <w:b/>
        </w:rPr>
        <w:t>%, s 4,125 kn na 4,698 kn</w:t>
      </w:r>
      <w:r w:rsidR="00222540" w:rsidRPr="00222540">
        <w:t xml:space="preserve">. Najveći rast primanja osjetili su zaposleni kod poduzetnika na području Ozlja, kojima su u tom razdoblju plaće povećane za </w:t>
      </w:r>
      <w:r w:rsidR="00114757">
        <w:t>21</w:t>
      </w:r>
      <w:r w:rsidR="00222540" w:rsidRPr="00222540">
        <w:t>%. To je donekle smanjilo razliku među primanjima u tri grada, iako razlike i dalje postoje pa su tako 2017. najbolje plaćeni radnici u Karlovcu (5,300 kn), zatim u Ozlju (4,707 kn), a najmanje u Dugoj Resi (4,088 kn).</w:t>
      </w:r>
    </w:p>
    <w:p w14:paraId="3542D8DB" w14:textId="501778DE" w:rsidR="00E34764" w:rsidRPr="002B257B" w:rsidRDefault="002B257B" w:rsidP="002B257B">
      <w:r w:rsidRPr="002B257B">
        <w:t>U tablicama u nastavku prezentirani su osnovni podaci o poslovnom sektoru u Karlovcu, Dugoj Resi i Ozlju, u razdoblju 2013. – 2017.</w:t>
      </w:r>
    </w:p>
    <w:p w14:paraId="5179617D" w14:textId="77777777" w:rsidR="002B257B" w:rsidRPr="002B257B" w:rsidRDefault="002B257B" w:rsidP="002B257B"/>
    <w:p w14:paraId="60861276" w14:textId="77777777" w:rsidR="00E34764" w:rsidRPr="00FD510D" w:rsidRDefault="00E34764" w:rsidP="00E34764">
      <w:pPr>
        <w:pStyle w:val="Caption"/>
        <w:rPr>
          <w:rFonts w:cs="Tahoma"/>
          <w:sz w:val="20"/>
        </w:rPr>
      </w:pPr>
      <w:bookmarkStart w:id="52" w:name="_Toc420581459"/>
      <w:bookmarkStart w:id="53" w:name="_Toc437387497"/>
      <w:r w:rsidRPr="00FD510D">
        <w:t xml:space="preserve">Tablica </w:t>
      </w:r>
      <w:r>
        <w:fldChar w:fldCharType="begin"/>
      </w:r>
      <w:r>
        <w:instrText xml:space="preserve"> SEQ Tablica \* ARABIC </w:instrText>
      </w:r>
      <w:r>
        <w:fldChar w:fldCharType="separate"/>
      </w:r>
      <w:r w:rsidR="001358A9">
        <w:rPr>
          <w:noProof/>
        </w:rPr>
        <w:t>24</w:t>
      </w:r>
      <w:r>
        <w:rPr>
          <w:noProof/>
        </w:rPr>
        <w:fldChar w:fldCharType="end"/>
      </w:r>
      <w:r w:rsidRPr="00FD510D">
        <w:t>. Osnovni podaci o poslovnom sektoru Karlovac, 2013. - 2017.</w:t>
      </w:r>
      <w:bookmarkEnd w:id="52"/>
      <w:bookmarkEnd w:id="53"/>
    </w:p>
    <w:tbl>
      <w:tblPr>
        <w:tblW w:w="0" w:type="auto"/>
        <w:tblLayout w:type="fixed"/>
        <w:tblLook w:val="04A0" w:firstRow="1" w:lastRow="0" w:firstColumn="1" w:lastColumn="0" w:noHBand="0" w:noVBand="1"/>
      </w:tblPr>
      <w:tblGrid>
        <w:gridCol w:w="2660"/>
        <w:gridCol w:w="1067"/>
        <w:gridCol w:w="1068"/>
        <w:gridCol w:w="1068"/>
        <w:gridCol w:w="1068"/>
        <w:gridCol w:w="1068"/>
        <w:gridCol w:w="1068"/>
      </w:tblGrid>
      <w:tr w:rsidR="00E34764" w:rsidRPr="002B257B" w14:paraId="76B83943" w14:textId="77777777" w:rsidTr="002B257B">
        <w:trPr>
          <w:trHeight w:val="115"/>
          <w:tblHeader/>
        </w:trPr>
        <w:tc>
          <w:tcPr>
            <w:tcW w:w="2660" w:type="dxa"/>
            <w:tcBorders>
              <w:top w:val="single" w:sz="4" w:space="0" w:color="auto"/>
              <w:left w:val="single" w:sz="4" w:space="0" w:color="auto"/>
              <w:bottom w:val="single" w:sz="4" w:space="0" w:color="auto"/>
              <w:right w:val="single" w:sz="4" w:space="0" w:color="auto"/>
            </w:tcBorders>
            <w:shd w:val="clear" w:color="000000" w:fill="39617A"/>
            <w:noWrap/>
            <w:vAlign w:val="center"/>
            <w:hideMark/>
          </w:tcPr>
          <w:p w14:paraId="127F2EF5" w14:textId="77777777" w:rsidR="00E34764" w:rsidRPr="002B257B" w:rsidRDefault="00E34764" w:rsidP="002B257B">
            <w:pPr>
              <w:pStyle w:val="tabletxt"/>
              <w:rPr>
                <w:color w:val="FFFFFF" w:themeColor="background1"/>
              </w:rPr>
            </w:pPr>
            <w:r w:rsidRPr="002B257B">
              <w:rPr>
                <w:color w:val="FFFFFF" w:themeColor="background1"/>
              </w:rPr>
              <w:t>POSLOVNO OKRUŽENJE KARLOVAC</w:t>
            </w:r>
          </w:p>
        </w:tc>
        <w:tc>
          <w:tcPr>
            <w:tcW w:w="1067" w:type="dxa"/>
            <w:tcBorders>
              <w:top w:val="single" w:sz="4" w:space="0" w:color="auto"/>
              <w:left w:val="nil"/>
              <w:bottom w:val="single" w:sz="4" w:space="0" w:color="auto"/>
              <w:right w:val="single" w:sz="4" w:space="0" w:color="auto"/>
            </w:tcBorders>
            <w:shd w:val="clear" w:color="000000" w:fill="39617A"/>
            <w:noWrap/>
            <w:vAlign w:val="center"/>
            <w:hideMark/>
          </w:tcPr>
          <w:p w14:paraId="34392AAC"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2013</w:t>
            </w:r>
          </w:p>
        </w:tc>
        <w:tc>
          <w:tcPr>
            <w:tcW w:w="1068" w:type="dxa"/>
            <w:tcBorders>
              <w:top w:val="single" w:sz="4" w:space="0" w:color="auto"/>
              <w:left w:val="nil"/>
              <w:bottom w:val="single" w:sz="4" w:space="0" w:color="auto"/>
              <w:right w:val="single" w:sz="4" w:space="0" w:color="auto"/>
            </w:tcBorders>
            <w:shd w:val="clear" w:color="000000" w:fill="39617A"/>
            <w:noWrap/>
            <w:vAlign w:val="center"/>
            <w:hideMark/>
          </w:tcPr>
          <w:p w14:paraId="1026CEC5"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2014</w:t>
            </w:r>
          </w:p>
        </w:tc>
        <w:tc>
          <w:tcPr>
            <w:tcW w:w="1068" w:type="dxa"/>
            <w:tcBorders>
              <w:top w:val="single" w:sz="4" w:space="0" w:color="auto"/>
              <w:left w:val="nil"/>
              <w:bottom w:val="single" w:sz="4" w:space="0" w:color="auto"/>
              <w:right w:val="single" w:sz="4" w:space="0" w:color="auto"/>
            </w:tcBorders>
            <w:shd w:val="clear" w:color="000000" w:fill="39617A"/>
            <w:noWrap/>
            <w:vAlign w:val="center"/>
            <w:hideMark/>
          </w:tcPr>
          <w:p w14:paraId="3BD71D94"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2015</w:t>
            </w:r>
          </w:p>
        </w:tc>
        <w:tc>
          <w:tcPr>
            <w:tcW w:w="1068" w:type="dxa"/>
            <w:tcBorders>
              <w:top w:val="single" w:sz="4" w:space="0" w:color="auto"/>
              <w:left w:val="nil"/>
              <w:bottom w:val="single" w:sz="4" w:space="0" w:color="auto"/>
              <w:right w:val="single" w:sz="4" w:space="0" w:color="auto"/>
            </w:tcBorders>
            <w:shd w:val="clear" w:color="000000" w:fill="39617A"/>
            <w:noWrap/>
            <w:vAlign w:val="center"/>
            <w:hideMark/>
          </w:tcPr>
          <w:p w14:paraId="46969194"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2016</w:t>
            </w:r>
          </w:p>
        </w:tc>
        <w:tc>
          <w:tcPr>
            <w:tcW w:w="1068" w:type="dxa"/>
            <w:tcBorders>
              <w:top w:val="single" w:sz="4" w:space="0" w:color="auto"/>
              <w:left w:val="nil"/>
              <w:bottom w:val="single" w:sz="4" w:space="0" w:color="auto"/>
              <w:right w:val="single" w:sz="4" w:space="0" w:color="auto"/>
            </w:tcBorders>
            <w:shd w:val="clear" w:color="000000" w:fill="39617A"/>
            <w:noWrap/>
            <w:vAlign w:val="center"/>
            <w:hideMark/>
          </w:tcPr>
          <w:p w14:paraId="195BBA4D"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2017</w:t>
            </w:r>
          </w:p>
        </w:tc>
        <w:tc>
          <w:tcPr>
            <w:tcW w:w="1068" w:type="dxa"/>
            <w:tcBorders>
              <w:top w:val="single" w:sz="4" w:space="0" w:color="auto"/>
              <w:left w:val="nil"/>
              <w:bottom w:val="single" w:sz="4" w:space="0" w:color="auto"/>
              <w:right w:val="single" w:sz="4" w:space="0" w:color="auto"/>
            </w:tcBorders>
            <w:shd w:val="clear" w:color="000000" w:fill="39617A"/>
            <w:noWrap/>
            <w:vAlign w:val="center"/>
            <w:hideMark/>
          </w:tcPr>
          <w:p w14:paraId="6F06E626"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INDEKS 2017-2013</w:t>
            </w:r>
          </w:p>
        </w:tc>
      </w:tr>
      <w:tr w:rsidR="00E34764" w:rsidRPr="00E34764" w14:paraId="1EA72CBD" w14:textId="77777777" w:rsidTr="002B257B">
        <w:trPr>
          <w:trHeight w:val="162"/>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1479AA1E" w14:textId="77777777" w:rsidR="00E34764" w:rsidRPr="00E47585" w:rsidRDefault="00E34764" w:rsidP="002B257B">
            <w:pPr>
              <w:pStyle w:val="tabletxt"/>
              <w:rPr>
                <w:color w:val="FFFFFF" w:themeColor="background1"/>
                <w:szCs w:val="18"/>
              </w:rPr>
            </w:pPr>
            <w:r w:rsidRPr="00E47585">
              <w:rPr>
                <w:color w:val="FFFFFF" w:themeColor="background1"/>
                <w:szCs w:val="18"/>
              </w:rPr>
              <w:t>Broj poduzetnika</w:t>
            </w:r>
          </w:p>
        </w:tc>
        <w:tc>
          <w:tcPr>
            <w:tcW w:w="1067" w:type="dxa"/>
            <w:tcBorders>
              <w:top w:val="nil"/>
              <w:left w:val="nil"/>
              <w:bottom w:val="single" w:sz="4" w:space="0" w:color="auto"/>
              <w:right w:val="single" w:sz="4" w:space="0" w:color="auto"/>
            </w:tcBorders>
            <w:shd w:val="clear" w:color="auto" w:fill="auto"/>
            <w:noWrap/>
            <w:vAlign w:val="center"/>
            <w:hideMark/>
          </w:tcPr>
          <w:p w14:paraId="1A7FEE3C" w14:textId="77777777" w:rsidR="00E34764" w:rsidRPr="002B257B" w:rsidRDefault="00E34764" w:rsidP="002B257B">
            <w:pPr>
              <w:pStyle w:val="tabletxt"/>
              <w:jc w:val="right"/>
              <w:rPr>
                <w:szCs w:val="18"/>
              </w:rPr>
            </w:pPr>
            <w:r w:rsidRPr="002B257B">
              <w:rPr>
                <w:szCs w:val="18"/>
              </w:rPr>
              <w:t>995</w:t>
            </w:r>
          </w:p>
        </w:tc>
        <w:tc>
          <w:tcPr>
            <w:tcW w:w="1068" w:type="dxa"/>
            <w:tcBorders>
              <w:top w:val="nil"/>
              <w:left w:val="nil"/>
              <w:bottom w:val="single" w:sz="4" w:space="0" w:color="auto"/>
              <w:right w:val="single" w:sz="4" w:space="0" w:color="auto"/>
            </w:tcBorders>
            <w:shd w:val="clear" w:color="auto" w:fill="auto"/>
            <w:noWrap/>
            <w:vAlign w:val="center"/>
            <w:hideMark/>
          </w:tcPr>
          <w:p w14:paraId="38E32327" w14:textId="77777777" w:rsidR="00E34764" w:rsidRPr="002B257B" w:rsidRDefault="00E34764" w:rsidP="002B257B">
            <w:pPr>
              <w:pStyle w:val="tabletxt"/>
              <w:jc w:val="right"/>
              <w:rPr>
                <w:szCs w:val="18"/>
              </w:rPr>
            </w:pPr>
            <w:r w:rsidRPr="002B257B">
              <w:rPr>
                <w:szCs w:val="18"/>
              </w:rPr>
              <w:t>1.051</w:t>
            </w:r>
          </w:p>
        </w:tc>
        <w:tc>
          <w:tcPr>
            <w:tcW w:w="1068" w:type="dxa"/>
            <w:tcBorders>
              <w:top w:val="nil"/>
              <w:left w:val="nil"/>
              <w:bottom w:val="single" w:sz="4" w:space="0" w:color="auto"/>
              <w:right w:val="single" w:sz="4" w:space="0" w:color="auto"/>
            </w:tcBorders>
            <w:shd w:val="clear" w:color="auto" w:fill="auto"/>
            <w:noWrap/>
            <w:vAlign w:val="center"/>
            <w:hideMark/>
          </w:tcPr>
          <w:p w14:paraId="7CC86136" w14:textId="77777777" w:rsidR="00E34764" w:rsidRPr="002B257B" w:rsidRDefault="00E34764" w:rsidP="002B257B">
            <w:pPr>
              <w:pStyle w:val="tabletxt"/>
              <w:jc w:val="right"/>
              <w:rPr>
                <w:szCs w:val="18"/>
              </w:rPr>
            </w:pPr>
            <w:r w:rsidRPr="002B257B">
              <w:rPr>
                <w:szCs w:val="18"/>
              </w:rPr>
              <w:t>1.039</w:t>
            </w:r>
          </w:p>
        </w:tc>
        <w:tc>
          <w:tcPr>
            <w:tcW w:w="1068" w:type="dxa"/>
            <w:tcBorders>
              <w:top w:val="nil"/>
              <w:left w:val="nil"/>
              <w:bottom w:val="single" w:sz="4" w:space="0" w:color="auto"/>
              <w:right w:val="single" w:sz="4" w:space="0" w:color="auto"/>
            </w:tcBorders>
            <w:shd w:val="clear" w:color="auto" w:fill="auto"/>
            <w:noWrap/>
            <w:vAlign w:val="center"/>
            <w:hideMark/>
          </w:tcPr>
          <w:p w14:paraId="2E4650DA" w14:textId="77777777" w:rsidR="00E34764" w:rsidRPr="002B257B" w:rsidRDefault="00E34764" w:rsidP="002B257B">
            <w:pPr>
              <w:pStyle w:val="tabletxt"/>
              <w:jc w:val="right"/>
              <w:rPr>
                <w:szCs w:val="18"/>
              </w:rPr>
            </w:pPr>
            <w:r w:rsidRPr="002B257B">
              <w:rPr>
                <w:szCs w:val="18"/>
              </w:rPr>
              <w:t>1.069</w:t>
            </w:r>
          </w:p>
        </w:tc>
        <w:tc>
          <w:tcPr>
            <w:tcW w:w="1068" w:type="dxa"/>
            <w:tcBorders>
              <w:top w:val="nil"/>
              <w:left w:val="nil"/>
              <w:bottom w:val="single" w:sz="4" w:space="0" w:color="auto"/>
              <w:right w:val="single" w:sz="4" w:space="0" w:color="auto"/>
            </w:tcBorders>
            <w:shd w:val="clear" w:color="auto" w:fill="auto"/>
            <w:noWrap/>
            <w:vAlign w:val="center"/>
            <w:hideMark/>
          </w:tcPr>
          <w:p w14:paraId="5A9874F7" w14:textId="77777777" w:rsidR="00E34764" w:rsidRPr="002B257B" w:rsidRDefault="00E34764" w:rsidP="002B257B">
            <w:pPr>
              <w:pStyle w:val="tabletxt"/>
              <w:jc w:val="right"/>
              <w:rPr>
                <w:szCs w:val="18"/>
              </w:rPr>
            </w:pPr>
            <w:r w:rsidRPr="002B257B">
              <w:rPr>
                <w:szCs w:val="18"/>
              </w:rPr>
              <w:t>1.093</w:t>
            </w:r>
          </w:p>
        </w:tc>
        <w:tc>
          <w:tcPr>
            <w:tcW w:w="1068" w:type="dxa"/>
            <w:tcBorders>
              <w:top w:val="nil"/>
              <w:left w:val="nil"/>
              <w:bottom w:val="single" w:sz="4" w:space="0" w:color="auto"/>
              <w:right w:val="single" w:sz="4" w:space="0" w:color="auto"/>
            </w:tcBorders>
            <w:shd w:val="clear" w:color="auto" w:fill="auto"/>
            <w:noWrap/>
            <w:vAlign w:val="center"/>
            <w:hideMark/>
          </w:tcPr>
          <w:p w14:paraId="25CC034B" w14:textId="77777777" w:rsidR="00E34764" w:rsidRPr="002B257B" w:rsidRDefault="00E34764" w:rsidP="002B257B">
            <w:pPr>
              <w:pStyle w:val="tabletxt"/>
              <w:jc w:val="right"/>
              <w:rPr>
                <w:szCs w:val="18"/>
              </w:rPr>
            </w:pPr>
            <w:r w:rsidRPr="002B257B">
              <w:rPr>
                <w:szCs w:val="18"/>
              </w:rPr>
              <w:t>109,85%</w:t>
            </w:r>
          </w:p>
        </w:tc>
      </w:tr>
      <w:tr w:rsidR="00E34764" w:rsidRPr="00E34764" w14:paraId="3D2F27E6" w14:textId="77777777" w:rsidTr="002B257B">
        <w:trPr>
          <w:trHeight w:val="94"/>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0E6C15FF" w14:textId="77777777" w:rsidR="00E34764" w:rsidRPr="00E47585" w:rsidRDefault="00E34764" w:rsidP="002B257B">
            <w:pPr>
              <w:pStyle w:val="tabletxt"/>
              <w:rPr>
                <w:color w:val="FFFFFF" w:themeColor="background1"/>
                <w:szCs w:val="18"/>
              </w:rPr>
            </w:pPr>
            <w:r w:rsidRPr="00E47585">
              <w:rPr>
                <w:color w:val="FFFFFF" w:themeColor="background1"/>
                <w:szCs w:val="18"/>
              </w:rPr>
              <w:t>Broj dobitaša</w:t>
            </w:r>
          </w:p>
        </w:tc>
        <w:tc>
          <w:tcPr>
            <w:tcW w:w="1067" w:type="dxa"/>
            <w:tcBorders>
              <w:top w:val="nil"/>
              <w:left w:val="nil"/>
              <w:bottom w:val="single" w:sz="4" w:space="0" w:color="auto"/>
              <w:right w:val="single" w:sz="4" w:space="0" w:color="auto"/>
            </w:tcBorders>
            <w:shd w:val="clear" w:color="auto" w:fill="auto"/>
            <w:noWrap/>
            <w:vAlign w:val="center"/>
            <w:hideMark/>
          </w:tcPr>
          <w:p w14:paraId="6394881D" w14:textId="77777777" w:rsidR="00E34764" w:rsidRPr="002B257B" w:rsidRDefault="00E34764" w:rsidP="002B257B">
            <w:pPr>
              <w:pStyle w:val="tabletxt"/>
              <w:jc w:val="right"/>
              <w:rPr>
                <w:szCs w:val="18"/>
              </w:rPr>
            </w:pPr>
            <w:r w:rsidRPr="002B257B">
              <w:rPr>
                <w:szCs w:val="18"/>
              </w:rPr>
              <w:t>625</w:t>
            </w:r>
          </w:p>
        </w:tc>
        <w:tc>
          <w:tcPr>
            <w:tcW w:w="1068" w:type="dxa"/>
            <w:tcBorders>
              <w:top w:val="nil"/>
              <w:left w:val="nil"/>
              <w:bottom w:val="single" w:sz="4" w:space="0" w:color="auto"/>
              <w:right w:val="single" w:sz="4" w:space="0" w:color="auto"/>
            </w:tcBorders>
            <w:shd w:val="clear" w:color="auto" w:fill="auto"/>
            <w:noWrap/>
            <w:vAlign w:val="center"/>
            <w:hideMark/>
          </w:tcPr>
          <w:p w14:paraId="5436AE61" w14:textId="77777777" w:rsidR="00E34764" w:rsidRPr="002B257B" w:rsidRDefault="00E34764" w:rsidP="002B257B">
            <w:pPr>
              <w:pStyle w:val="tabletxt"/>
              <w:jc w:val="right"/>
              <w:rPr>
                <w:szCs w:val="18"/>
              </w:rPr>
            </w:pPr>
            <w:r w:rsidRPr="002B257B">
              <w:rPr>
                <w:szCs w:val="18"/>
              </w:rPr>
              <w:t>650</w:t>
            </w:r>
          </w:p>
        </w:tc>
        <w:tc>
          <w:tcPr>
            <w:tcW w:w="1068" w:type="dxa"/>
            <w:tcBorders>
              <w:top w:val="nil"/>
              <w:left w:val="nil"/>
              <w:bottom w:val="single" w:sz="4" w:space="0" w:color="auto"/>
              <w:right w:val="single" w:sz="4" w:space="0" w:color="auto"/>
            </w:tcBorders>
            <w:shd w:val="clear" w:color="auto" w:fill="auto"/>
            <w:noWrap/>
            <w:vAlign w:val="center"/>
            <w:hideMark/>
          </w:tcPr>
          <w:p w14:paraId="50CCA404" w14:textId="77777777" w:rsidR="00E34764" w:rsidRPr="002B257B" w:rsidRDefault="00E34764" w:rsidP="002B257B">
            <w:pPr>
              <w:pStyle w:val="tabletxt"/>
              <w:jc w:val="right"/>
              <w:rPr>
                <w:szCs w:val="18"/>
              </w:rPr>
            </w:pPr>
            <w:r w:rsidRPr="002B257B">
              <w:rPr>
                <w:szCs w:val="18"/>
              </w:rPr>
              <w:t>669</w:t>
            </w:r>
          </w:p>
        </w:tc>
        <w:tc>
          <w:tcPr>
            <w:tcW w:w="1068" w:type="dxa"/>
            <w:tcBorders>
              <w:top w:val="nil"/>
              <w:left w:val="nil"/>
              <w:bottom w:val="single" w:sz="4" w:space="0" w:color="auto"/>
              <w:right w:val="single" w:sz="4" w:space="0" w:color="auto"/>
            </w:tcBorders>
            <w:shd w:val="clear" w:color="auto" w:fill="auto"/>
            <w:noWrap/>
            <w:vAlign w:val="center"/>
            <w:hideMark/>
          </w:tcPr>
          <w:p w14:paraId="55BD130E" w14:textId="77777777" w:rsidR="00E34764" w:rsidRPr="002B257B" w:rsidRDefault="00E34764" w:rsidP="002B257B">
            <w:pPr>
              <w:pStyle w:val="tabletxt"/>
              <w:jc w:val="right"/>
              <w:rPr>
                <w:szCs w:val="18"/>
              </w:rPr>
            </w:pPr>
            <w:r w:rsidRPr="002B257B">
              <w:rPr>
                <w:szCs w:val="18"/>
              </w:rPr>
              <w:t>732</w:t>
            </w:r>
          </w:p>
        </w:tc>
        <w:tc>
          <w:tcPr>
            <w:tcW w:w="1068" w:type="dxa"/>
            <w:tcBorders>
              <w:top w:val="nil"/>
              <w:left w:val="nil"/>
              <w:bottom w:val="single" w:sz="4" w:space="0" w:color="auto"/>
              <w:right w:val="single" w:sz="4" w:space="0" w:color="auto"/>
            </w:tcBorders>
            <w:shd w:val="clear" w:color="auto" w:fill="auto"/>
            <w:noWrap/>
            <w:vAlign w:val="center"/>
            <w:hideMark/>
          </w:tcPr>
          <w:p w14:paraId="5190E59D" w14:textId="77777777" w:rsidR="00E34764" w:rsidRPr="002B257B" w:rsidRDefault="00E34764" w:rsidP="002B257B">
            <w:pPr>
              <w:pStyle w:val="tabletxt"/>
              <w:jc w:val="right"/>
              <w:rPr>
                <w:szCs w:val="18"/>
              </w:rPr>
            </w:pPr>
            <w:r w:rsidRPr="002B257B">
              <w:rPr>
                <w:szCs w:val="18"/>
              </w:rPr>
              <w:t>742</w:t>
            </w:r>
          </w:p>
        </w:tc>
        <w:tc>
          <w:tcPr>
            <w:tcW w:w="1068" w:type="dxa"/>
            <w:tcBorders>
              <w:top w:val="nil"/>
              <w:left w:val="nil"/>
              <w:bottom w:val="single" w:sz="4" w:space="0" w:color="auto"/>
              <w:right w:val="single" w:sz="4" w:space="0" w:color="auto"/>
            </w:tcBorders>
            <w:shd w:val="clear" w:color="auto" w:fill="auto"/>
            <w:noWrap/>
            <w:vAlign w:val="center"/>
            <w:hideMark/>
          </w:tcPr>
          <w:p w14:paraId="3EC59698" w14:textId="77777777" w:rsidR="00E34764" w:rsidRPr="002B257B" w:rsidRDefault="00E34764" w:rsidP="002B257B">
            <w:pPr>
              <w:pStyle w:val="tabletxt"/>
              <w:jc w:val="right"/>
              <w:rPr>
                <w:szCs w:val="18"/>
              </w:rPr>
            </w:pPr>
            <w:r w:rsidRPr="002B257B">
              <w:rPr>
                <w:szCs w:val="18"/>
              </w:rPr>
              <w:t>118,72%</w:t>
            </w:r>
          </w:p>
        </w:tc>
      </w:tr>
      <w:tr w:rsidR="00E34764" w:rsidRPr="00E34764" w14:paraId="102C8FBE" w14:textId="77777777" w:rsidTr="002B257B">
        <w:trPr>
          <w:trHeight w:val="182"/>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551A84DC" w14:textId="77777777" w:rsidR="00E34764" w:rsidRPr="00E47585" w:rsidRDefault="00E34764" w:rsidP="002B257B">
            <w:pPr>
              <w:pStyle w:val="tabletxt"/>
              <w:rPr>
                <w:color w:val="FFFFFF" w:themeColor="background1"/>
                <w:szCs w:val="18"/>
              </w:rPr>
            </w:pPr>
            <w:r w:rsidRPr="00E47585">
              <w:rPr>
                <w:color w:val="FFFFFF" w:themeColor="background1"/>
                <w:szCs w:val="18"/>
              </w:rPr>
              <w:t>Broj gubitaša</w:t>
            </w:r>
          </w:p>
        </w:tc>
        <w:tc>
          <w:tcPr>
            <w:tcW w:w="1067" w:type="dxa"/>
            <w:tcBorders>
              <w:top w:val="nil"/>
              <w:left w:val="nil"/>
              <w:bottom w:val="single" w:sz="4" w:space="0" w:color="auto"/>
              <w:right w:val="single" w:sz="4" w:space="0" w:color="auto"/>
            </w:tcBorders>
            <w:shd w:val="clear" w:color="auto" w:fill="auto"/>
            <w:noWrap/>
            <w:vAlign w:val="center"/>
            <w:hideMark/>
          </w:tcPr>
          <w:p w14:paraId="7567D1BF" w14:textId="77777777" w:rsidR="00E34764" w:rsidRPr="002B257B" w:rsidRDefault="00E34764" w:rsidP="002B257B">
            <w:pPr>
              <w:pStyle w:val="tabletxt"/>
              <w:jc w:val="right"/>
              <w:rPr>
                <w:szCs w:val="18"/>
              </w:rPr>
            </w:pPr>
            <w:r w:rsidRPr="002B257B">
              <w:rPr>
                <w:szCs w:val="18"/>
              </w:rPr>
              <w:t>370</w:t>
            </w:r>
          </w:p>
        </w:tc>
        <w:tc>
          <w:tcPr>
            <w:tcW w:w="1068" w:type="dxa"/>
            <w:tcBorders>
              <w:top w:val="nil"/>
              <w:left w:val="nil"/>
              <w:bottom w:val="single" w:sz="4" w:space="0" w:color="auto"/>
              <w:right w:val="single" w:sz="4" w:space="0" w:color="auto"/>
            </w:tcBorders>
            <w:shd w:val="clear" w:color="auto" w:fill="auto"/>
            <w:noWrap/>
            <w:vAlign w:val="center"/>
            <w:hideMark/>
          </w:tcPr>
          <w:p w14:paraId="2AE686D2" w14:textId="77777777" w:rsidR="00E34764" w:rsidRPr="002B257B" w:rsidRDefault="00E34764" w:rsidP="002B257B">
            <w:pPr>
              <w:pStyle w:val="tabletxt"/>
              <w:jc w:val="right"/>
              <w:rPr>
                <w:szCs w:val="18"/>
              </w:rPr>
            </w:pPr>
            <w:r w:rsidRPr="002B257B">
              <w:rPr>
                <w:szCs w:val="18"/>
              </w:rPr>
              <w:t>401</w:t>
            </w:r>
          </w:p>
        </w:tc>
        <w:tc>
          <w:tcPr>
            <w:tcW w:w="1068" w:type="dxa"/>
            <w:tcBorders>
              <w:top w:val="nil"/>
              <w:left w:val="nil"/>
              <w:bottom w:val="single" w:sz="4" w:space="0" w:color="auto"/>
              <w:right w:val="single" w:sz="4" w:space="0" w:color="auto"/>
            </w:tcBorders>
            <w:shd w:val="clear" w:color="auto" w:fill="auto"/>
            <w:noWrap/>
            <w:vAlign w:val="center"/>
            <w:hideMark/>
          </w:tcPr>
          <w:p w14:paraId="68CEF8A2" w14:textId="77777777" w:rsidR="00E34764" w:rsidRPr="002B257B" w:rsidRDefault="00E34764" w:rsidP="002B257B">
            <w:pPr>
              <w:pStyle w:val="tabletxt"/>
              <w:jc w:val="right"/>
              <w:rPr>
                <w:szCs w:val="18"/>
              </w:rPr>
            </w:pPr>
            <w:r w:rsidRPr="002B257B">
              <w:rPr>
                <w:szCs w:val="18"/>
              </w:rPr>
              <w:t>370</w:t>
            </w:r>
          </w:p>
        </w:tc>
        <w:tc>
          <w:tcPr>
            <w:tcW w:w="1068" w:type="dxa"/>
            <w:tcBorders>
              <w:top w:val="nil"/>
              <w:left w:val="nil"/>
              <w:bottom w:val="single" w:sz="4" w:space="0" w:color="auto"/>
              <w:right w:val="single" w:sz="4" w:space="0" w:color="auto"/>
            </w:tcBorders>
            <w:shd w:val="clear" w:color="auto" w:fill="auto"/>
            <w:noWrap/>
            <w:vAlign w:val="center"/>
            <w:hideMark/>
          </w:tcPr>
          <w:p w14:paraId="67255097" w14:textId="77777777" w:rsidR="00E34764" w:rsidRPr="002B257B" w:rsidRDefault="00E34764" w:rsidP="002B257B">
            <w:pPr>
              <w:pStyle w:val="tabletxt"/>
              <w:jc w:val="right"/>
              <w:rPr>
                <w:szCs w:val="18"/>
              </w:rPr>
            </w:pPr>
            <w:r w:rsidRPr="002B257B">
              <w:rPr>
                <w:szCs w:val="18"/>
              </w:rPr>
              <w:t>337</w:t>
            </w:r>
          </w:p>
        </w:tc>
        <w:tc>
          <w:tcPr>
            <w:tcW w:w="1068" w:type="dxa"/>
            <w:tcBorders>
              <w:top w:val="nil"/>
              <w:left w:val="nil"/>
              <w:bottom w:val="single" w:sz="4" w:space="0" w:color="auto"/>
              <w:right w:val="single" w:sz="4" w:space="0" w:color="auto"/>
            </w:tcBorders>
            <w:shd w:val="clear" w:color="auto" w:fill="auto"/>
            <w:noWrap/>
            <w:vAlign w:val="center"/>
            <w:hideMark/>
          </w:tcPr>
          <w:p w14:paraId="1D91A6B8" w14:textId="77777777" w:rsidR="00E34764" w:rsidRPr="002B257B" w:rsidRDefault="00E34764" w:rsidP="002B257B">
            <w:pPr>
              <w:pStyle w:val="tabletxt"/>
              <w:jc w:val="right"/>
              <w:rPr>
                <w:szCs w:val="18"/>
              </w:rPr>
            </w:pPr>
            <w:r w:rsidRPr="002B257B">
              <w:rPr>
                <w:szCs w:val="18"/>
              </w:rPr>
              <w:t>351</w:t>
            </w:r>
          </w:p>
        </w:tc>
        <w:tc>
          <w:tcPr>
            <w:tcW w:w="1068" w:type="dxa"/>
            <w:tcBorders>
              <w:top w:val="nil"/>
              <w:left w:val="nil"/>
              <w:bottom w:val="single" w:sz="4" w:space="0" w:color="auto"/>
              <w:right w:val="single" w:sz="4" w:space="0" w:color="auto"/>
            </w:tcBorders>
            <w:shd w:val="clear" w:color="auto" w:fill="auto"/>
            <w:noWrap/>
            <w:vAlign w:val="center"/>
            <w:hideMark/>
          </w:tcPr>
          <w:p w14:paraId="77B5AFF7" w14:textId="77777777" w:rsidR="00E34764" w:rsidRPr="002B257B" w:rsidRDefault="00E34764" w:rsidP="002B257B">
            <w:pPr>
              <w:pStyle w:val="tabletxt"/>
              <w:jc w:val="right"/>
              <w:rPr>
                <w:szCs w:val="18"/>
              </w:rPr>
            </w:pPr>
            <w:r w:rsidRPr="002B257B">
              <w:rPr>
                <w:szCs w:val="18"/>
              </w:rPr>
              <w:t>94,86%</w:t>
            </w:r>
          </w:p>
        </w:tc>
      </w:tr>
      <w:tr w:rsidR="00E34764" w:rsidRPr="00E34764" w14:paraId="4BBFD924" w14:textId="77777777" w:rsidTr="002B257B">
        <w:trPr>
          <w:trHeight w:val="170"/>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18932CFD" w14:textId="77777777" w:rsidR="00E34764" w:rsidRPr="00E47585" w:rsidRDefault="00E34764" w:rsidP="002B257B">
            <w:pPr>
              <w:pStyle w:val="tabletxt"/>
              <w:rPr>
                <w:color w:val="FFFFFF" w:themeColor="background1"/>
                <w:szCs w:val="18"/>
              </w:rPr>
            </w:pPr>
            <w:r w:rsidRPr="00E47585">
              <w:rPr>
                <w:color w:val="FFFFFF" w:themeColor="background1"/>
                <w:szCs w:val="18"/>
              </w:rPr>
              <w:t>Broj zaposlenih</w:t>
            </w:r>
          </w:p>
        </w:tc>
        <w:tc>
          <w:tcPr>
            <w:tcW w:w="1067" w:type="dxa"/>
            <w:tcBorders>
              <w:top w:val="nil"/>
              <w:left w:val="nil"/>
              <w:bottom w:val="single" w:sz="4" w:space="0" w:color="auto"/>
              <w:right w:val="single" w:sz="4" w:space="0" w:color="auto"/>
            </w:tcBorders>
            <w:shd w:val="clear" w:color="auto" w:fill="auto"/>
            <w:noWrap/>
            <w:vAlign w:val="center"/>
            <w:hideMark/>
          </w:tcPr>
          <w:p w14:paraId="6131ABE4" w14:textId="77777777" w:rsidR="00E34764" w:rsidRPr="002B257B" w:rsidRDefault="00E34764" w:rsidP="002B257B">
            <w:pPr>
              <w:pStyle w:val="tabletxt"/>
              <w:jc w:val="right"/>
              <w:rPr>
                <w:szCs w:val="18"/>
              </w:rPr>
            </w:pPr>
            <w:r w:rsidRPr="002B257B">
              <w:rPr>
                <w:szCs w:val="18"/>
              </w:rPr>
              <w:t>9.875</w:t>
            </w:r>
          </w:p>
        </w:tc>
        <w:tc>
          <w:tcPr>
            <w:tcW w:w="1068" w:type="dxa"/>
            <w:tcBorders>
              <w:top w:val="nil"/>
              <w:left w:val="nil"/>
              <w:bottom w:val="single" w:sz="4" w:space="0" w:color="auto"/>
              <w:right w:val="single" w:sz="4" w:space="0" w:color="auto"/>
            </w:tcBorders>
            <w:shd w:val="clear" w:color="auto" w:fill="auto"/>
            <w:noWrap/>
            <w:vAlign w:val="center"/>
            <w:hideMark/>
          </w:tcPr>
          <w:p w14:paraId="499C3CB1" w14:textId="77777777" w:rsidR="00E34764" w:rsidRPr="002B257B" w:rsidRDefault="00E34764" w:rsidP="002B257B">
            <w:pPr>
              <w:pStyle w:val="tabletxt"/>
              <w:jc w:val="right"/>
              <w:rPr>
                <w:szCs w:val="18"/>
              </w:rPr>
            </w:pPr>
            <w:r w:rsidRPr="002B257B">
              <w:rPr>
                <w:szCs w:val="18"/>
              </w:rPr>
              <w:t>9.733</w:t>
            </w:r>
          </w:p>
        </w:tc>
        <w:tc>
          <w:tcPr>
            <w:tcW w:w="1068" w:type="dxa"/>
            <w:tcBorders>
              <w:top w:val="nil"/>
              <w:left w:val="nil"/>
              <w:bottom w:val="single" w:sz="4" w:space="0" w:color="auto"/>
              <w:right w:val="single" w:sz="4" w:space="0" w:color="auto"/>
            </w:tcBorders>
            <w:shd w:val="clear" w:color="auto" w:fill="auto"/>
            <w:noWrap/>
            <w:vAlign w:val="center"/>
            <w:hideMark/>
          </w:tcPr>
          <w:p w14:paraId="09D13D9A" w14:textId="77777777" w:rsidR="00E34764" w:rsidRPr="002B257B" w:rsidRDefault="00E34764" w:rsidP="002B257B">
            <w:pPr>
              <w:pStyle w:val="tabletxt"/>
              <w:jc w:val="right"/>
              <w:rPr>
                <w:szCs w:val="18"/>
              </w:rPr>
            </w:pPr>
            <w:r w:rsidRPr="002B257B">
              <w:rPr>
                <w:szCs w:val="18"/>
              </w:rPr>
              <w:t>9.936</w:t>
            </w:r>
          </w:p>
        </w:tc>
        <w:tc>
          <w:tcPr>
            <w:tcW w:w="1068" w:type="dxa"/>
            <w:tcBorders>
              <w:top w:val="nil"/>
              <w:left w:val="nil"/>
              <w:bottom w:val="single" w:sz="4" w:space="0" w:color="auto"/>
              <w:right w:val="single" w:sz="4" w:space="0" w:color="auto"/>
            </w:tcBorders>
            <w:shd w:val="clear" w:color="auto" w:fill="auto"/>
            <w:noWrap/>
            <w:vAlign w:val="center"/>
            <w:hideMark/>
          </w:tcPr>
          <w:p w14:paraId="3B34F49E" w14:textId="77777777" w:rsidR="00E34764" w:rsidRPr="002B257B" w:rsidRDefault="00E34764" w:rsidP="002B257B">
            <w:pPr>
              <w:pStyle w:val="tabletxt"/>
              <w:jc w:val="right"/>
              <w:rPr>
                <w:szCs w:val="18"/>
              </w:rPr>
            </w:pPr>
            <w:r w:rsidRPr="002B257B">
              <w:rPr>
                <w:szCs w:val="18"/>
              </w:rPr>
              <w:t>10.245</w:t>
            </w:r>
          </w:p>
        </w:tc>
        <w:tc>
          <w:tcPr>
            <w:tcW w:w="1068" w:type="dxa"/>
            <w:tcBorders>
              <w:top w:val="nil"/>
              <w:left w:val="nil"/>
              <w:bottom w:val="single" w:sz="4" w:space="0" w:color="auto"/>
              <w:right w:val="single" w:sz="4" w:space="0" w:color="auto"/>
            </w:tcBorders>
            <w:shd w:val="clear" w:color="auto" w:fill="auto"/>
            <w:noWrap/>
            <w:vAlign w:val="center"/>
            <w:hideMark/>
          </w:tcPr>
          <w:p w14:paraId="799929A9" w14:textId="77777777" w:rsidR="00E34764" w:rsidRPr="002B257B" w:rsidRDefault="00E34764" w:rsidP="002B257B">
            <w:pPr>
              <w:pStyle w:val="tabletxt"/>
              <w:jc w:val="right"/>
              <w:rPr>
                <w:szCs w:val="18"/>
              </w:rPr>
            </w:pPr>
            <w:r w:rsidRPr="002B257B">
              <w:rPr>
                <w:szCs w:val="18"/>
              </w:rPr>
              <w:t>10.368</w:t>
            </w:r>
          </w:p>
        </w:tc>
        <w:tc>
          <w:tcPr>
            <w:tcW w:w="1068" w:type="dxa"/>
            <w:tcBorders>
              <w:top w:val="nil"/>
              <w:left w:val="nil"/>
              <w:bottom w:val="single" w:sz="4" w:space="0" w:color="auto"/>
              <w:right w:val="single" w:sz="4" w:space="0" w:color="auto"/>
            </w:tcBorders>
            <w:shd w:val="clear" w:color="auto" w:fill="auto"/>
            <w:noWrap/>
            <w:vAlign w:val="center"/>
            <w:hideMark/>
          </w:tcPr>
          <w:p w14:paraId="03E0378D" w14:textId="77777777" w:rsidR="00E34764" w:rsidRPr="002B257B" w:rsidRDefault="00E34764" w:rsidP="002B257B">
            <w:pPr>
              <w:pStyle w:val="tabletxt"/>
              <w:jc w:val="right"/>
              <w:rPr>
                <w:szCs w:val="18"/>
              </w:rPr>
            </w:pPr>
            <w:r w:rsidRPr="002B257B">
              <w:rPr>
                <w:szCs w:val="18"/>
              </w:rPr>
              <w:t>104,99%</w:t>
            </w:r>
          </w:p>
        </w:tc>
      </w:tr>
      <w:tr w:rsidR="00E34764" w:rsidRPr="00E34764" w14:paraId="48DF8686" w14:textId="77777777" w:rsidTr="002B257B">
        <w:trPr>
          <w:trHeight w:val="131"/>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19FA0768" w14:textId="77777777" w:rsidR="00E34764" w:rsidRPr="00E47585" w:rsidRDefault="00E34764" w:rsidP="002B257B">
            <w:pPr>
              <w:pStyle w:val="tabletxt"/>
              <w:rPr>
                <w:color w:val="FFFFFF" w:themeColor="background1"/>
                <w:szCs w:val="18"/>
              </w:rPr>
            </w:pPr>
            <w:r w:rsidRPr="00E47585">
              <w:rPr>
                <w:color w:val="FFFFFF" w:themeColor="background1"/>
                <w:szCs w:val="18"/>
              </w:rPr>
              <w:t>Ukupni prihodi</w:t>
            </w:r>
          </w:p>
        </w:tc>
        <w:tc>
          <w:tcPr>
            <w:tcW w:w="1067" w:type="dxa"/>
            <w:tcBorders>
              <w:top w:val="nil"/>
              <w:left w:val="nil"/>
              <w:bottom w:val="single" w:sz="4" w:space="0" w:color="auto"/>
              <w:right w:val="single" w:sz="4" w:space="0" w:color="auto"/>
            </w:tcBorders>
            <w:shd w:val="clear" w:color="auto" w:fill="auto"/>
            <w:noWrap/>
            <w:vAlign w:val="center"/>
            <w:hideMark/>
          </w:tcPr>
          <w:p w14:paraId="27FAE5A4" w14:textId="77777777" w:rsidR="00E34764" w:rsidRPr="002B257B" w:rsidRDefault="00E34764" w:rsidP="002B257B">
            <w:pPr>
              <w:pStyle w:val="tabletxt"/>
              <w:jc w:val="right"/>
              <w:rPr>
                <w:szCs w:val="18"/>
              </w:rPr>
            </w:pPr>
            <w:r w:rsidRPr="002B257B">
              <w:rPr>
                <w:szCs w:val="18"/>
              </w:rPr>
              <w:t>5.937.692</w:t>
            </w:r>
          </w:p>
        </w:tc>
        <w:tc>
          <w:tcPr>
            <w:tcW w:w="1068" w:type="dxa"/>
            <w:tcBorders>
              <w:top w:val="nil"/>
              <w:left w:val="nil"/>
              <w:bottom w:val="single" w:sz="4" w:space="0" w:color="auto"/>
              <w:right w:val="single" w:sz="4" w:space="0" w:color="auto"/>
            </w:tcBorders>
            <w:shd w:val="clear" w:color="auto" w:fill="auto"/>
            <w:noWrap/>
            <w:vAlign w:val="center"/>
            <w:hideMark/>
          </w:tcPr>
          <w:p w14:paraId="5F489BA5" w14:textId="77777777" w:rsidR="00E34764" w:rsidRPr="002B257B" w:rsidRDefault="00E34764" w:rsidP="002B257B">
            <w:pPr>
              <w:pStyle w:val="tabletxt"/>
              <w:jc w:val="right"/>
              <w:rPr>
                <w:szCs w:val="18"/>
              </w:rPr>
            </w:pPr>
            <w:r w:rsidRPr="002B257B">
              <w:rPr>
                <w:szCs w:val="18"/>
              </w:rPr>
              <w:t>5.715.608</w:t>
            </w:r>
          </w:p>
        </w:tc>
        <w:tc>
          <w:tcPr>
            <w:tcW w:w="1068" w:type="dxa"/>
            <w:tcBorders>
              <w:top w:val="nil"/>
              <w:left w:val="nil"/>
              <w:bottom w:val="single" w:sz="4" w:space="0" w:color="auto"/>
              <w:right w:val="single" w:sz="4" w:space="0" w:color="auto"/>
            </w:tcBorders>
            <w:shd w:val="clear" w:color="auto" w:fill="auto"/>
            <w:noWrap/>
            <w:vAlign w:val="center"/>
            <w:hideMark/>
          </w:tcPr>
          <w:p w14:paraId="7F87E553" w14:textId="77777777" w:rsidR="00E34764" w:rsidRPr="002B257B" w:rsidRDefault="00E34764" w:rsidP="002B257B">
            <w:pPr>
              <w:pStyle w:val="tabletxt"/>
              <w:jc w:val="right"/>
              <w:rPr>
                <w:szCs w:val="18"/>
              </w:rPr>
            </w:pPr>
            <w:r w:rsidRPr="002B257B">
              <w:rPr>
                <w:szCs w:val="18"/>
              </w:rPr>
              <w:t>6.079.250</w:t>
            </w:r>
          </w:p>
        </w:tc>
        <w:tc>
          <w:tcPr>
            <w:tcW w:w="1068" w:type="dxa"/>
            <w:tcBorders>
              <w:top w:val="nil"/>
              <w:left w:val="nil"/>
              <w:bottom w:val="single" w:sz="4" w:space="0" w:color="auto"/>
              <w:right w:val="single" w:sz="4" w:space="0" w:color="auto"/>
            </w:tcBorders>
            <w:shd w:val="clear" w:color="auto" w:fill="auto"/>
            <w:noWrap/>
            <w:vAlign w:val="center"/>
            <w:hideMark/>
          </w:tcPr>
          <w:p w14:paraId="1B759FEF" w14:textId="77777777" w:rsidR="00E34764" w:rsidRPr="002B257B" w:rsidRDefault="00E34764" w:rsidP="002B257B">
            <w:pPr>
              <w:pStyle w:val="tabletxt"/>
              <w:jc w:val="right"/>
              <w:rPr>
                <w:szCs w:val="18"/>
              </w:rPr>
            </w:pPr>
            <w:r w:rsidRPr="002B257B">
              <w:rPr>
                <w:szCs w:val="18"/>
              </w:rPr>
              <w:t>6.378.957</w:t>
            </w:r>
          </w:p>
        </w:tc>
        <w:tc>
          <w:tcPr>
            <w:tcW w:w="1068" w:type="dxa"/>
            <w:tcBorders>
              <w:top w:val="nil"/>
              <w:left w:val="nil"/>
              <w:bottom w:val="single" w:sz="4" w:space="0" w:color="auto"/>
              <w:right w:val="single" w:sz="4" w:space="0" w:color="auto"/>
            </w:tcBorders>
            <w:shd w:val="clear" w:color="auto" w:fill="auto"/>
            <w:noWrap/>
            <w:vAlign w:val="center"/>
            <w:hideMark/>
          </w:tcPr>
          <w:p w14:paraId="0A855431" w14:textId="77777777" w:rsidR="00E34764" w:rsidRPr="002B257B" w:rsidRDefault="00E34764" w:rsidP="002B257B">
            <w:pPr>
              <w:pStyle w:val="tabletxt"/>
              <w:jc w:val="right"/>
              <w:rPr>
                <w:szCs w:val="18"/>
              </w:rPr>
            </w:pPr>
            <w:r w:rsidRPr="002B257B">
              <w:rPr>
                <w:szCs w:val="18"/>
              </w:rPr>
              <w:t>6.516.880</w:t>
            </w:r>
          </w:p>
        </w:tc>
        <w:tc>
          <w:tcPr>
            <w:tcW w:w="1068" w:type="dxa"/>
            <w:tcBorders>
              <w:top w:val="nil"/>
              <w:left w:val="nil"/>
              <w:bottom w:val="single" w:sz="4" w:space="0" w:color="auto"/>
              <w:right w:val="single" w:sz="4" w:space="0" w:color="auto"/>
            </w:tcBorders>
            <w:shd w:val="clear" w:color="auto" w:fill="auto"/>
            <w:noWrap/>
            <w:vAlign w:val="center"/>
            <w:hideMark/>
          </w:tcPr>
          <w:p w14:paraId="37FB9067" w14:textId="77777777" w:rsidR="00E34764" w:rsidRPr="002B257B" w:rsidRDefault="00E34764" w:rsidP="002B257B">
            <w:pPr>
              <w:pStyle w:val="tabletxt"/>
              <w:jc w:val="right"/>
              <w:rPr>
                <w:szCs w:val="18"/>
              </w:rPr>
            </w:pPr>
            <w:r w:rsidRPr="002B257B">
              <w:rPr>
                <w:szCs w:val="18"/>
              </w:rPr>
              <w:t>109,75%</w:t>
            </w:r>
          </w:p>
        </w:tc>
      </w:tr>
      <w:tr w:rsidR="00E34764" w:rsidRPr="00E34764" w14:paraId="67336D9F" w14:textId="77777777" w:rsidTr="002B257B">
        <w:trPr>
          <w:trHeight w:val="104"/>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4238AAFB" w14:textId="77777777" w:rsidR="00E34764" w:rsidRPr="00E47585" w:rsidRDefault="00E34764" w:rsidP="002B257B">
            <w:pPr>
              <w:pStyle w:val="tabletxt"/>
              <w:rPr>
                <w:color w:val="FFFFFF" w:themeColor="background1"/>
                <w:szCs w:val="18"/>
              </w:rPr>
            </w:pPr>
            <w:r w:rsidRPr="00E47585">
              <w:rPr>
                <w:color w:val="FFFFFF" w:themeColor="background1"/>
                <w:szCs w:val="18"/>
              </w:rPr>
              <w:t>Ukupni rashodi</w:t>
            </w:r>
          </w:p>
        </w:tc>
        <w:tc>
          <w:tcPr>
            <w:tcW w:w="1067" w:type="dxa"/>
            <w:tcBorders>
              <w:top w:val="nil"/>
              <w:left w:val="nil"/>
              <w:bottom w:val="single" w:sz="4" w:space="0" w:color="auto"/>
              <w:right w:val="single" w:sz="4" w:space="0" w:color="auto"/>
            </w:tcBorders>
            <w:shd w:val="clear" w:color="auto" w:fill="auto"/>
            <w:noWrap/>
            <w:vAlign w:val="center"/>
            <w:hideMark/>
          </w:tcPr>
          <w:p w14:paraId="13043308" w14:textId="77777777" w:rsidR="00E34764" w:rsidRPr="002B257B" w:rsidRDefault="00E34764" w:rsidP="002B257B">
            <w:pPr>
              <w:pStyle w:val="tabletxt"/>
              <w:jc w:val="right"/>
              <w:rPr>
                <w:szCs w:val="18"/>
              </w:rPr>
            </w:pPr>
            <w:r w:rsidRPr="002B257B">
              <w:rPr>
                <w:szCs w:val="18"/>
              </w:rPr>
              <w:t>5.242.307</w:t>
            </w:r>
          </w:p>
        </w:tc>
        <w:tc>
          <w:tcPr>
            <w:tcW w:w="1068" w:type="dxa"/>
            <w:tcBorders>
              <w:top w:val="nil"/>
              <w:left w:val="nil"/>
              <w:bottom w:val="single" w:sz="4" w:space="0" w:color="auto"/>
              <w:right w:val="single" w:sz="4" w:space="0" w:color="auto"/>
            </w:tcBorders>
            <w:shd w:val="clear" w:color="auto" w:fill="auto"/>
            <w:noWrap/>
            <w:vAlign w:val="center"/>
            <w:hideMark/>
          </w:tcPr>
          <w:p w14:paraId="23267733" w14:textId="77777777" w:rsidR="00E34764" w:rsidRPr="002B257B" w:rsidRDefault="00E34764" w:rsidP="002B257B">
            <w:pPr>
              <w:pStyle w:val="tabletxt"/>
              <w:jc w:val="right"/>
              <w:rPr>
                <w:szCs w:val="18"/>
              </w:rPr>
            </w:pPr>
            <w:r w:rsidRPr="002B257B">
              <w:rPr>
                <w:szCs w:val="18"/>
              </w:rPr>
              <w:t>5.237.051</w:t>
            </w:r>
          </w:p>
        </w:tc>
        <w:tc>
          <w:tcPr>
            <w:tcW w:w="1068" w:type="dxa"/>
            <w:tcBorders>
              <w:top w:val="nil"/>
              <w:left w:val="nil"/>
              <w:bottom w:val="single" w:sz="4" w:space="0" w:color="auto"/>
              <w:right w:val="single" w:sz="4" w:space="0" w:color="auto"/>
            </w:tcBorders>
            <w:shd w:val="clear" w:color="auto" w:fill="auto"/>
            <w:noWrap/>
            <w:vAlign w:val="center"/>
            <w:hideMark/>
          </w:tcPr>
          <w:p w14:paraId="15B7A956" w14:textId="77777777" w:rsidR="00E34764" w:rsidRPr="002B257B" w:rsidRDefault="00E34764" w:rsidP="002B257B">
            <w:pPr>
              <w:pStyle w:val="tabletxt"/>
              <w:jc w:val="right"/>
              <w:rPr>
                <w:szCs w:val="18"/>
              </w:rPr>
            </w:pPr>
            <w:r w:rsidRPr="002B257B">
              <w:rPr>
                <w:szCs w:val="18"/>
              </w:rPr>
              <w:t>5.467.170</w:t>
            </w:r>
          </w:p>
        </w:tc>
        <w:tc>
          <w:tcPr>
            <w:tcW w:w="1068" w:type="dxa"/>
            <w:tcBorders>
              <w:top w:val="nil"/>
              <w:left w:val="nil"/>
              <w:bottom w:val="single" w:sz="4" w:space="0" w:color="auto"/>
              <w:right w:val="single" w:sz="4" w:space="0" w:color="auto"/>
            </w:tcBorders>
            <w:shd w:val="clear" w:color="auto" w:fill="auto"/>
            <w:noWrap/>
            <w:vAlign w:val="center"/>
            <w:hideMark/>
          </w:tcPr>
          <w:p w14:paraId="41E7F87F" w14:textId="77777777" w:rsidR="00E34764" w:rsidRPr="002B257B" w:rsidRDefault="00E34764" w:rsidP="002B257B">
            <w:pPr>
              <w:pStyle w:val="tabletxt"/>
              <w:jc w:val="right"/>
              <w:rPr>
                <w:szCs w:val="18"/>
              </w:rPr>
            </w:pPr>
            <w:r w:rsidRPr="002B257B">
              <w:rPr>
                <w:szCs w:val="18"/>
              </w:rPr>
              <w:t>5.652.444</w:t>
            </w:r>
          </w:p>
        </w:tc>
        <w:tc>
          <w:tcPr>
            <w:tcW w:w="1068" w:type="dxa"/>
            <w:tcBorders>
              <w:top w:val="nil"/>
              <w:left w:val="nil"/>
              <w:bottom w:val="single" w:sz="4" w:space="0" w:color="auto"/>
              <w:right w:val="single" w:sz="4" w:space="0" w:color="auto"/>
            </w:tcBorders>
            <w:shd w:val="clear" w:color="auto" w:fill="auto"/>
            <w:noWrap/>
            <w:vAlign w:val="center"/>
            <w:hideMark/>
          </w:tcPr>
          <w:p w14:paraId="7B34F913" w14:textId="77777777" w:rsidR="00E34764" w:rsidRPr="002B257B" w:rsidRDefault="00E34764" w:rsidP="002B257B">
            <w:pPr>
              <w:pStyle w:val="tabletxt"/>
              <w:jc w:val="right"/>
              <w:rPr>
                <w:szCs w:val="18"/>
              </w:rPr>
            </w:pPr>
            <w:r w:rsidRPr="002B257B">
              <w:rPr>
                <w:szCs w:val="18"/>
              </w:rPr>
              <w:t>5.940.435</w:t>
            </w:r>
          </w:p>
        </w:tc>
        <w:tc>
          <w:tcPr>
            <w:tcW w:w="1068" w:type="dxa"/>
            <w:tcBorders>
              <w:top w:val="nil"/>
              <w:left w:val="nil"/>
              <w:bottom w:val="single" w:sz="4" w:space="0" w:color="auto"/>
              <w:right w:val="single" w:sz="4" w:space="0" w:color="auto"/>
            </w:tcBorders>
            <w:shd w:val="clear" w:color="auto" w:fill="auto"/>
            <w:noWrap/>
            <w:vAlign w:val="center"/>
            <w:hideMark/>
          </w:tcPr>
          <w:p w14:paraId="3A443F0B" w14:textId="77777777" w:rsidR="00E34764" w:rsidRPr="002B257B" w:rsidRDefault="00E34764" w:rsidP="002B257B">
            <w:pPr>
              <w:pStyle w:val="tabletxt"/>
              <w:jc w:val="right"/>
              <w:rPr>
                <w:szCs w:val="18"/>
              </w:rPr>
            </w:pPr>
            <w:r w:rsidRPr="002B257B">
              <w:rPr>
                <w:szCs w:val="18"/>
              </w:rPr>
              <w:t>113,32%</w:t>
            </w:r>
          </w:p>
        </w:tc>
      </w:tr>
      <w:tr w:rsidR="00E34764" w:rsidRPr="00E34764" w14:paraId="2B67BFE6" w14:textId="77777777" w:rsidTr="002B257B">
        <w:trPr>
          <w:trHeight w:val="42"/>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3B016ACB" w14:textId="77777777" w:rsidR="00E34764" w:rsidRPr="00E47585" w:rsidRDefault="00E34764" w:rsidP="002B257B">
            <w:pPr>
              <w:pStyle w:val="tabletxt"/>
              <w:rPr>
                <w:color w:val="FFFFFF" w:themeColor="background1"/>
                <w:szCs w:val="18"/>
              </w:rPr>
            </w:pPr>
            <w:r w:rsidRPr="00E47585">
              <w:rPr>
                <w:color w:val="FFFFFF" w:themeColor="background1"/>
                <w:szCs w:val="18"/>
              </w:rPr>
              <w:t>Dobit razdoblja</w:t>
            </w:r>
          </w:p>
        </w:tc>
        <w:tc>
          <w:tcPr>
            <w:tcW w:w="1067" w:type="dxa"/>
            <w:tcBorders>
              <w:top w:val="nil"/>
              <w:left w:val="nil"/>
              <w:bottom w:val="single" w:sz="4" w:space="0" w:color="auto"/>
              <w:right w:val="single" w:sz="4" w:space="0" w:color="auto"/>
            </w:tcBorders>
            <w:shd w:val="clear" w:color="auto" w:fill="auto"/>
            <w:noWrap/>
            <w:vAlign w:val="center"/>
            <w:hideMark/>
          </w:tcPr>
          <w:p w14:paraId="406AB527" w14:textId="77777777" w:rsidR="00E34764" w:rsidRPr="002B257B" w:rsidRDefault="00E34764" w:rsidP="002B257B">
            <w:pPr>
              <w:pStyle w:val="tabletxt"/>
              <w:jc w:val="right"/>
              <w:rPr>
                <w:szCs w:val="18"/>
              </w:rPr>
            </w:pPr>
            <w:r w:rsidRPr="002B257B">
              <w:rPr>
                <w:szCs w:val="18"/>
              </w:rPr>
              <w:t>763.603</w:t>
            </w:r>
          </w:p>
        </w:tc>
        <w:tc>
          <w:tcPr>
            <w:tcW w:w="1068" w:type="dxa"/>
            <w:tcBorders>
              <w:top w:val="nil"/>
              <w:left w:val="nil"/>
              <w:bottom w:val="single" w:sz="4" w:space="0" w:color="auto"/>
              <w:right w:val="single" w:sz="4" w:space="0" w:color="auto"/>
            </w:tcBorders>
            <w:shd w:val="clear" w:color="auto" w:fill="auto"/>
            <w:noWrap/>
            <w:vAlign w:val="center"/>
            <w:hideMark/>
          </w:tcPr>
          <w:p w14:paraId="58B476FA" w14:textId="77777777" w:rsidR="00E34764" w:rsidRPr="002B257B" w:rsidRDefault="00E34764" w:rsidP="002B257B">
            <w:pPr>
              <w:pStyle w:val="tabletxt"/>
              <w:jc w:val="right"/>
              <w:rPr>
                <w:szCs w:val="18"/>
              </w:rPr>
            </w:pPr>
            <w:r w:rsidRPr="002B257B">
              <w:rPr>
                <w:szCs w:val="18"/>
              </w:rPr>
              <w:t>526.453</w:t>
            </w:r>
          </w:p>
        </w:tc>
        <w:tc>
          <w:tcPr>
            <w:tcW w:w="1068" w:type="dxa"/>
            <w:tcBorders>
              <w:top w:val="nil"/>
              <w:left w:val="nil"/>
              <w:bottom w:val="single" w:sz="4" w:space="0" w:color="auto"/>
              <w:right w:val="single" w:sz="4" w:space="0" w:color="auto"/>
            </w:tcBorders>
            <w:shd w:val="clear" w:color="auto" w:fill="auto"/>
            <w:noWrap/>
            <w:vAlign w:val="center"/>
            <w:hideMark/>
          </w:tcPr>
          <w:p w14:paraId="1E453E8C" w14:textId="77777777" w:rsidR="00E34764" w:rsidRPr="002B257B" w:rsidRDefault="00E34764" w:rsidP="002B257B">
            <w:pPr>
              <w:pStyle w:val="tabletxt"/>
              <w:jc w:val="right"/>
              <w:rPr>
                <w:szCs w:val="18"/>
              </w:rPr>
            </w:pPr>
            <w:r w:rsidRPr="002B257B">
              <w:rPr>
                <w:szCs w:val="18"/>
              </w:rPr>
              <w:t>613.237</w:t>
            </w:r>
          </w:p>
        </w:tc>
        <w:tc>
          <w:tcPr>
            <w:tcW w:w="1068" w:type="dxa"/>
            <w:tcBorders>
              <w:top w:val="nil"/>
              <w:left w:val="nil"/>
              <w:bottom w:val="single" w:sz="4" w:space="0" w:color="auto"/>
              <w:right w:val="single" w:sz="4" w:space="0" w:color="auto"/>
            </w:tcBorders>
            <w:shd w:val="clear" w:color="auto" w:fill="auto"/>
            <w:noWrap/>
            <w:vAlign w:val="center"/>
            <w:hideMark/>
          </w:tcPr>
          <w:p w14:paraId="617D3FA6" w14:textId="77777777" w:rsidR="00E34764" w:rsidRPr="002B257B" w:rsidRDefault="00E34764" w:rsidP="002B257B">
            <w:pPr>
              <w:pStyle w:val="tabletxt"/>
              <w:jc w:val="right"/>
              <w:rPr>
                <w:szCs w:val="18"/>
              </w:rPr>
            </w:pPr>
            <w:r w:rsidRPr="002B257B">
              <w:rPr>
                <w:szCs w:val="18"/>
              </w:rPr>
              <w:t>634.248</w:t>
            </w:r>
          </w:p>
        </w:tc>
        <w:tc>
          <w:tcPr>
            <w:tcW w:w="1068" w:type="dxa"/>
            <w:tcBorders>
              <w:top w:val="nil"/>
              <w:left w:val="nil"/>
              <w:bottom w:val="single" w:sz="4" w:space="0" w:color="auto"/>
              <w:right w:val="single" w:sz="4" w:space="0" w:color="auto"/>
            </w:tcBorders>
            <w:shd w:val="clear" w:color="auto" w:fill="auto"/>
            <w:noWrap/>
            <w:vAlign w:val="center"/>
            <w:hideMark/>
          </w:tcPr>
          <w:p w14:paraId="1CFFA563" w14:textId="77777777" w:rsidR="00E34764" w:rsidRPr="002B257B" w:rsidRDefault="00E34764" w:rsidP="002B257B">
            <w:pPr>
              <w:pStyle w:val="tabletxt"/>
              <w:jc w:val="right"/>
              <w:rPr>
                <w:szCs w:val="18"/>
              </w:rPr>
            </w:pPr>
            <w:r w:rsidRPr="002B257B">
              <w:rPr>
                <w:szCs w:val="18"/>
              </w:rPr>
              <w:t>518.887</w:t>
            </w:r>
          </w:p>
        </w:tc>
        <w:tc>
          <w:tcPr>
            <w:tcW w:w="1068" w:type="dxa"/>
            <w:tcBorders>
              <w:top w:val="nil"/>
              <w:left w:val="nil"/>
              <w:bottom w:val="single" w:sz="4" w:space="0" w:color="auto"/>
              <w:right w:val="single" w:sz="4" w:space="0" w:color="auto"/>
            </w:tcBorders>
            <w:shd w:val="clear" w:color="auto" w:fill="auto"/>
            <w:noWrap/>
            <w:vAlign w:val="center"/>
            <w:hideMark/>
          </w:tcPr>
          <w:p w14:paraId="167897E4" w14:textId="77777777" w:rsidR="00E34764" w:rsidRPr="002B257B" w:rsidRDefault="00E34764" w:rsidP="002B257B">
            <w:pPr>
              <w:pStyle w:val="tabletxt"/>
              <w:jc w:val="right"/>
              <w:rPr>
                <w:szCs w:val="18"/>
              </w:rPr>
            </w:pPr>
            <w:r w:rsidRPr="002B257B">
              <w:rPr>
                <w:szCs w:val="18"/>
              </w:rPr>
              <w:t>67,95%</w:t>
            </w:r>
          </w:p>
        </w:tc>
      </w:tr>
      <w:tr w:rsidR="00E34764" w:rsidRPr="00E34764" w14:paraId="7CAD1CAF" w14:textId="77777777" w:rsidTr="002B257B">
        <w:trPr>
          <w:trHeight w:val="12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4639ABA1" w14:textId="77777777" w:rsidR="00E34764" w:rsidRPr="00E47585" w:rsidRDefault="00E34764" w:rsidP="002B257B">
            <w:pPr>
              <w:pStyle w:val="tabletxt"/>
              <w:rPr>
                <w:color w:val="FFFFFF" w:themeColor="background1"/>
                <w:szCs w:val="18"/>
              </w:rPr>
            </w:pPr>
            <w:r w:rsidRPr="00E47585">
              <w:rPr>
                <w:color w:val="FFFFFF" w:themeColor="background1"/>
                <w:szCs w:val="18"/>
              </w:rPr>
              <w:t>Gubitak razdoblja</w:t>
            </w:r>
          </w:p>
        </w:tc>
        <w:tc>
          <w:tcPr>
            <w:tcW w:w="1067" w:type="dxa"/>
            <w:tcBorders>
              <w:top w:val="nil"/>
              <w:left w:val="nil"/>
              <w:bottom w:val="single" w:sz="4" w:space="0" w:color="auto"/>
              <w:right w:val="single" w:sz="4" w:space="0" w:color="auto"/>
            </w:tcBorders>
            <w:shd w:val="clear" w:color="auto" w:fill="auto"/>
            <w:noWrap/>
            <w:vAlign w:val="center"/>
            <w:hideMark/>
          </w:tcPr>
          <w:p w14:paraId="2D7A077F" w14:textId="77777777" w:rsidR="00E34764" w:rsidRPr="002B257B" w:rsidRDefault="00E34764" w:rsidP="002B257B">
            <w:pPr>
              <w:pStyle w:val="tabletxt"/>
              <w:jc w:val="right"/>
              <w:rPr>
                <w:szCs w:val="18"/>
              </w:rPr>
            </w:pPr>
            <w:r w:rsidRPr="002B257B">
              <w:rPr>
                <w:szCs w:val="18"/>
              </w:rPr>
              <w:t>103.842</w:t>
            </w:r>
          </w:p>
        </w:tc>
        <w:tc>
          <w:tcPr>
            <w:tcW w:w="1068" w:type="dxa"/>
            <w:tcBorders>
              <w:top w:val="nil"/>
              <w:left w:val="nil"/>
              <w:bottom w:val="single" w:sz="4" w:space="0" w:color="auto"/>
              <w:right w:val="single" w:sz="4" w:space="0" w:color="auto"/>
            </w:tcBorders>
            <w:shd w:val="clear" w:color="auto" w:fill="auto"/>
            <w:noWrap/>
            <w:vAlign w:val="center"/>
            <w:hideMark/>
          </w:tcPr>
          <w:p w14:paraId="3D7E5BF8" w14:textId="77777777" w:rsidR="00E34764" w:rsidRPr="002B257B" w:rsidRDefault="00E34764" w:rsidP="002B257B">
            <w:pPr>
              <w:pStyle w:val="tabletxt"/>
              <w:jc w:val="right"/>
              <w:rPr>
                <w:szCs w:val="18"/>
              </w:rPr>
            </w:pPr>
            <w:r w:rsidRPr="002B257B">
              <w:rPr>
                <w:szCs w:val="18"/>
              </w:rPr>
              <w:t>113.053</w:t>
            </w:r>
          </w:p>
        </w:tc>
        <w:tc>
          <w:tcPr>
            <w:tcW w:w="1068" w:type="dxa"/>
            <w:tcBorders>
              <w:top w:val="nil"/>
              <w:left w:val="nil"/>
              <w:bottom w:val="single" w:sz="4" w:space="0" w:color="auto"/>
              <w:right w:val="single" w:sz="4" w:space="0" w:color="auto"/>
            </w:tcBorders>
            <w:shd w:val="clear" w:color="auto" w:fill="auto"/>
            <w:noWrap/>
            <w:vAlign w:val="center"/>
            <w:hideMark/>
          </w:tcPr>
          <w:p w14:paraId="339B01DA" w14:textId="77777777" w:rsidR="00E34764" w:rsidRPr="002B257B" w:rsidRDefault="00E34764" w:rsidP="002B257B">
            <w:pPr>
              <w:pStyle w:val="tabletxt"/>
              <w:jc w:val="right"/>
              <w:rPr>
                <w:szCs w:val="18"/>
              </w:rPr>
            </w:pPr>
            <w:r w:rsidRPr="002B257B">
              <w:rPr>
                <w:szCs w:val="18"/>
              </w:rPr>
              <w:t>79.384</w:t>
            </w:r>
          </w:p>
        </w:tc>
        <w:tc>
          <w:tcPr>
            <w:tcW w:w="1068" w:type="dxa"/>
            <w:tcBorders>
              <w:top w:val="nil"/>
              <w:left w:val="nil"/>
              <w:bottom w:val="single" w:sz="4" w:space="0" w:color="auto"/>
              <w:right w:val="single" w:sz="4" w:space="0" w:color="auto"/>
            </w:tcBorders>
            <w:shd w:val="clear" w:color="auto" w:fill="auto"/>
            <w:noWrap/>
            <w:vAlign w:val="center"/>
            <w:hideMark/>
          </w:tcPr>
          <w:p w14:paraId="5CA2C9FB" w14:textId="77777777" w:rsidR="00E34764" w:rsidRPr="002B257B" w:rsidRDefault="00E34764" w:rsidP="002B257B">
            <w:pPr>
              <w:pStyle w:val="tabletxt"/>
              <w:jc w:val="right"/>
              <w:rPr>
                <w:szCs w:val="18"/>
              </w:rPr>
            </w:pPr>
            <w:r w:rsidRPr="002B257B">
              <w:rPr>
                <w:szCs w:val="18"/>
              </w:rPr>
              <w:t>52.203</w:t>
            </w:r>
          </w:p>
        </w:tc>
        <w:tc>
          <w:tcPr>
            <w:tcW w:w="1068" w:type="dxa"/>
            <w:tcBorders>
              <w:top w:val="nil"/>
              <w:left w:val="nil"/>
              <w:bottom w:val="single" w:sz="4" w:space="0" w:color="auto"/>
              <w:right w:val="single" w:sz="4" w:space="0" w:color="auto"/>
            </w:tcBorders>
            <w:shd w:val="clear" w:color="auto" w:fill="auto"/>
            <w:noWrap/>
            <w:vAlign w:val="center"/>
            <w:hideMark/>
          </w:tcPr>
          <w:p w14:paraId="6C2B8E74" w14:textId="77777777" w:rsidR="00E34764" w:rsidRPr="002B257B" w:rsidRDefault="00E34764" w:rsidP="002B257B">
            <w:pPr>
              <w:pStyle w:val="tabletxt"/>
              <w:jc w:val="right"/>
              <w:rPr>
                <w:szCs w:val="18"/>
              </w:rPr>
            </w:pPr>
            <w:r w:rsidRPr="002B257B">
              <w:rPr>
                <w:szCs w:val="18"/>
              </w:rPr>
              <w:t>51.815</w:t>
            </w:r>
          </w:p>
        </w:tc>
        <w:tc>
          <w:tcPr>
            <w:tcW w:w="1068" w:type="dxa"/>
            <w:tcBorders>
              <w:top w:val="nil"/>
              <w:left w:val="nil"/>
              <w:bottom w:val="single" w:sz="4" w:space="0" w:color="auto"/>
              <w:right w:val="single" w:sz="4" w:space="0" w:color="auto"/>
            </w:tcBorders>
            <w:shd w:val="clear" w:color="auto" w:fill="auto"/>
            <w:noWrap/>
            <w:vAlign w:val="center"/>
            <w:hideMark/>
          </w:tcPr>
          <w:p w14:paraId="5E04E409" w14:textId="77777777" w:rsidR="00E34764" w:rsidRPr="002B257B" w:rsidRDefault="00E34764" w:rsidP="002B257B">
            <w:pPr>
              <w:pStyle w:val="tabletxt"/>
              <w:jc w:val="right"/>
              <w:rPr>
                <w:szCs w:val="18"/>
              </w:rPr>
            </w:pPr>
            <w:r w:rsidRPr="002B257B">
              <w:rPr>
                <w:szCs w:val="18"/>
              </w:rPr>
              <w:t>49,90%</w:t>
            </w:r>
          </w:p>
        </w:tc>
      </w:tr>
      <w:tr w:rsidR="00E34764" w:rsidRPr="00E34764" w14:paraId="1043E345" w14:textId="77777777" w:rsidTr="002B257B">
        <w:trPr>
          <w:trHeight w:val="98"/>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1832699A" w14:textId="77777777" w:rsidR="00E34764" w:rsidRPr="00E47585" w:rsidRDefault="00E34764" w:rsidP="002B257B">
            <w:pPr>
              <w:pStyle w:val="tabletxt"/>
              <w:rPr>
                <w:color w:val="FFFFFF" w:themeColor="background1"/>
                <w:szCs w:val="18"/>
              </w:rPr>
            </w:pPr>
            <w:r w:rsidRPr="00E47585">
              <w:rPr>
                <w:color w:val="FFFFFF" w:themeColor="background1"/>
                <w:szCs w:val="18"/>
              </w:rPr>
              <w:t>Dobit razdoblja (+) ili gubitak razdoblja (-)</w:t>
            </w:r>
          </w:p>
        </w:tc>
        <w:tc>
          <w:tcPr>
            <w:tcW w:w="1067" w:type="dxa"/>
            <w:tcBorders>
              <w:top w:val="nil"/>
              <w:left w:val="nil"/>
              <w:bottom w:val="single" w:sz="4" w:space="0" w:color="auto"/>
              <w:right w:val="single" w:sz="4" w:space="0" w:color="auto"/>
            </w:tcBorders>
            <w:shd w:val="clear" w:color="auto" w:fill="auto"/>
            <w:noWrap/>
            <w:vAlign w:val="center"/>
            <w:hideMark/>
          </w:tcPr>
          <w:p w14:paraId="6109EE84" w14:textId="77777777" w:rsidR="00E34764" w:rsidRPr="002B257B" w:rsidRDefault="00E34764" w:rsidP="002B257B">
            <w:pPr>
              <w:pStyle w:val="tabletxt"/>
              <w:jc w:val="right"/>
              <w:rPr>
                <w:szCs w:val="18"/>
              </w:rPr>
            </w:pPr>
            <w:r w:rsidRPr="002B257B">
              <w:rPr>
                <w:szCs w:val="18"/>
              </w:rPr>
              <w:t>659.762</w:t>
            </w:r>
          </w:p>
        </w:tc>
        <w:tc>
          <w:tcPr>
            <w:tcW w:w="1068" w:type="dxa"/>
            <w:tcBorders>
              <w:top w:val="nil"/>
              <w:left w:val="nil"/>
              <w:bottom w:val="single" w:sz="4" w:space="0" w:color="auto"/>
              <w:right w:val="single" w:sz="4" w:space="0" w:color="auto"/>
            </w:tcBorders>
            <w:shd w:val="clear" w:color="auto" w:fill="auto"/>
            <w:noWrap/>
            <w:vAlign w:val="center"/>
            <w:hideMark/>
          </w:tcPr>
          <w:p w14:paraId="55103949" w14:textId="77777777" w:rsidR="00E34764" w:rsidRPr="002B257B" w:rsidRDefault="00E34764" w:rsidP="002B257B">
            <w:pPr>
              <w:pStyle w:val="tabletxt"/>
              <w:jc w:val="right"/>
              <w:rPr>
                <w:szCs w:val="18"/>
              </w:rPr>
            </w:pPr>
            <w:r w:rsidRPr="002B257B">
              <w:rPr>
                <w:szCs w:val="18"/>
              </w:rPr>
              <w:t>413.400</w:t>
            </w:r>
          </w:p>
        </w:tc>
        <w:tc>
          <w:tcPr>
            <w:tcW w:w="1068" w:type="dxa"/>
            <w:tcBorders>
              <w:top w:val="nil"/>
              <w:left w:val="nil"/>
              <w:bottom w:val="single" w:sz="4" w:space="0" w:color="auto"/>
              <w:right w:val="single" w:sz="4" w:space="0" w:color="auto"/>
            </w:tcBorders>
            <w:shd w:val="clear" w:color="auto" w:fill="auto"/>
            <w:noWrap/>
            <w:vAlign w:val="center"/>
            <w:hideMark/>
          </w:tcPr>
          <w:p w14:paraId="6A727E9B" w14:textId="77777777" w:rsidR="00E34764" w:rsidRPr="002B257B" w:rsidRDefault="00E34764" w:rsidP="002B257B">
            <w:pPr>
              <w:pStyle w:val="tabletxt"/>
              <w:jc w:val="right"/>
              <w:rPr>
                <w:szCs w:val="18"/>
              </w:rPr>
            </w:pPr>
            <w:r w:rsidRPr="002B257B">
              <w:rPr>
                <w:szCs w:val="18"/>
              </w:rPr>
              <w:t>533.853</w:t>
            </w:r>
          </w:p>
        </w:tc>
        <w:tc>
          <w:tcPr>
            <w:tcW w:w="1068" w:type="dxa"/>
            <w:tcBorders>
              <w:top w:val="nil"/>
              <w:left w:val="nil"/>
              <w:bottom w:val="single" w:sz="4" w:space="0" w:color="auto"/>
              <w:right w:val="single" w:sz="4" w:space="0" w:color="auto"/>
            </w:tcBorders>
            <w:shd w:val="clear" w:color="auto" w:fill="auto"/>
            <w:noWrap/>
            <w:vAlign w:val="center"/>
            <w:hideMark/>
          </w:tcPr>
          <w:p w14:paraId="456FFF63" w14:textId="77777777" w:rsidR="00E34764" w:rsidRPr="002B257B" w:rsidRDefault="00E34764" w:rsidP="002B257B">
            <w:pPr>
              <w:pStyle w:val="tabletxt"/>
              <w:jc w:val="right"/>
              <w:rPr>
                <w:szCs w:val="18"/>
              </w:rPr>
            </w:pPr>
            <w:r w:rsidRPr="002B257B">
              <w:rPr>
                <w:szCs w:val="18"/>
              </w:rPr>
              <w:t>582.045</w:t>
            </w:r>
          </w:p>
        </w:tc>
        <w:tc>
          <w:tcPr>
            <w:tcW w:w="1068" w:type="dxa"/>
            <w:tcBorders>
              <w:top w:val="nil"/>
              <w:left w:val="nil"/>
              <w:bottom w:val="single" w:sz="4" w:space="0" w:color="auto"/>
              <w:right w:val="single" w:sz="4" w:space="0" w:color="auto"/>
            </w:tcBorders>
            <w:shd w:val="clear" w:color="auto" w:fill="auto"/>
            <w:noWrap/>
            <w:vAlign w:val="center"/>
            <w:hideMark/>
          </w:tcPr>
          <w:p w14:paraId="74A55533" w14:textId="77777777" w:rsidR="00E34764" w:rsidRPr="002B257B" w:rsidRDefault="00E34764" w:rsidP="002B257B">
            <w:pPr>
              <w:pStyle w:val="tabletxt"/>
              <w:jc w:val="right"/>
              <w:rPr>
                <w:szCs w:val="18"/>
              </w:rPr>
            </w:pPr>
            <w:r w:rsidRPr="002B257B">
              <w:rPr>
                <w:szCs w:val="18"/>
              </w:rPr>
              <w:t>467.072</w:t>
            </w:r>
          </w:p>
        </w:tc>
        <w:tc>
          <w:tcPr>
            <w:tcW w:w="1068" w:type="dxa"/>
            <w:tcBorders>
              <w:top w:val="nil"/>
              <w:left w:val="nil"/>
              <w:bottom w:val="single" w:sz="4" w:space="0" w:color="auto"/>
              <w:right w:val="single" w:sz="4" w:space="0" w:color="auto"/>
            </w:tcBorders>
            <w:shd w:val="clear" w:color="auto" w:fill="auto"/>
            <w:noWrap/>
            <w:vAlign w:val="center"/>
            <w:hideMark/>
          </w:tcPr>
          <w:p w14:paraId="05C27660" w14:textId="77777777" w:rsidR="00E34764" w:rsidRPr="002B257B" w:rsidRDefault="00E34764" w:rsidP="002B257B">
            <w:pPr>
              <w:pStyle w:val="tabletxt"/>
              <w:jc w:val="right"/>
              <w:rPr>
                <w:szCs w:val="18"/>
              </w:rPr>
            </w:pPr>
            <w:r w:rsidRPr="002B257B">
              <w:rPr>
                <w:szCs w:val="18"/>
              </w:rPr>
              <w:t>70,79%</w:t>
            </w:r>
          </w:p>
        </w:tc>
      </w:tr>
      <w:tr w:rsidR="00E34764" w:rsidRPr="00E34764" w14:paraId="2AF4EE7F"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17728FDB" w14:textId="77777777" w:rsidR="00E34764" w:rsidRPr="00E47585" w:rsidRDefault="00E34764" w:rsidP="002B257B">
            <w:pPr>
              <w:pStyle w:val="tabletxt"/>
              <w:rPr>
                <w:color w:val="FFFFFF" w:themeColor="background1"/>
                <w:szCs w:val="18"/>
              </w:rPr>
            </w:pPr>
            <w:r w:rsidRPr="00E47585">
              <w:rPr>
                <w:color w:val="FFFFFF" w:themeColor="background1"/>
                <w:szCs w:val="18"/>
              </w:rPr>
              <w:t>Prosječna mjesečna neto plaća po zaposlenom</w:t>
            </w:r>
          </w:p>
        </w:tc>
        <w:tc>
          <w:tcPr>
            <w:tcW w:w="1067" w:type="dxa"/>
            <w:tcBorders>
              <w:top w:val="nil"/>
              <w:left w:val="nil"/>
              <w:bottom w:val="single" w:sz="4" w:space="0" w:color="auto"/>
              <w:right w:val="single" w:sz="4" w:space="0" w:color="auto"/>
            </w:tcBorders>
            <w:shd w:val="clear" w:color="auto" w:fill="auto"/>
            <w:noWrap/>
            <w:vAlign w:val="center"/>
            <w:hideMark/>
          </w:tcPr>
          <w:p w14:paraId="21058A78" w14:textId="77777777" w:rsidR="00E34764" w:rsidRPr="002B257B" w:rsidRDefault="00E34764" w:rsidP="002B257B">
            <w:pPr>
              <w:pStyle w:val="tabletxt"/>
              <w:jc w:val="right"/>
              <w:rPr>
                <w:szCs w:val="18"/>
              </w:rPr>
            </w:pPr>
            <w:r w:rsidRPr="002B257B">
              <w:rPr>
                <w:szCs w:val="18"/>
              </w:rPr>
              <w:t>4.858</w:t>
            </w:r>
          </w:p>
        </w:tc>
        <w:tc>
          <w:tcPr>
            <w:tcW w:w="1068" w:type="dxa"/>
            <w:tcBorders>
              <w:top w:val="nil"/>
              <w:left w:val="nil"/>
              <w:bottom w:val="single" w:sz="4" w:space="0" w:color="auto"/>
              <w:right w:val="single" w:sz="4" w:space="0" w:color="auto"/>
            </w:tcBorders>
            <w:shd w:val="clear" w:color="auto" w:fill="auto"/>
            <w:noWrap/>
            <w:vAlign w:val="center"/>
            <w:hideMark/>
          </w:tcPr>
          <w:p w14:paraId="6C9DE320" w14:textId="77777777" w:rsidR="00E34764" w:rsidRPr="002B257B" w:rsidRDefault="00E34764" w:rsidP="002B257B">
            <w:pPr>
              <w:pStyle w:val="tabletxt"/>
              <w:jc w:val="right"/>
              <w:rPr>
                <w:szCs w:val="18"/>
              </w:rPr>
            </w:pPr>
            <w:r w:rsidRPr="002B257B">
              <w:rPr>
                <w:szCs w:val="18"/>
              </w:rPr>
              <w:t>4.919</w:t>
            </w:r>
          </w:p>
        </w:tc>
        <w:tc>
          <w:tcPr>
            <w:tcW w:w="1068" w:type="dxa"/>
            <w:tcBorders>
              <w:top w:val="nil"/>
              <w:left w:val="nil"/>
              <w:bottom w:val="single" w:sz="4" w:space="0" w:color="auto"/>
              <w:right w:val="single" w:sz="4" w:space="0" w:color="auto"/>
            </w:tcBorders>
            <w:shd w:val="clear" w:color="auto" w:fill="auto"/>
            <w:noWrap/>
            <w:vAlign w:val="center"/>
            <w:hideMark/>
          </w:tcPr>
          <w:p w14:paraId="001F320C" w14:textId="77777777" w:rsidR="00E34764" w:rsidRPr="002B257B" w:rsidRDefault="00E34764" w:rsidP="002B257B">
            <w:pPr>
              <w:pStyle w:val="tabletxt"/>
              <w:jc w:val="right"/>
              <w:rPr>
                <w:szCs w:val="18"/>
              </w:rPr>
            </w:pPr>
            <w:r w:rsidRPr="002B257B">
              <w:rPr>
                <w:szCs w:val="18"/>
              </w:rPr>
              <w:t>4.976</w:t>
            </w:r>
          </w:p>
        </w:tc>
        <w:tc>
          <w:tcPr>
            <w:tcW w:w="1068" w:type="dxa"/>
            <w:tcBorders>
              <w:top w:val="nil"/>
              <w:left w:val="nil"/>
              <w:bottom w:val="single" w:sz="4" w:space="0" w:color="auto"/>
              <w:right w:val="single" w:sz="4" w:space="0" w:color="auto"/>
            </w:tcBorders>
            <w:shd w:val="clear" w:color="auto" w:fill="auto"/>
            <w:noWrap/>
            <w:vAlign w:val="center"/>
            <w:hideMark/>
          </w:tcPr>
          <w:p w14:paraId="47CFADBB" w14:textId="77777777" w:rsidR="00E34764" w:rsidRPr="002B257B" w:rsidRDefault="00E34764" w:rsidP="002B257B">
            <w:pPr>
              <w:pStyle w:val="tabletxt"/>
              <w:jc w:val="right"/>
              <w:rPr>
                <w:szCs w:val="18"/>
              </w:rPr>
            </w:pPr>
            <w:r w:rsidRPr="002B257B">
              <w:rPr>
                <w:szCs w:val="18"/>
              </w:rPr>
              <w:t>5.220</w:t>
            </w:r>
          </w:p>
        </w:tc>
        <w:tc>
          <w:tcPr>
            <w:tcW w:w="1068" w:type="dxa"/>
            <w:tcBorders>
              <w:top w:val="nil"/>
              <w:left w:val="nil"/>
              <w:bottom w:val="single" w:sz="4" w:space="0" w:color="auto"/>
              <w:right w:val="single" w:sz="4" w:space="0" w:color="auto"/>
            </w:tcBorders>
            <w:shd w:val="clear" w:color="auto" w:fill="auto"/>
            <w:noWrap/>
            <w:vAlign w:val="center"/>
            <w:hideMark/>
          </w:tcPr>
          <w:p w14:paraId="0548C1B2" w14:textId="77777777" w:rsidR="00E34764" w:rsidRPr="002B257B" w:rsidRDefault="00E34764" w:rsidP="002B257B">
            <w:pPr>
              <w:pStyle w:val="tabletxt"/>
              <w:jc w:val="right"/>
              <w:rPr>
                <w:szCs w:val="18"/>
              </w:rPr>
            </w:pPr>
            <w:r w:rsidRPr="002B257B">
              <w:rPr>
                <w:szCs w:val="18"/>
              </w:rPr>
              <w:t>5.300</w:t>
            </w:r>
          </w:p>
        </w:tc>
        <w:tc>
          <w:tcPr>
            <w:tcW w:w="1068" w:type="dxa"/>
            <w:tcBorders>
              <w:top w:val="nil"/>
              <w:left w:val="nil"/>
              <w:bottom w:val="single" w:sz="4" w:space="0" w:color="auto"/>
              <w:right w:val="single" w:sz="4" w:space="0" w:color="auto"/>
            </w:tcBorders>
            <w:shd w:val="clear" w:color="auto" w:fill="auto"/>
            <w:noWrap/>
            <w:vAlign w:val="center"/>
            <w:hideMark/>
          </w:tcPr>
          <w:p w14:paraId="533B7499" w14:textId="77777777" w:rsidR="00E34764" w:rsidRPr="002B257B" w:rsidRDefault="00E34764" w:rsidP="002B257B">
            <w:pPr>
              <w:pStyle w:val="tabletxt"/>
              <w:jc w:val="right"/>
              <w:rPr>
                <w:szCs w:val="18"/>
              </w:rPr>
            </w:pPr>
            <w:r w:rsidRPr="002B257B">
              <w:rPr>
                <w:szCs w:val="18"/>
              </w:rPr>
              <w:t>109,10%</w:t>
            </w:r>
          </w:p>
        </w:tc>
      </w:tr>
      <w:tr w:rsidR="00E34764" w:rsidRPr="00E34764" w14:paraId="6C22C121"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116E3A9B" w14:textId="77777777" w:rsidR="00E34764" w:rsidRPr="00E47585" w:rsidRDefault="00E34764" w:rsidP="002B257B">
            <w:pPr>
              <w:pStyle w:val="tabletxt"/>
              <w:rPr>
                <w:color w:val="FFFFFF" w:themeColor="background1"/>
                <w:szCs w:val="18"/>
              </w:rPr>
            </w:pPr>
            <w:r w:rsidRPr="00E47585">
              <w:rPr>
                <w:color w:val="FFFFFF" w:themeColor="background1"/>
                <w:szCs w:val="18"/>
              </w:rPr>
              <w:t>Broj izvoznika</w:t>
            </w:r>
          </w:p>
        </w:tc>
        <w:tc>
          <w:tcPr>
            <w:tcW w:w="1067" w:type="dxa"/>
            <w:tcBorders>
              <w:top w:val="nil"/>
              <w:left w:val="nil"/>
              <w:bottom w:val="single" w:sz="4" w:space="0" w:color="auto"/>
              <w:right w:val="single" w:sz="4" w:space="0" w:color="auto"/>
            </w:tcBorders>
            <w:shd w:val="clear" w:color="auto" w:fill="auto"/>
            <w:noWrap/>
            <w:vAlign w:val="center"/>
            <w:hideMark/>
          </w:tcPr>
          <w:p w14:paraId="4CCB1630" w14:textId="77777777" w:rsidR="00E34764" w:rsidRPr="002B257B" w:rsidRDefault="00E34764" w:rsidP="002B257B">
            <w:pPr>
              <w:pStyle w:val="tabletxt"/>
              <w:jc w:val="right"/>
              <w:rPr>
                <w:szCs w:val="18"/>
              </w:rPr>
            </w:pPr>
            <w:r w:rsidRPr="002B257B">
              <w:rPr>
                <w:szCs w:val="18"/>
              </w:rPr>
              <w:t>119</w:t>
            </w:r>
          </w:p>
        </w:tc>
        <w:tc>
          <w:tcPr>
            <w:tcW w:w="1068" w:type="dxa"/>
            <w:tcBorders>
              <w:top w:val="nil"/>
              <w:left w:val="nil"/>
              <w:bottom w:val="single" w:sz="4" w:space="0" w:color="auto"/>
              <w:right w:val="single" w:sz="4" w:space="0" w:color="auto"/>
            </w:tcBorders>
            <w:shd w:val="clear" w:color="auto" w:fill="auto"/>
            <w:noWrap/>
            <w:vAlign w:val="center"/>
            <w:hideMark/>
          </w:tcPr>
          <w:p w14:paraId="261F0D06" w14:textId="77777777" w:rsidR="00E34764" w:rsidRPr="002B257B" w:rsidRDefault="00E34764" w:rsidP="002B257B">
            <w:pPr>
              <w:pStyle w:val="tabletxt"/>
              <w:jc w:val="right"/>
              <w:rPr>
                <w:szCs w:val="18"/>
              </w:rPr>
            </w:pPr>
            <w:r w:rsidRPr="002B257B">
              <w:rPr>
                <w:szCs w:val="18"/>
              </w:rPr>
              <w:t>144</w:t>
            </w:r>
          </w:p>
        </w:tc>
        <w:tc>
          <w:tcPr>
            <w:tcW w:w="1068" w:type="dxa"/>
            <w:tcBorders>
              <w:top w:val="nil"/>
              <w:left w:val="nil"/>
              <w:bottom w:val="single" w:sz="4" w:space="0" w:color="auto"/>
              <w:right w:val="single" w:sz="4" w:space="0" w:color="auto"/>
            </w:tcBorders>
            <w:shd w:val="clear" w:color="auto" w:fill="auto"/>
            <w:noWrap/>
            <w:vAlign w:val="center"/>
            <w:hideMark/>
          </w:tcPr>
          <w:p w14:paraId="10437400" w14:textId="77777777" w:rsidR="00E34764" w:rsidRPr="002B257B" w:rsidRDefault="00E34764" w:rsidP="002B257B">
            <w:pPr>
              <w:pStyle w:val="tabletxt"/>
              <w:jc w:val="right"/>
              <w:rPr>
                <w:szCs w:val="18"/>
              </w:rPr>
            </w:pPr>
            <w:r w:rsidRPr="002B257B">
              <w:rPr>
                <w:szCs w:val="18"/>
              </w:rPr>
              <w:t>139</w:t>
            </w:r>
          </w:p>
        </w:tc>
        <w:tc>
          <w:tcPr>
            <w:tcW w:w="1068" w:type="dxa"/>
            <w:tcBorders>
              <w:top w:val="nil"/>
              <w:left w:val="nil"/>
              <w:bottom w:val="single" w:sz="4" w:space="0" w:color="auto"/>
              <w:right w:val="single" w:sz="4" w:space="0" w:color="auto"/>
            </w:tcBorders>
            <w:shd w:val="clear" w:color="auto" w:fill="auto"/>
            <w:noWrap/>
            <w:vAlign w:val="center"/>
            <w:hideMark/>
          </w:tcPr>
          <w:p w14:paraId="06C5EF28" w14:textId="77777777" w:rsidR="00E34764" w:rsidRPr="002B257B" w:rsidRDefault="00E34764" w:rsidP="002B257B">
            <w:pPr>
              <w:pStyle w:val="tabletxt"/>
              <w:jc w:val="right"/>
              <w:rPr>
                <w:szCs w:val="18"/>
              </w:rPr>
            </w:pPr>
            <w:r w:rsidRPr="002B257B">
              <w:rPr>
                <w:szCs w:val="18"/>
              </w:rPr>
              <w:t>162</w:t>
            </w:r>
          </w:p>
        </w:tc>
        <w:tc>
          <w:tcPr>
            <w:tcW w:w="1068" w:type="dxa"/>
            <w:tcBorders>
              <w:top w:val="nil"/>
              <w:left w:val="nil"/>
              <w:bottom w:val="single" w:sz="4" w:space="0" w:color="auto"/>
              <w:right w:val="single" w:sz="4" w:space="0" w:color="auto"/>
            </w:tcBorders>
            <w:shd w:val="clear" w:color="auto" w:fill="auto"/>
            <w:noWrap/>
            <w:vAlign w:val="center"/>
            <w:hideMark/>
          </w:tcPr>
          <w:p w14:paraId="72748C1F" w14:textId="77777777" w:rsidR="00E34764" w:rsidRPr="002B257B" w:rsidRDefault="00E34764" w:rsidP="002B257B">
            <w:pPr>
              <w:pStyle w:val="tabletxt"/>
              <w:jc w:val="right"/>
              <w:rPr>
                <w:szCs w:val="18"/>
              </w:rPr>
            </w:pPr>
            <w:r w:rsidRPr="002B257B">
              <w:rPr>
                <w:szCs w:val="18"/>
              </w:rPr>
              <w:t>174</w:t>
            </w:r>
          </w:p>
        </w:tc>
        <w:tc>
          <w:tcPr>
            <w:tcW w:w="1068" w:type="dxa"/>
            <w:tcBorders>
              <w:top w:val="nil"/>
              <w:left w:val="nil"/>
              <w:bottom w:val="single" w:sz="4" w:space="0" w:color="auto"/>
              <w:right w:val="single" w:sz="4" w:space="0" w:color="auto"/>
            </w:tcBorders>
            <w:shd w:val="clear" w:color="auto" w:fill="auto"/>
            <w:noWrap/>
            <w:vAlign w:val="center"/>
            <w:hideMark/>
          </w:tcPr>
          <w:p w14:paraId="7C30831C" w14:textId="77777777" w:rsidR="00E34764" w:rsidRPr="002B257B" w:rsidRDefault="00E34764" w:rsidP="002B257B">
            <w:pPr>
              <w:pStyle w:val="tabletxt"/>
              <w:jc w:val="right"/>
              <w:rPr>
                <w:szCs w:val="18"/>
              </w:rPr>
            </w:pPr>
            <w:r w:rsidRPr="002B257B">
              <w:rPr>
                <w:szCs w:val="18"/>
              </w:rPr>
              <w:t>146,22%</w:t>
            </w:r>
          </w:p>
        </w:tc>
      </w:tr>
      <w:tr w:rsidR="00E34764" w:rsidRPr="00E34764" w14:paraId="3A6E191E"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0C5807DA" w14:textId="77777777" w:rsidR="00E34764" w:rsidRPr="002B257B" w:rsidRDefault="00E34764" w:rsidP="002B257B">
            <w:pPr>
              <w:pStyle w:val="tabletxt"/>
              <w:rPr>
                <w:color w:val="FFFFFF" w:themeColor="background1"/>
                <w:szCs w:val="18"/>
              </w:rPr>
            </w:pPr>
            <w:r w:rsidRPr="002B257B">
              <w:rPr>
                <w:color w:val="FFFFFF" w:themeColor="background1"/>
                <w:szCs w:val="18"/>
              </w:rPr>
              <w:t>Broj uvoznika</w:t>
            </w:r>
          </w:p>
        </w:tc>
        <w:tc>
          <w:tcPr>
            <w:tcW w:w="1067" w:type="dxa"/>
            <w:tcBorders>
              <w:top w:val="nil"/>
              <w:left w:val="nil"/>
              <w:bottom w:val="single" w:sz="4" w:space="0" w:color="auto"/>
              <w:right w:val="single" w:sz="4" w:space="0" w:color="auto"/>
            </w:tcBorders>
            <w:shd w:val="clear" w:color="auto" w:fill="auto"/>
            <w:noWrap/>
            <w:vAlign w:val="center"/>
            <w:hideMark/>
          </w:tcPr>
          <w:p w14:paraId="2831E939" w14:textId="77777777" w:rsidR="00E34764" w:rsidRPr="002B257B" w:rsidRDefault="00E34764" w:rsidP="002B257B">
            <w:pPr>
              <w:pStyle w:val="tabletxt"/>
              <w:jc w:val="right"/>
              <w:rPr>
                <w:color w:val="000000"/>
                <w:szCs w:val="18"/>
              </w:rPr>
            </w:pPr>
            <w:r w:rsidRPr="002B257B">
              <w:rPr>
                <w:color w:val="000000"/>
                <w:szCs w:val="18"/>
              </w:rPr>
              <w:t>116</w:t>
            </w:r>
          </w:p>
        </w:tc>
        <w:tc>
          <w:tcPr>
            <w:tcW w:w="1068" w:type="dxa"/>
            <w:tcBorders>
              <w:top w:val="nil"/>
              <w:left w:val="nil"/>
              <w:bottom w:val="single" w:sz="4" w:space="0" w:color="auto"/>
              <w:right w:val="single" w:sz="4" w:space="0" w:color="auto"/>
            </w:tcBorders>
            <w:shd w:val="clear" w:color="auto" w:fill="auto"/>
            <w:noWrap/>
            <w:vAlign w:val="center"/>
            <w:hideMark/>
          </w:tcPr>
          <w:p w14:paraId="1DCCFDEF" w14:textId="77777777" w:rsidR="00E34764" w:rsidRPr="002B257B" w:rsidRDefault="00E34764" w:rsidP="002B257B">
            <w:pPr>
              <w:pStyle w:val="tabletxt"/>
              <w:jc w:val="right"/>
              <w:rPr>
                <w:color w:val="000000"/>
                <w:szCs w:val="18"/>
              </w:rPr>
            </w:pPr>
            <w:r w:rsidRPr="002B257B">
              <w:rPr>
                <w:color w:val="000000"/>
                <w:szCs w:val="18"/>
              </w:rPr>
              <w:t>114</w:t>
            </w:r>
          </w:p>
        </w:tc>
        <w:tc>
          <w:tcPr>
            <w:tcW w:w="1068" w:type="dxa"/>
            <w:tcBorders>
              <w:top w:val="nil"/>
              <w:left w:val="nil"/>
              <w:bottom w:val="single" w:sz="4" w:space="0" w:color="auto"/>
              <w:right w:val="single" w:sz="4" w:space="0" w:color="auto"/>
            </w:tcBorders>
            <w:shd w:val="clear" w:color="auto" w:fill="auto"/>
            <w:noWrap/>
            <w:vAlign w:val="center"/>
            <w:hideMark/>
          </w:tcPr>
          <w:p w14:paraId="5C368593" w14:textId="77777777" w:rsidR="00E34764" w:rsidRPr="002B257B" w:rsidRDefault="00E34764" w:rsidP="002B257B">
            <w:pPr>
              <w:pStyle w:val="tabletxt"/>
              <w:jc w:val="right"/>
              <w:rPr>
                <w:color w:val="000000"/>
                <w:szCs w:val="18"/>
              </w:rPr>
            </w:pPr>
            <w:r w:rsidRPr="002B257B">
              <w:rPr>
                <w:color w:val="000000"/>
                <w:szCs w:val="18"/>
              </w:rPr>
              <w:t>117</w:t>
            </w:r>
          </w:p>
        </w:tc>
        <w:tc>
          <w:tcPr>
            <w:tcW w:w="1068" w:type="dxa"/>
            <w:tcBorders>
              <w:top w:val="nil"/>
              <w:left w:val="nil"/>
              <w:bottom w:val="single" w:sz="4" w:space="0" w:color="auto"/>
              <w:right w:val="single" w:sz="4" w:space="0" w:color="auto"/>
            </w:tcBorders>
            <w:shd w:val="clear" w:color="auto" w:fill="auto"/>
            <w:noWrap/>
            <w:vAlign w:val="center"/>
            <w:hideMark/>
          </w:tcPr>
          <w:p w14:paraId="32AF4ABE" w14:textId="77777777" w:rsidR="00E34764" w:rsidRPr="002B257B" w:rsidRDefault="00E34764" w:rsidP="002B257B">
            <w:pPr>
              <w:pStyle w:val="tabletxt"/>
              <w:jc w:val="right"/>
              <w:rPr>
                <w:color w:val="000000"/>
                <w:szCs w:val="18"/>
              </w:rPr>
            </w:pPr>
            <w:r w:rsidRPr="002B257B">
              <w:rPr>
                <w:color w:val="000000"/>
                <w:szCs w:val="18"/>
              </w:rPr>
              <w:t>116</w:t>
            </w:r>
          </w:p>
        </w:tc>
        <w:tc>
          <w:tcPr>
            <w:tcW w:w="1068" w:type="dxa"/>
            <w:tcBorders>
              <w:top w:val="nil"/>
              <w:left w:val="nil"/>
              <w:bottom w:val="single" w:sz="4" w:space="0" w:color="auto"/>
              <w:right w:val="single" w:sz="4" w:space="0" w:color="auto"/>
            </w:tcBorders>
            <w:shd w:val="clear" w:color="auto" w:fill="auto"/>
            <w:noWrap/>
            <w:vAlign w:val="center"/>
            <w:hideMark/>
          </w:tcPr>
          <w:p w14:paraId="09D33BE9" w14:textId="77777777" w:rsidR="00E34764" w:rsidRPr="002B257B" w:rsidRDefault="00E34764" w:rsidP="002B257B">
            <w:pPr>
              <w:pStyle w:val="tabletxt"/>
              <w:jc w:val="right"/>
              <w:rPr>
                <w:color w:val="000000"/>
                <w:szCs w:val="18"/>
              </w:rPr>
            </w:pPr>
            <w:r w:rsidRPr="002B257B">
              <w:rPr>
                <w:color w:val="000000"/>
                <w:szCs w:val="18"/>
              </w:rPr>
              <w:t>128</w:t>
            </w:r>
          </w:p>
        </w:tc>
        <w:tc>
          <w:tcPr>
            <w:tcW w:w="1068" w:type="dxa"/>
            <w:tcBorders>
              <w:top w:val="nil"/>
              <w:left w:val="nil"/>
              <w:bottom w:val="single" w:sz="4" w:space="0" w:color="auto"/>
              <w:right w:val="single" w:sz="4" w:space="0" w:color="auto"/>
            </w:tcBorders>
            <w:shd w:val="clear" w:color="auto" w:fill="auto"/>
            <w:noWrap/>
            <w:vAlign w:val="center"/>
            <w:hideMark/>
          </w:tcPr>
          <w:p w14:paraId="07AE07CE" w14:textId="77777777" w:rsidR="00E34764" w:rsidRPr="002B257B" w:rsidRDefault="00E34764" w:rsidP="002B257B">
            <w:pPr>
              <w:pStyle w:val="tabletxt"/>
              <w:jc w:val="right"/>
              <w:rPr>
                <w:color w:val="000000"/>
                <w:szCs w:val="18"/>
              </w:rPr>
            </w:pPr>
            <w:r w:rsidRPr="002B257B">
              <w:rPr>
                <w:color w:val="000000"/>
                <w:szCs w:val="18"/>
              </w:rPr>
              <w:t>110,34%</w:t>
            </w:r>
          </w:p>
        </w:tc>
      </w:tr>
      <w:tr w:rsidR="00E34764" w:rsidRPr="00E34764" w14:paraId="243C3B46"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2CC65EFA" w14:textId="77777777" w:rsidR="00E34764" w:rsidRPr="002B257B" w:rsidRDefault="00E34764" w:rsidP="002B257B">
            <w:pPr>
              <w:pStyle w:val="tabletxt"/>
              <w:rPr>
                <w:color w:val="FFFFFF" w:themeColor="background1"/>
                <w:szCs w:val="18"/>
              </w:rPr>
            </w:pPr>
            <w:r w:rsidRPr="002B257B">
              <w:rPr>
                <w:color w:val="FFFFFF" w:themeColor="background1"/>
                <w:szCs w:val="18"/>
              </w:rPr>
              <w:lastRenderedPageBreak/>
              <w:t>Izvoz</w:t>
            </w:r>
          </w:p>
        </w:tc>
        <w:tc>
          <w:tcPr>
            <w:tcW w:w="1067" w:type="dxa"/>
            <w:tcBorders>
              <w:top w:val="nil"/>
              <w:left w:val="nil"/>
              <w:bottom w:val="single" w:sz="4" w:space="0" w:color="auto"/>
              <w:right w:val="single" w:sz="4" w:space="0" w:color="auto"/>
            </w:tcBorders>
            <w:shd w:val="clear" w:color="auto" w:fill="auto"/>
            <w:noWrap/>
            <w:vAlign w:val="center"/>
            <w:hideMark/>
          </w:tcPr>
          <w:p w14:paraId="513676CF" w14:textId="77777777" w:rsidR="00E34764" w:rsidRPr="002B257B" w:rsidRDefault="00E34764" w:rsidP="002B257B">
            <w:pPr>
              <w:pStyle w:val="tabletxt"/>
              <w:jc w:val="right"/>
              <w:rPr>
                <w:color w:val="000000"/>
                <w:szCs w:val="18"/>
              </w:rPr>
            </w:pPr>
            <w:r w:rsidRPr="002B257B">
              <w:rPr>
                <w:color w:val="000000"/>
                <w:szCs w:val="18"/>
              </w:rPr>
              <w:t>1.339.025</w:t>
            </w:r>
          </w:p>
        </w:tc>
        <w:tc>
          <w:tcPr>
            <w:tcW w:w="1068" w:type="dxa"/>
            <w:tcBorders>
              <w:top w:val="nil"/>
              <w:left w:val="nil"/>
              <w:bottom w:val="single" w:sz="4" w:space="0" w:color="auto"/>
              <w:right w:val="single" w:sz="4" w:space="0" w:color="auto"/>
            </w:tcBorders>
            <w:shd w:val="clear" w:color="auto" w:fill="auto"/>
            <w:noWrap/>
            <w:vAlign w:val="center"/>
            <w:hideMark/>
          </w:tcPr>
          <w:p w14:paraId="3178C2CF" w14:textId="77777777" w:rsidR="00E34764" w:rsidRPr="002B257B" w:rsidRDefault="00E34764" w:rsidP="002B257B">
            <w:pPr>
              <w:pStyle w:val="tabletxt"/>
              <w:jc w:val="right"/>
              <w:rPr>
                <w:color w:val="000000"/>
                <w:szCs w:val="18"/>
              </w:rPr>
            </w:pPr>
            <w:r w:rsidRPr="002B257B">
              <w:rPr>
                <w:color w:val="000000"/>
                <w:szCs w:val="18"/>
              </w:rPr>
              <w:t>1.381.537</w:t>
            </w:r>
          </w:p>
        </w:tc>
        <w:tc>
          <w:tcPr>
            <w:tcW w:w="1068" w:type="dxa"/>
            <w:tcBorders>
              <w:top w:val="nil"/>
              <w:left w:val="nil"/>
              <w:bottom w:val="single" w:sz="4" w:space="0" w:color="auto"/>
              <w:right w:val="single" w:sz="4" w:space="0" w:color="auto"/>
            </w:tcBorders>
            <w:shd w:val="clear" w:color="auto" w:fill="auto"/>
            <w:noWrap/>
            <w:vAlign w:val="center"/>
            <w:hideMark/>
          </w:tcPr>
          <w:p w14:paraId="00D6505A" w14:textId="77777777" w:rsidR="00E34764" w:rsidRPr="002B257B" w:rsidRDefault="00E34764" w:rsidP="002B257B">
            <w:pPr>
              <w:pStyle w:val="tabletxt"/>
              <w:jc w:val="right"/>
              <w:rPr>
                <w:color w:val="000000"/>
                <w:szCs w:val="18"/>
              </w:rPr>
            </w:pPr>
            <w:r w:rsidRPr="002B257B">
              <w:rPr>
                <w:color w:val="000000"/>
                <w:szCs w:val="18"/>
              </w:rPr>
              <w:t>1.492.527</w:t>
            </w:r>
          </w:p>
        </w:tc>
        <w:tc>
          <w:tcPr>
            <w:tcW w:w="1068" w:type="dxa"/>
            <w:tcBorders>
              <w:top w:val="nil"/>
              <w:left w:val="nil"/>
              <w:bottom w:val="single" w:sz="4" w:space="0" w:color="auto"/>
              <w:right w:val="single" w:sz="4" w:space="0" w:color="auto"/>
            </w:tcBorders>
            <w:shd w:val="clear" w:color="auto" w:fill="auto"/>
            <w:noWrap/>
            <w:vAlign w:val="center"/>
            <w:hideMark/>
          </w:tcPr>
          <w:p w14:paraId="38D5354F" w14:textId="77777777" w:rsidR="00E34764" w:rsidRPr="002B257B" w:rsidRDefault="00E34764" w:rsidP="002B257B">
            <w:pPr>
              <w:pStyle w:val="tabletxt"/>
              <w:jc w:val="right"/>
              <w:rPr>
                <w:color w:val="000000"/>
                <w:szCs w:val="18"/>
              </w:rPr>
            </w:pPr>
            <w:r w:rsidRPr="002B257B">
              <w:rPr>
                <w:color w:val="000000"/>
                <w:szCs w:val="18"/>
              </w:rPr>
              <w:t>1.776.799</w:t>
            </w:r>
          </w:p>
        </w:tc>
        <w:tc>
          <w:tcPr>
            <w:tcW w:w="1068" w:type="dxa"/>
            <w:tcBorders>
              <w:top w:val="nil"/>
              <w:left w:val="nil"/>
              <w:bottom w:val="single" w:sz="4" w:space="0" w:color="auto"/>
              <w:right w:val="single" w:sz="4" w:space="0" w:color="auto"/>
            </w:tcBorders>
            <w:shd w:val="clear" w:color="auto" w:fill="auto"/>
            <w:noWrap/>
            <w:vAlign w:val="center"/>
            <w:hideMark/>
          </w:tcPr>
          <w:p w14:paraId="666ADC68" w14:textId="77777777" w:rsidR="00E34764" w:rsidRPr="002B257B" w:rsidRDefault="00E34764" w:rsidP="002B257B">
            <w:pPr>
              <w:pStyle w:val="tabletxt"/>
              <w:jc w:val="right"/>
              <w:rPr>
                <w:color w:val="000000"/>
                <w:szCs w:val="18"/>
              </w:rPr>
            </w:pPr>
            <w:r w:rsidRPr="002B257B">
              <w:rPr>
                <w:color w:val="000000"/>
                <w:szCs w:val="18"/>
              </w:rPr>
              <w:t>1.449.135</w:t>
            </w:r>
          </w:p>
        </w:tc>
        <w:tc>
          <w:tcPr>
            <w:tcW w:w="1068" w:type="dxa"/>
            <w:tcBorders>
              <w:top w:val="nil"/>
              <w:left w:val="nil"/>
              <w:bottom w:val="single" w:sz="4" w:space="0" w:color="auto"/>
              <w:right w:val="single" w:sz="4" w:space="0" w:color="auto"/>
            </w:tcBorders>
            <w:shd w:val="clear" w:color="auto" w:fill="auto"/>
            <w:noWrap/>
            <w:vAlign w:val="center"/>
            <w:hideMark/>
          </w:tcPr>
          <w:p w14:paraId="2C967CBD" w14:textId="77777777" w:rsidR="00E34764" w:rsidRPr="002B257B" w:rsidRDefault="00E34764" w:rsidP="002B257B">
            <w:pPr>
              <w:pStyle w:val="tabletxt"/>
              <w:jc w:val="right"/>
              <w:rPr>
                <w:color w:val="000000"/>
                <w:szCs w:val="18"/>
              </w:rPr>
            </w:pPr>
            <w:r w:rsidRPr="002B257B">
              <w:rPr>
                <w:color w:val="000000"/>
                <w:szCs w:val="18"/>
              </w:rPr>
              <w:t>108,22%</w:t>
            </w:r>
          </w:p>
        </w:tc>
      </w:tr>
      <w:tr w:rsidR="00E34764" w:rsidRPr="00E34764" w14:paraId="318391D5"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35BAB363" w14:textId="77777777" w:rsidR="00E34764" w:rsidRPr="002B257B" w:rsidRDefault="00E34764" w:rsidP="002B257B">
            <w:pPr>
              <w:pStyle w:val="tabletxt"/>
              <w:rPr>
                <w:color w:val="FFFFFF" w:themeColor="background1"/>
                <w:szCs w:val="18"/>
              </w:rPr>
            </w:pPr>
            <w:r w:rsidRPr="002B257B">
              <w:rPr>
                <w:color w:val="FFFFFF" w:themeColor="background1"/>
                <w:szCs w:val="18"/>
              </w:rPr>
              <w:t>Uvoz</w:t>
            </w:r>
          </w:p>
        </w:tc>
        <w:tc>
          <w:tcPr>
            <w:tcW w:w="1067" w:type="dxa"/>
            <w:tcBorders>
              <w:top w:val="nil"/>
              <w:left w:val="nil"/>
              <w:bottom w:val="single" w:sz="4" w:space="0" w:color="auto"/>
              <w:right w:val="single" w:sz="4" w:space="0" w:color="auto"/>
            </w:tcBorders>
            <w:shd w:val="clear" w:color="auto" w:fill="auto"/>
            <w:noWrap/>
            <w:vAlign w:val="center"/>
            <w:hideMark/>
          </w:tcPr>
          <w:p w14:paraId="5680B754" w14:textId="77777777" w:rsidR="00E34764" w:rsidRPr="002B257B" w:rsidRDefault="00E34764" w:rsidP="002B257B">
            <w:pPr>
              <w:pStyle w:val="tabletxt"/>
              <w:jc w:val="right"/>
              <w:rPr>
                <w:color w:val="000000"/>
                <w:szCs w:val="18"/>
              </w:rPr>
            </w:pPr>
            <w:r w:rsidRPr="002B257B">
              <w:rPr>
                <w:color w:val="000000"/>
                <w:szCs w:val="18"/>
              </w:rPr>
              <w:t>1.026.079</w:t>
            </w:r>
          </w:p>
        </w:tc>
        <w:tc>
          <w:tcPr>
            <w:tcW w:w="1068" w:type="dxa"/>
            <w:tcBorders>
              <w:top w:val="nil"/>
              <w:left w:val="nil"/>
              <w:bottom w:val="single" w:sz="4" w:space="0" w:color="auto"/>
              <w:right w:val="single" w:sz="4" w:space="0" w:color="auto"/>
            </w:tcBorders>
            <w:shd w:val="clear" w:color="auto" w:fill="auto"/>
            <w:noWrap/>
            <w:vAlign w:val="center"/>
            <w:hideMark/>
          </w:tcPr>
          <w:p w14:paraId="2305ED9B" w14:textId="77777777" w:rsidR="00E34764" w:rsidRPr="002B257B" w:rsidRDefault="00E34764" w:rsidP="002B257B">
            <w:pPr>
              <w:pStyle w:val="tabletxt"/>
              <w:jc w:val="right"/>
              <w:rPr>
                <w:color w:val="000000"/>
                <w:szCs w:val="18"/>
              </w:rPr>
            </w:pPr>
            <w:r w:rsidRPr="002B257B">
              <w:rPr>
                <w:color w:val="000000"/>
                <w:szCs w:val="18"/>
              </w:rPr>
              <w:t>877.274</w:t>
            </w:r>
          </w:p>
        </w:tc>
        <w:tc>
          <w:tcPr>
            <w:tcW w:w="1068" w:type="dxa"/>
            <w:tcBorders>
              <w:top w:val="nil"/>
              <w:left w:val="nil"/>
              <w:bottom w:val="single" w:sz="4" w:space="0" w:color="auto"/>
              <w:right w:val="single" w:sz="4" w:space="0" w:color="auto"/>
            </w:tcBorders>
            <w:shd w:val="clear" w:color="auto" w:fill="auto"/>
            <w:noWrap/>
            <w:vAlign w:val="center"/>
            <w:hideMark/>
          </w:tcPr>
          <w:p w14:paraId="35790FDA" w14:textId="77777777" w:rsidR="00E34764" w:rsidRPr="002B257B" w:rsidRDefault="00E34764" w:rsidP="002B257B">
            <w:pPr>
              <w:pStyle w:val="tabletxt"/>
              <w:jc w:val="right"/>
              <w:rPr>
                <w:color w:val="000000"/>
                <w:szCs w:val="18"/>
              </w:rPr>
            </w:pPr>
            <w:r w:rsidRPr="002B257B">
              <w:rPr>
                <w:color w:val="000000"/>
                <w:szCs w:val="18"/>
              </w:rPr>
              <w:t>828.249</w:t>
            </w:r>
          </w:p>
        </w:tc>
        <w:tc>
          <w:tcPr>
            <w:tcW w:w="1068" w:type="dxa"/>
            <w:tcBorders>
              <w:top w:val="nil"/>
              <w:left w:val="nil"/>
              <w:bottom w:val="single" w:sz="4" w:space="0" w:color="auto"/>
              <w:right w:val="single" w:sz="4" w:space="0" w:color="auto"/>
            </w:tcBorders>
            <w:shd w:val="clear" w:color="auto" w:fill="auto"/>
            <w:noWrap/>
            <w:vAlign w:val="center"/>
            <w:hideMark/>
          </w:tcPr>
          <w:p w14:paraId="0061EF0C" w14:textId="77777777" w:rsidR="00E34764" w:rsidRPr="002B257B" w:rsidRDefault="00E34764" w:rsidP="002B257B">
            <w:pPr>
              <w:pStyle w:val="tabletxt"/>
              <w:jc w:val="right"/>
              <w:rPr>
                <w:color w:val="000000"/>
                <w:szCs w:val="18"/>
              </w:rPr>
            </w:pPr>
            <w:r w:rsidRPr="002B257B">
              <w:rPr>
                <w:color w:val="000000"/>
                <w:szCs w:val="18"/>
              </w:rPr>
              <w:t>1.009.944</w:t>
            </w:r>
          </w:p>
        </w:tc>
        <w:tc>
          <w:tcPr>
            <w:tcW w:w="1068" w:type="dxa"/>
            <w:tcBorders>
              <w:top w:val="nil"/>
              <w:left w:val="nil"/>
              <w:bottom w:val="single" w:sz="4" w:space="0" w:color="auto"/>
              <w:right w:val="single" w:sz="4" w:space="0" w:color="auto"/>
            </w:tcBorders>
            <w:shd w:val="clear" w:color="auto" w:fill="auto"/>
            <w:noWrap/>
            <w:vAlign w:val="center"/>
            <w:hideMark/>
          </w:tcPr>
          <w:p w14:paraId="481C5276" w14:textId="77777777" w:rsidR="00E34764" w:rsidRPr="002B257B" w:rsidRDefault="00E34764" w:rsidP="002B257B">
            <w:pPr>
              <w:pStyle w:val="tabletxt"/>
              <w:jc w:val="right"/>
              <w:rPr>
                <w:color w:val="000000"/>
                <w:szCs w:val="18"/>
              </w:rPr>
            </w:pPr>
            <w:r w:rsidRPr="002B257B">
              <w:rPr>
                <w:color w:val="000000"/>
                <w:szCs w:val="18"/>
              </w:rPr>
              <w:t>1.229.974</w:t>
            </w:r>
          </w:p>
        </w:tc>
        <w:tc>
          <w:tcPr>
            <w:tcW w:w="1068" w:type="dxa"/>
            <w:tcBorders>
              <w:top w:val="nil"/>
              <w:left w:val="nil"/>
              <w:bottom w:val="single" w:sz="4" w:space="0" w:color="auto"/>
              <w:right w:val="single" w:sz="4" w:space="0" w:color="auto"/>
            </w:tcBorders>
            <w:shd w:val="clear" w:color="auto" w:fill="auto"/>
            <w:noWrap/>
            <w:vAlign w:val="center"/>
            <w:hideMark/>
          </w:tcPr>
          <w:p w14:paraId="01944E11" w14:textId="77777777" w:rsidR="00E34764" w:rsidRPr="002B257B" w:rsidRDefault="00E34764" w:rsidP="002B257B">
            <w:pPr>
              <w:pStyle w:val="tabletxt"/>
              <w:jc w:val="right"/>
              <w:rPr>
                <w:color w:val="000000"/>
                <w:szCs w:val="18"/>
              </w:rPr>
            </w:pPr>
            <w:r w:rsidRPr="002B257B">
              <w:rPr>
                <w:color w:val="000000"/>
                <w:szCs w:val="18"/>
              </w:rPr>
              <w:t>119,87%</w:t>
            </w:r>
          </w:p>
        </w:tc>
      </w:tr>
      <w:tr w:rsidR="00E34764" w:rsidRPr="00E34764" w14:paraId="3C26100C"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1F7E5FF0" w14:textId="77777777" w:rsidR="00E34764" w:rsidRPr="002B257B" w:rsidRDefault="00E34764" w:rsidP="002B257B">
            <w:pPr>
              <w:pStyle w:val="tabletxt"/>
              <w:rPr>
                <w:color w:val="FFFFFF" w:themeColor="background1"/>
                <w:szCs w:val="18"/>
              </w:rPr>
            </w:pPr>
            <w:r w:rsidRPr="002B257B">
              <w:rPr>
                <w:color w:val="FFFFFF" w:themeColor="background1"/>
                <w:szCs w:val="18"/>
              </w:rPr>
              <w:t>Trgovinski saldo</w:t>
            </w:r>
          </w:p>
        </w:tc>
        <w:tc>
          <w:tcPr>
            <w:tcW w:w="1067" w:type="dxa"/>
            <w:tcBorders>
              <w:top w:val="nil"/>
              <w:left w:val="nil"/>
              <w:bottom w:val="single" w:sz="4" w:space="0" w:color="auto"/>
              <w:right w:val="single" w:sz="4" w:space="0" w:color="auto"/>
            </w:tcBorders>
            <w:shd w:val="clear" w:color="auto" w:fill="auto"/>
            <w:noWrap/>
            <w:vAlign w:val="center"/>
            <w:hideMark/>
          </w:tcPr>
          <w:p w14:paraId="4E334B12" w14:textId="77777777" w:rsidR="00E34764" w:rsidRPr="002B257B" w:rsidRDefault="00E34764" w:rsidP="002B257B">
            <w:pPr>
              <w:pStyle w:val="tabletxt"/>
              <w:jc w:val="right"/>
              <w:rPr>
                <w:color w:val="000000"/>
                <w:szCs w:val="18"/>
              </w:rPr>
            </w:pPr>
            <w:r w:rsidRPr="002B257B">
              <w:rPr>
                <w:color w:val="000000"/>
                <w:szCs w:val="18"/>
              </w:rPr>
              <w:t>312.946</w:t>
            </w:r>
          </w:p>
        </w:tc>
        <w:tc>
          <w:tcPr>
            <w:tcW w:w="1068" w:type="dxa"/>
            <w:tcBorders>
              <w:top w:val="nil"/>
              <w:left w:val="nil"/>
              <w:bottom w:val="single" w:sz="4" w:space="0" w:color="auto"/>
              <w:right w:val="single" w:sz="4" w:space="0" w:color="auto"/>
            </w:tcBorders>
            <w:shd w:val="clear" w:color="auto" w:fill="auto"/>
            <w:noWrap/>
            <w:vAlign w:val="center"/>
            <w:hideMark/>
          </w:tcPr>
          <w:p w14:paraId="20D3E1AC" w14:textId="77777777" w:rsidR="00E34764" w:rsidRPr="002B257B" w:rsidRDefault="00E34764" w:rsidP="002B257B">
            <w:pPr>
              <w:pStyle w:val="tabletxt"/>
              <w:jc w:val="right"/>
              <w:rPr>
                <w:color w:val="000000"/>
                <w:szCs w:val="18"/>
              </w:rPr>
            </w:pPr>
            <w:r w:rsidRPr="002B257B">
              <w:rPr>
                <w:color w:val="000000"/>
                <w:szCs w:val="18"/>
              </w:rPr>
              <w:t>504.263</w:t>
            </w:r>
          </w:p>
        </w:tc>
        <w:tc>
          <w:tcPr>
            <w:tcW w:w="1068" w:type="dxa"/>
            <w:tcBorders>
              <w:top w:val="nil"/>
              <w:left w:val="nil"/>
              <w:bottom w:val="single" w:sz="4" w:space="0" w:color="auto"/>
              <w:right w:val="single" w:sz="4" w:space="0" w:color="auto"/>
            </w:tcBorders>
            <w:shd w:val="clear" w:color="auto" w:fill="auto"/>
            <w:noWrap/>
            <w:vAlign w:val="center"/>
            <w:hideMark/>
          </w:tcPr>
          <w:p w14:paraId="7B854378" w14:textId="77777777" w:rsidR="00E34764" w:rsidRPr="002B257B" w:rsidRDefault="00E34764" w:rsidP="002B257B">
            <w:pPr>
              <w:pStyle w:val="tabletxt"/>
              <w:jc w:val="right"/>
              <w:rPr>
                <w:color w:val="000000"/>
                <w:szCs w:val="18"/>
              </w:rPr>
            </w:pPr>
            <w:r w:rsidRPr="002B257B">
              <w:rPr>
                <w:color w:val="000000"/>
                <w:szCs w:val="18"/>
              </w:rPr>
              <w:t>664.278</w:t>
            </w:r>
          </w:p>
        </w:tc>
        <w:tc>
          <w:tcPr>
            <w:tcW w:w="1068" w:type="dxa"/>
            <w:tcBorders>
              <w:top w:val="nil"/>
              <w:left w:val="nil"/>
              <w:bottom w:val="single" w:sz="4" w:space="0" w:color="auto"/>
              <w:right w:val="single" w:sz="4" w:space="0" w:color="auto"/>
            </w:tcBorders>
            <w:shd w:val="clear" w:color="auto" w:fill="auto"/>
            <w:noWrap/>
            <w:vAlign w:val="center"/>
            <w:hideMark/>
          </w:tcPr>
          <w:p w14:paraId="427A5771" w14:textId="77777777" w:rsidR="00E34764" w:rsidRPr="002B257B" w:rsidRDefault="00E34764" w:rsidP="002B257B">
            <w:pPr>
              <w:pStyle w:val="tabletxt"/>
              <w:jc w:val="right"/>
              <w:rPr>
                <w:color w:val="000000"/>
                <w:szCs w:val="18"/>
              </w:rPr>
            </w:pPr>
            <w:r w:rsidRPr="002B257B">
              <w:rPr>
                <w:color w:val="000000"/>
                <w:szCs w:val="18"/>
              </w:rPr>
              <w:t>766.855</w:t>
            </w:r>
          </w:p>
        </w:tc>
        <w:tc>
          <w:tcPr>
            <w:tcW w:w="1068" w:type="dxa"/>
            <w:tcBorders>
              <w:top w:val="nil"/>
              <w:left w:val="nil"/>
              <w:bottom w:val="single" w:sz="4" w:space="0" w:color="auto"/>
              <w:right w:val="single" w:sz="4" w:space="0" w:color="auto"/>
            </w:tcBorders>
            <w:shd w:val="clear" w:color="auto" w:fill="auto"/>
            <w:noWrap/>
            <w:vAlign w:val="center"/>
            <w:hideMark/>
          </w:tcPr>
          <w:p w14:paraId="6A7965D6" w14:textId="77777777" w:rsidR="00E34764" w:rsidRPr="002B257B" w:rsidRDefault="00E34764" w:rsidP="002B257B">
            <w:pPr>
              <w:pStyle w:val="tabletxt"/>
              <w:jc w:val="right"/>
              <w:rPr>
                <w:color w:val="000000"/>
                <w:szCs w:val="18"/>
              </w:rPr>
            </w:pPr>
            <w:r w:rsidRPr="002B257B">
              <w:rPr>
                <w:color w:val="000000"/>
                <w:szCs w:val="18"/>
              </w:rPr>
              <w:t>219.161</w:t>
            </w:r>
          </w:p>
        </w:tc>
        <w:tc>
          <w:tcPr>
            <w:tcW w:w="1068" w:type="dxa"/>
            <w:tcBorders>
              <w:top w:val="nil"/>
              <w:left w:val="nil"/>
              <w:bottom w:val="single" w:sz="4" w:space="0" w:color="auto"/>
              <w:right w:val="single" w:sz="4" w:space="0" w:color="auto"/>
            </w:tcBorders>
            <w:shd w:val="clear" w:color="auto" w:fill="auto"/>
            <w:noWrap/>
            <w:vAlign w:val="center"/>
            <w:hideMark/>
          </w:tcPr>
          <w:p w14:paraId="4E44B023" w14:textId="77777777" w:rsidR="00E34764" w:rsidRPr="002B257B" w:rsidRDefault="00E34764" w:rsidP="002B257B">
            <w:pPr>
              <w:pStyle w:val="tabletxt"/>
              <w:jc w:val="right"/>
              <w:rPr>
                <w:color w:val="000000"/>
                <w:szCs w:val="18"/>
              </w:rPr>
            </w:pPr>
            <w:r w:rsidRPr="002B257B">
              <w:rPr>
                <w:color w:val="000000"/>
                <w:szCs w:val="18"/>
              </w:rPr>
              <w:t>70,03%</w:t>
            </w:r>
          </w:p>
        </w:tc>
      </w:tr>
      <w:tr w:rsidR="00E34764" w:rsidRPr="00E34764" w14:paraId="08D5B984" w14:textId="77777777" w:rsidTr="002B257B">
        <w:trPr>
          <w:trHeight w:val="133"/>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1B427454" w14:textId="77777777" w:rsidR="00E34764" w:rsidRPr="002B257B" w:rsidRDefault="00E34764" w:rsidP="002B257B">
            <w:pPr>
              <w:pStyle w:val="tabletxt"/>
              <w:rPr>
                <w:color w:val="FFFFFF" w:themeColor="background1"/>
                <w:szCs w:val="18"/>
              </w:rPr>
            </w:pPr>
            <w:r w:rsidRPr="002B257B">
              <w:rPr>
                <w:color w:val="FFFFFF" w:themeColor="background1"/>
                <w:szCs w:val="18"/>
              </w:rPr>
              <w:t>Broj investitora</w:t>
            </w:r>
          </w:p>
        </w:tc>
        <w:tc>
          <w:tcPr>
            <w:tcW w:w="1067" w:type="dxa"/>
            <w:tcBorders>
              <w:top w:val="nil"/>
              <w:left w:val="nil"/>
              <w:bottom w:val="single" w:sz="4" w:space="0" w:color="auto"/>
              <w:right w:val="single" w:sz="4" w:space="0" w:color="auto"/>
            </w:tcBorders>
            <w:shd w:val="clear" w:color="auto" w:fill="auto"/>
            <w:noWrap/>
            <w:vAlign w:val="center"/>
            <w:hideMark/>
          </w:tcPr>
          <w:p w14:paraId="5F75776E" w14:textId="77777777" w:rsidR="00E34764" w:rsidRPr="002B257B" w:rsidRDefault="00E34764" w:rsidP="002B257B">
            <w:pPr>
              <w:pStyle w:val="tabletxt"/>
              <w:jc w:val="right"/>
              <w:rPr>
                <w:color w:val="000000"/>
                <w:szCs w:val="18"/>
              </w:rPr>
            </w:pPr>
            <w:r w:rsidRPr="002B257B">
              <w:rPr>
                <w:color w:val="000000"/>
                <w:szCs w:val="18"/>
              </w:rPr>
              <w:t>204</w:t>
            </w:r>
          </w:p>
        </w:tc>
        <w:tc>
          <w:tcPr>
            <w:tcW w:w="1068" w:type="dxa"/>
            <w:tcBorders>
              <w:top w:val="nil"/>
              <w:left w:val="nil"/>
              <w:bottom w:val="single" w:sz="4" w:space="0" w:color="auto"/>
              <w:right w:val="single" w:sz="4" w:space="0" w:color="auto"/>
            </w:tcBorders>
            <w:shd w:val="clear" w:color="auto" w:fill="auto"/>
            <w:noWrap/>
            <w:vAlign w:val="center"/>
            <w:hideMark/>
          </w:tcPr>
          <w:p w14:paraId="3873AAA7" w14:textId="77777777" w:rsidR="00E34764" w:rsidRPr="002B257B" w:rsidRDefault="00E34764" w:rsidP="002B257B">
            <w:pPr>
              <w:pStyle w:val="tabletxt"/>
              <w:jc w:val="right"/>
              <w:rPr>
                <w:color w:val="000000"/>
                <w:szCs w:val="18"/>
              </w:rPr>
            </w:pPr>
            <w:r w:rsidRPr="002B257B">
              <w:rPr>
                <w:color w:val="000000"/>
                <w:szCs w:val="18"/>
              </w:rPr>
              <w:t>207</w:t>
            </w:r>
          </w:p>
        </w:tc>
        <w:tc>
          <w:tcPr>
            <w:tcW w:w="1068" w:type="dxa"/>
            <w:tcBorders>
              <w:top w:val="nil"/>
              <w:left w:val="nil"/>
              <w:bottom w:val="single" w:sz="4" w:space="0" w:color="auto"/>
              <w:right w:val="single" w:sz="4" w:space="0" w:color="auto"/>
            </w:tcBorders>
            <w:shd w:val="clear" w:color="auto" w:fill="auto"/>
            <w:noWrap/>
            <w:vAlign w:val="center"/>
            <w:hideMark/>
          </w:tcPr>
          <w:p w14:paraId="48668D87" w14:textId="77777777" w:rsidR="00E34764" w:rsidRPr="002B257B" w:rsidRDefault="00E34764" w:rsidP="002B257B">
            <w:pPr>
              <w:pStyle w:val="tabletxt"/>
              <w:jc w:val="right"/>
              <w:rPr>
                <w:color w:val="000000"/>
                <w:szCs w:val="18"/>
              </w:rPr>
            </w:pPr>
            <w:r w:rsidRPr="002B257B">
              <w:rPr>
                <w:color w:val="000000"/>
                <w:szCs w:val="18"/>
              </w:rPr>
              <w:t>208</w:t>
            </w:r>
          </w:p>
        </w:tc>
        <w:tc>
          <w:tcPr>
            <w:tcW w:w="1068" w:type="dxa"/>
            <w:tcBorders>
              <w:top w:val="nil"/>
              <w:left w:val="nil"/>
              <w:bottom w:val="single" w:sz="4" w:space="0" w:color="auto"/>
              <w:right w:val="single" w:sz="4" w:space="0" w:color="auto"/>
            </w:tcBorders>
            <w:shd w:val="clear" w:color="auto" w:fill="auto"/>
            <w:noWrap/>
            <w:vAlign w:val="center"/>
            <w:hideMark/>
          </w:tcPr>
          <w:p w14:paraId="21504B1D" w14:textId="77777777" w:rsidR="00E34764" w:rsidRPr="002B257B" w:rsidRDefault="00E34764" w:rsidP="002B257B">
            <w:pPr>
              <w:pStyle w:val="tabletxt"/>
              <w:jc w:val="right"/>
              <w:rPr>
                <w:color w:val="000000"/>
                <w:szCs w:val="18"/>
              </w:rPr>
            </w:pPr>
            <w:r w:rsidRPr="002B257B">
              <w:rPr>
                <w:color w:val="000000"/>
                <w:szCs w:val="18"/>
              </w:rPr>
              <w:t>160</w:t>
            </w:r>
          </w:p>
        </w:tc>
        <w:tc>
          <w:tcPr>
            <w:tcW w:w="1068" w:type="dxa"/>
            <w:tcBorders>
              <w:top w:val="nil"/>
              <w:left w:val="nil"/>
              <w:bottom w:val="single" w:sz="4" w:space="0" w:color="auto"/>
              <w:right w:val="single" w:sz="4" w:space="0" w:color="auto"/>
            </w:tcBorders>
            <w:shd w:val="clear" w:color="auto" w:fill="auto"/>
            <w:noWrap/>
            <w:vAlign w:val="center"/>
            <w:hideMark/>
          </w:tcPr>
          <w:p w14:paraId="205E4D90" w14:textId="77777777" w:rsidR="00E34764" w:rsidRPr="002B257B" w:rsidRDefault="00E34764" w:rsidP="002B257B">
            <w:pPr>
              <w:pStyle w:val="tabletxt"/>
              <w:jc w:val="right"/>
              <w:rPr>
                <w:color w:val="000000"/>
                <w:szCs w:val="18"/>
              </w:rPr>
            </w:pPr>
            <w:r w:rsidRPr="002B257B">
              <w:rPr>
                <w:color w:val="000000"/>
                <w:szCs w:val="18"/>
              </w:rPr>
              <w:t>140</w:t>
            </w:r>
          </w:p>
        </w:tc>
        <w:tc>
          <w:tcPr>
            <w:tcW w:w="1068" w:type="dxa"/>
            <w:tcBorders>
              <w:top w:val="nil"/>
              <w:left w:val="nil"/>
              <w:bottom w:val="single" w:sz="4" w:space="0" w:color="auto"/>
              <w:right w:val="single" w:sz="4" w:space="0" w:color="auto"/>
            </w:tcBorders>
            <w:shd w:val="clear" w:color="auto" w:fill="auto"/>
            <w:noWrap/>
            <w:vAlign w:val="center"/>
            <w:hideMark/>
          </w:tcPr>
          <w:p w14:paraId="5CD23F5D" w14:textId="77777777" w:rsidR="00E34764" w:rsidRPr="002B257B" w:rsidRDefault="00E34764" w:rsidP="002B257B">
            <w:pPr>
              <w:pStyle w:val="tabletxt"/>
              <w:jc w:val="right"/>
              <w:rPr>
                <w:color w:val="000000"/>
                <w:szCs w:val="18"/>
              </w:rPr>
            </w:pPr>
            <w:r w:rsidRPr="002B257B">
              <w:rPr>
                <w:color w:val="000000"/>
                <w:szCs w:val="18"/>
              </w:rPr>
              <w:t>68,63%</w:t>
            </w:r>
          </w:p>
        </w:tc>
      </w:tr>
      <w:tr w:rsidR="00E34764" w:rsidRPr="00E34764" w14:paraId="0B6A0A7B"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0A3AB18E" w14:textId="77777777" w:rsidR="00E34764" w:rsidRPr="002B257B" w:rsidRDefault="00E34764" w:rsidP="002B257B">
            <w:pPr>
              <w:pStyle w:val="tabletxt"/>
              <w:rPr>
                <w:color w:val="FFFFFF" w:themeColor="background1"/>
                <w:szCs w:val="18"/>
              </w:rPr>
            </w:pPr>
            <w:r w:rsidRPr="002B257B">
              <w:rPr>
                <w:color w:val="FFFFFF" w:themeColor="background1"/>
                <w:szCs w:val="18"/>
              </w:rPr>
              <w:t>Broj poduzetnika bez investicija</w:t>
            </w:r>
          </w:p>
        </w:tc>
        <w:tc>
          <w:tcPr>
            <w:tcW w:w="1067" w:type="dxa"/>
            <w:tcBorders>
              <w:top w:val="nil"/>
              <w:left w:val="nil"/>
              <w:bottom w:val="single" w:sz="4" w:space="0" w:color="auto"/>
              <w:right w:val="single" w:sz="4" w:space="0" w:color="auto"/>
            </w:tcBorders>
            <w:shd w:val="clear" w:color="auto" w:fill="auto"/>
            <w:noWrap/>
            <w:vAlign w:val="center"/>
            <w:hideMark/>
          </w:tcPr>
          <w:p w14:paraId="08BA5BB2" w14:textId="77777777" w:rsidR="00E34764" w:rsidRPr="002B257B" w:rsidRDefault="00E34764" w:rsidP="002B257B">
            <w:pPr>
              <w:pStyle w:val="tabletxt"/>
              <w:jc w:val="right"/>
              <w:rPr>
                <w:color w:val="000000"/>
                <w:szCs w:val="18"/>
              </w:rPr>
            </w:pPr>
            <w:r w:rsidRPr="002B257B">
              <w:rPr>
                <w:color w:val="000000"/>
                <w:szCs w:val="18"/>
              </w:rPr>
              <w:t>791</w:t>
            </w:r>
          </w:p>
        </w:tc>
        <w:tc>
          <w:tcPr>
            <w:tcW w:w="1068" w:type="dxa"/>
            <w:tcBorders>
              <w:top w:val="nil"/>
              <w:left w:val="nil"/>
              <w:bottom w:val="single" w:sz="4" w:space="0" w:color="auto"/>
              <w:right w:val="single" w:sz="4" w:space="0" w:color="auto"/>
            </w:tcBorders>
            <w:shd w:val="clear" w:color="auto" w:fill="auto"/>
            <w:noWrap/>
            <w:vAlign w:val="center"/>
            <w:hideMark/>
          </w:tcPr>
          <w:p w14:paraId="705C7D99" w14:textId="77777777" w:rsidR="00E34764" w:rsidRPr="002B257B" w:rsidRDefault="00E34764" w:rsidP="002B257B">
            <w:pPr>
              <w:pStyle w:val="tabletxt"/>
              <w:jc w:val="right"/>
              <w:rPr>
                <w:color w:val="000000"/>
                <w:szCs w:val="18"/>
              </w:rPr>
            </w:pPr>
            <w:r w:rsidRPr="002B257B">
              <w:rPr>
                <w:color w:val="000000"/>
                <w:szCs w:val="18"/>
              </w:rPr>
              <w:t>844</w:t>
            </w:r>
          </w:p>
        </w:tc>
        <w:tc>
          <w:tcPr>
            <w:tcW w:w="1068" w:type="dxa"/>
            <w:tcBorders>
              <w:top w:val="nil"/>
              <w:left w:val="nil"/>
              <w:bottom w:val="single" w:sz="4" w:space="0" w:color="auto"/>
              <w:right w:val="single" w:sz="4" w:space="0" w:color="auto"/>
            </w:tcBorders>
            <w:shd w:val="clear" w:color="auto" w:fill="auto"/>
            <w:noWrap/>
            <w:vAlign w:val="center"/>
            <w:hideMark/>
          </w:tcPr>
          <w:p w14:paraId="274B50CB" w14:textId="77777777" w:rsidR="00E34764" w:rsidRPr="002B257B" w:rsidRDefault="00E34764" w:rsidP="002B257B">
            <w:pPr>
              <w:pStyle w:val="tabletxt"/>
              <w:jc w:val="right"/>
              <w:rPr>
                <w:color w:val="000000"/>
                <w:szCs w:val="18"/>
              </w:rPr>
            </w:pPr>
            <w:r w:rsidRPr="002B257B">
              <w:rPr>
                <w:color w:val="000000"/>
                <w:szCs w:val="18"/>
              </w:rPr>
              <w:t>831</w:t>
            </w:r>
          </w:p>
        </w:tc>
        <w:tc>
          <w:tcPr>
            <w:tcW w:w="1068" w:type="dxa"/>
            <w:tcBorders>
              <w:top w:val="nil"/>
              <w:left w:val="nil"/>
              <w:bottom w:val="single" w:sz="4" w:space="0" w:color="auto"/>
              <w:right w:val="single" w:sz="4" w:space="0" w:color="auto"/>
            </w:tcBorders>
            <w:shd w:val="clear" w:color="auto" w:fill="auto"/>
            <w:noWrap/>
            <w:vAlign w:val="center"/>
            <w:hideMark/>
          </w:tcPr>
          <w:p w14:paraId="0F67391E" w14:textId="77777777" w:rsidR="00E34764" w:rsidRPr="002B257B" w:rsidRDefault="00E34764" w:rsidP="002B257B">
            <w:pPr>
              <w:pStyle w:val="tabletxt"/>
              <w:jc w:val="right"/>
              <w:rPr>
                <w:color w:val="000000"/>
                <w:szCs w:val="18"/>
              </w:rPr>
            </w:pPr>
            <w:r w:rsidRPr="002B257B">
              <w:rPr>
                <w:color w:val="000000"/>
                <w:szCs w:val="18"/>
              </w:rPr>
              <w:t>909</w:t>
            </w:r>
          </w:p>
        </w:tc>
        <w:tc>
          <w:tcPr>
            <w:tcW w:w="1068" w:type="dxa"/>
            <w:tcBorders>
              <w:top w:val="nil"/>
              <w:left w:val="nil"/>
              <w:bottom w:val="single" w:sz="4" w:space="0" w:color="auto"/>
              <w:right w:val="single" w:sz="4" w:space="0" w:color="auto"/>
            </w:tcBorders>
            <w:shd w:val="clear" w:color="auto" w:fill="auto"/>
            <w:noWrap/>
            <w:vAlign w:val="center"/>
            <w:hideMark/>
          </w:tcPr>
          <w:p w14:paraId="0606DE50" w14:textId="77777777" w:rsidR="00E34764" w:rsidRPr="002B257B" w:rsidRDefault="00E34764" w:rsidP="002B257B">
            <w:pPr>
              <w:pStyle w:val="tabletxt"/>
              <w:jc w:val="right"/>
              <w:rPr>
                <w:color w:val="000000"/>
                <w:szCs w:val="18"/>
              </w:rPr>
            </w:pPr>
            <w:r w:rsidRPr="002B257B">
              <w:rPr>
                <w:color w:val="000000"/>
                <w:szCs w:val="18"/>
              </w:rPr>
              <w:t>953</w:t>
            </w:r>
          </w:p>
        </w:tc>
        <w:tc>
          <w:tcPr>
            <w:tcW w:w="1068" w:type="dxa"/>
            <w:tcBorders>
              <w:top w:val="nil"/>
              <w:left w:val="nil"/>
              <w:bottom w:val="single" w:sz="4" w:space="0" w:color="auto"/>
              <w:right w:val="single" w:sz="4" w:space="0" w:color="auto"/>
            </w:tcBorders>
            <w:shd w:val="clear" w:color="auto" w:fill="auto"/>
            <w:noWrap/>
            <w:vAlign w:val="center"/>
            <w:hideMark/>
          </w:tcPr>
          <w:p w14:paraId="508B4F32" w14:textId="77777777" w:rsidR="00E34764" w:rsidRPr="002B257B" w:rsidRDefault="00E34764" w:rsidP="002B257B">
            <w:pPr>
              <w:pStyle w:val="tabletxt"/>
              <w:jc w:val="right"/>
              <w:rPr>
                <w:color w:val="000000"/>
                <w:szCs w:val="18"/>
              </w:rPr>
            </w:pPr>
            <w:r w:rsidRPr="002B257B">
              <w:rPr>
                <w:color w:val="000000"/>
                <w:szCs w:val="18"/>
              </w:rPr>
              <w:t>120,48%</w:t>
            </w:r>
          </w:p>
        </w:tc>
      </w:tr>
      <w:tr w:rsidR="00E34764" w:rsidRPr="00E34764" w14:paraId="743E256D" w14:textId="77777777" w:rsidTr="002B257B">
        <w:trPr>
          <w:trHeight w:val="68"/>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7E20D7F0" w14:textId="77777777" w:rsidR="00E34764" w:rsidRPr="002B257B" w:rsidRDefault="00E34764" w:rsidP="002B257B">
            <w:pPr>
              <w:pStyle w:val="tabletxt"/>
              <w:rPr>
                <w:color w:val="FFFFFF" w:themeColor="background1"/>
                <w:szCs w:val="18"/>
              </w:rPr>
            </w:pPr>
            <w:r w:rsidRPr="002B257B">
              <w:rPr>
                <w:color w:val="FFFFFF" w:themeColor="background1"/>
                <w:szCs w:val="18"/>
              </w:rPr>
              <w:t>Investicije u novu dugotrajnu imovinu</w:t>
            </w:r>
          </w:p>
        </w:tc>
        <w:tc>
          <w:tcPr>
            <w:tcW w:w="1067" w:type="dxa"/>
            <w:tcBorders>
              <w:top w:val="nil"/>
              <w:left w:val="nil"/>
              <w:bottom w:val="single" w:sz="4" w:space="0" w:color="auto"/>
              <w:right w:val="single" w:sz="4" w:space="0" w:color="auto"/>
            </w:tcBorders>
            <w:shd w:val="clear" w:color="auto" w:fill="auto"/>
            <w:noWrap/>
            <w:vAlign w:val="center"/>
            <w:hideMark/>
          </w:tcPr>
          <w:p w14:paraId="4D09086D" w14:textId="77777777" w:rsidR="00E34764" w:rsidRPr="002B257B" w:rsidRDefault="00E34764" w:rsidP="002B257B">
            <w:pPr>
              <w:pStyle w:val="tabletxt"/>
              <w:jc w:val="right"/>
              <w:rPr>
                <w:color w:val="000000"/>
                <w:szCs w:val="18"/>
              </w:rPr>
            </w:pPr>
            <w:r w:rsidRPr="002B257B">
              <w:rPr>
                <w:color w:val="000000"/>
                <w:szCs w:val="18"/>
              </w:rPr>
              <w:t>579.785</w:t>
            </w:r>
          </w:p>
        </w:tc>
        <w:tc>
          <w:tcPr>
            <w:tcW w:w="1068" w:type="dxa"/>
            <w:tcBorders>
              <w:top w:val="nil"/>
              <w:left w:val="nil"/>
              <w:bottom w:val="single" w:sz="4" w:space="0" w:color="auto"/>
              <w:right w:val="single" w:sz="4" w:space="0" w:color="auto"/>
            </w:tcBorders>
            <w:shd w:val="clear" w:color="auto" w:fill="auto"/>
            <w:noWrap/>
            <w:vAlign w:val="center"/>
            <w:hideMark/>
          </w:tcPr>
          <w:p w14:paraId="6E950959" w14:textId="77777777" w:rsidR="00E34764" w:rsidRPr="002B257B" w:rsidRDefault="00E34764" w:rsidP="002B257B">
            <w:pPr>
              <w:pStyle w:val="tabletxt"/>
              <w:jc w:val="right"/>
              <w:rPr>
                <w:color w:val="000000"/>
                <w:szCs w:val="18"/>
              </w:rPr>
            </w:pPr>
            <w:r w:rsidRPr="002B257B">
              <w:rPr>
                <w:color w:val="000000"/>
                <w:szCs w:val="18"/>
              </w:rPr>
              <w:t>300.336</w:t>
            </w:r>
          </w:p>
        </w:tc>
        <w:tc>
          <w:tcPr>
            <w:tcW w:w="1068" w:type="dxa"/>
            <w:tcBorders>
              <w:top w:val="nil"/>
              <w:left w:val="nil"/>
              <w:bottom w:val="single" w:sz="4" w:space="0" w:color="auto"/>
              <w:right w:val="single" w:sz="4" w:space="0" w:color="auto"/>
            </w:tcBorders>
            <w:shd w:val="clear" w:color="auto" w:fill="auto"/>
            <w:noWrap/>
            <w:vAlign w:val="center"/>
            <w:hideMark/>
          </w:tcPr>
          <w:p w14:paraId="66948DAC" w14:textId="77777777" w:rsidR="00E34764" w:rsidRPr="002B257B" w:rsidRDefault="00E34764" w:rsidP="002B257B">
            <w:pPr>
              <w:pStyle w:val="tabletxt"/>
              <w:jc w:val="right"/>
              <w:rPr>
                <w:color w:val="000000"/>
                <w:szCs w:val="18"/>
              </w:rPr>
            </w:pPr>
            <w:r w:rsidRPr="002B257B">
              <w:rPr>
                <w:color w:val="000000"/>
                <w:szCs w:val="18"/>
              </w:rPr>
              <w:t>251.960</w:t>
            </w:r>
          </w:p>
        </w:tc>
        <w:tc>
          <w:tcPr>
            <w:tcW w:w="1068" w:type="dxa"/>
            <w:tcBorders>
              <w:top w:val="nil"/>
              <w:left w:val="nil"/>
              <w:bottom w:val="single" w:sz="4" w:space="0" w:color="auto"/>
              <w:right w:val="single" w:sz="4" w:space="0" w:color="auto"/>
            </w:tcBorders>
            <w:shd w:val="clear" w:color="auto" w:fill="auto"/>
            <w:noWrap/>
            <w:vAlign w:val="center"/>
            <w:hideMark/>
          </w:tcPr>
          <w:p w14:paraId="6C0BE084" w14:textId="77777777" w:rsidR="00E34764" w:rsidRPr="002B257B" w:rsidRDefault="00E34764" w:rsidP="002B257B">
            <w:pPr>
              <w:pStyle w:val="tabletxt"/>
              <w:jc w:val="right"/>
              <w:rPr>
                <w:color w:val="000000"/>
                <w:szCs w:val="18"/>
              </w:rPr>
            </w:pPr>
            <w:r w:rsidRPr="002B257B">
              <w:rPr>
                <w:color w:val="000000"/>
                <w:szCs w:val="18"/>
              </w:rPr>
              <w:t>227.103</w:t>
            </w:r>
          </w:p>
        </w:tc>
        <w:tc>
          <w:tcPr>
            <w:tcW w:w="1068" w:type="dxa"/>
            <w:tcBorders>
              <w:top w:val="nil"/>
              <w:left w:val="nil"/>
              <w:bottom w:val="single" w:sz="4" w:space="0" w:color="auto"/>
              <w:right w:val="single" w:sz="4" w:space="0" w:color="auto"/>
            </w:tcBorders>
            <w:shd w:val="clear" w:color="auto" w:fill="auto"/>
            <w:noWrap/>
            <w:vAlign w:val="center"/>
            <w:hideMark/>
          </w:tcPr>
          <w:p w14:paraId="1EB10A69" w14:textId="77777777" w:rsidR="00E34764" w:rsidRPr="002B257B" w:rsidRDefault="00E34764" w:rsidP="002B257B">
            <w:pPr>
              <w:pStyle w:val="tabletxt"/>
              <w:jc w:val="right"/>
              <w:rPr>
                <w:color w:val="000000"/>
                <w:szCs w:val="18"/>
              </w:rPr>
            </w:pPr>
            <w:r w:rsidRPr="002B257B">
              <w:rPr>
                <w:color w:val="000000"/>
                <w:szCs w:val="18"/>
              </w:rPr>
              <w:t>293.845</w:t>
            </w:r>
          </w:p>
        </w:tc>
        <w:tc>
          <w:tcPr>
            <w:tcW w:w="1068" w:type="dxa"/>
            <w:tcBorders>
              <w:top w:val="nil"/>
              <w:left w:val="nil"/>
              <w:bottom w:val="single" w:sz="4" w:space="0" w:color="auto"/>
              <w:right w:val="single" w:sz="4" w:space="0" w:color="auto"/>
            </w:tcBorders>
            <w:shd w:val="clear" w:color="auto" w:fill="auto"/>
            <w:noWrap/>
            <w:vAlign w:val="center"/>
            <w:hideMark/>
          </w:tcPr>
          <w:p w14:paraId="08E92BB3" w14:textId="77777777" w:rsidR="00E34764" w:rsidRPr="002B257B" w:rsidRDefault="00E34764" w:rsidP="002B257B">
            <w:pPr>
              <w:pStyle w:val="tabletxt"/>
              <w:jc w:val="right"/>
              <w:rPr>
                <w:color w:val="000000"/>
                <w:szCs w:val="18"/>
              </w:rPr>
            </w:pPr>
            <w:r w:rsidRPr="002B257B">
              <w:rPr>
                <w:color w:val="000000"/>
                <w:szCs w:val="18"/>
              </w:rPr>
              <w:t>50,68%</w:t>
            </w:r>
          </w:p>
        </w:tc>
      </w:tr>
    </w:tbl>
    <w:p w14:paraId="27908A6A" w14:textId="7D742366" w:rsidR="00014FEF" w:rsidRDefault="00E34764" w:rsidP="00E34764">
      <w:pPr>
        <w:rPr>
          <w:bCs/>
          <w:color w:val="44697D"/>
          <w:sz w:val="18"/>
          <w:szCs w:val="18"/>
        </w:rPr>
      </w:pPr>
      <w:r w:rsidRPr="00FD510D">
        <w:rPr>
          <w:bCs/>
          <w:color w:val="44697D"/>
          <w:sz w:val="18"/>
          <w:szCs w:val="18"/>
        </w:rPr>
        <w:t>Izvor: statistika FINA</w:t>
      </w:r>
    </w:p>
    <w:p w14:paraId="60E2E0B1" w14:textId="77777777" w:rsidR="00E34764" w:rsidRPr="00FD510D" w:rsidRDefault="00E34764" w:rsidP="00E34764">
      <w:pPr>
        <w:pStyle w:val="Caption"/>
        <w:rPr>
          <w:rFonts w:cs="Tahoma"/>
          <w:sz w:val="20"/>
        </w:rPr>
      </w:pPr>
      <w:bookmarkStart w:id="54" w:name="_Toc420581460"/>
      <w:bookmarkStart w:id="55" w:name="_Toc437387498"/>
      <w:r w:rsidRPr="00FD510D">
        <w:t xml:space="preserve">Tablica </w:t>
      </w:r>
      <w:r>
        <w:fldChar w:fldCharType="begin"/>
      </w:r>
      <w:r>
        <w:instrText xml:space="preserve"> SEQ Tablica \* ARABIC </w:instrText>
      </w:r>
      <w:r>
        <w:fldChar w:fldCharType="separate"/>
      </w:r>
      <w:r w:rsidR="001358A9">
        <w:rPr>
          <w:noProof/>
        </w:rPr>
        <w:t>25</w:t>
      </w:r>
      <w:r>
        <w:rPr>
          <w:noProof/>
        </w:rPr>
        <w:fldChar w:fldCharType="end"/>
      </w:r>
      <w:r w:rsidRPr="00FD510D">
        <w:t>. Osnovni podaci o poslovnom sektoru Duga Resa, 2013. - 2017.</w:t>
      </w:r>
      <w:bookmarkEnd w:id="54"/>
      <w:bookmarkEnd w:id="55"/>
    </w:p>
    <w:tbl>
      <w:tblPr>
        <w:tblW w:w="0" w:type="auto"/>
        <w:tblLayout w:type="fixed"/>
        <w:tblLook w:val="04A0" w:firstRow="1" w:lastRow="0" w:firstColumn="1" w:lastColumn="0" w:noHBand="0" w:noVBand="1"/>
      </w:tblPr>
      <w:tblGrid>
        <w:gridCol w:w="2660"/>
        <w:gridCol w:w="1067"/>
        <w:gridCol w:w="1068"/>
        <w:gridCol w:w="1068"/>
        <w:gridCol w:w="1068"/>
        <w:gridCol w:w="1068"/>
        <w:gridCol w:w="1068"/>
      </w:tblGrid>
      <w:tr w:rsidR="00E34764" w:rsidRPr="002B257B" w14:paraId="48F4435F" w14:textId="77777777" w:rsidTr="002B257B">
        <w:trPr>
          <w:trHeight w:val="42"/>
          <w:tblHeader/>
        </w:trPr>
        <w:tc>
          <w:tcPr>
            <w:tcW w:w="2660" w:type="dxa"/>
            <w:tcBorders>
              <w:top w:val="single" w:sz="4" w:space="0" w:color="auto"/>
              <w:left w:val="single" w:sz="4" w:space="0" w:color="auto"/>
              <w:bottom w:val="single" w:sz="4" w:space="0" w:color="auto"/>
              <w:right w:val="single" w:sz="4" w:space="0" w:color="auto"/>
            </w:tcBorders>
            <w:shd w:val="clear" w:color="000000" w:fill="39617A"/>
            <w:noWrap/>
            <w:vAlign w:val="center"/>
            <w:hideMark/>
          </w:tcPr>
          <w:p w14:paraId="7AD2BD97" w14:textId="77777777" w:rsidR="00E34764" w:rsidRPr="002B257B" w:rsidRDefault="00E34764" w:rsidP="002B257B">
            <w:pPr>
              <w:pStyle w:val="tabletxt"/>
              <w:rPr>
                <w:color w:val="FFFFFF" w:themeColor="background1"/>
              </w:rPr>
            </w:pPr>
            <w:r w:rsidRPr="002B257B">
              <w:rPr>
                <w:color w:val="FFFFFF" w:themeColor="background1"/>
              </w:rPr>
              <w:t>POSLOVNO OKRUŽENJE DUGA RESA</w:t>
            </w:r>
          </w:p>
        </w:tc>
        <w:tc>
          <w:tcPr>
            <w:tcW w:w="1067" w:type="dxa"/>
            <w:tcBorders>
              <w:top w:val="single" w:sz="4" w:space="0" w:color="auto"/>
              <w:left w:val="nil"/>
              <w:bottom w:val="single" w:sz="4" w:space="0" w:color="auto"/>
              <w:right w:val="single" w:sz="4" w:space="0" w:color="auto"/>
            </w:tcBorders>
            <w:shd w:val="clear" w:color="000000" w:fill="39617A"/>
            <w:noWrap/>
            <w:vAlign w:val="center"/>
            <w:hideMark/>
          </w:tcPr>
          <w:p w14:paraId="01C03B27"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2013</w:t>
            </w:r>
          </w:p>
        </w:tc>
        <w:tc>
          <w:tcPr>
            <w:tcW w:w="1068" w:type="dxa"/>
            <w:tcBorders>
              <w:top w:val="single" w:sz="4" w:space="0" w:color="auto"/>
              <w:left w:val="nil"/>
              <w:bottom w:val="single" w:sz="4" w:space="0" w:color="auto"/>
              <w:right w:val="single" w:sz="4" w:space="0" w:color="auto"/>
            </w:tcBorders>
            <w:shd w:val="clear" w:color="000000" w:fill="39617A"/>
            <w:noWrap/>
            <w:vAlign w:val="center"/>
            <w:hideMark/>
          </w:tcPr>
          <w:p w14:paraId="46A9ECDB"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2014</w:t>
            </w:r>
          </w:p>
        </w:tc>
        <w:tc>
          <w:tcPr>
            <w:tcW w:w="1068" w:type="dxa"/>
            <w:tcBorders>
              <w:top w:val="single" w:sz="4" w:space="0" w:color="auto"/>
              <w:left w:val="nil"/>
              <w:bottom w:val="single" w:sz="4" w:space="0" w:color="auto"/>
              <w:right w:val="single" w:sz="4" w:space="0" w:color="auto"/>
            </w:tcBorders>
            <w:shd w:val="clear" w:color="000000" w:fill="39617A"/>
            <w:noWrap/>
            <w:vAlign w:val="center"/>
            <w:hideMark/>
          </w:tcPr>
          <w:p w14:paraId="7FF07568"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2015</w:t>
            </w:r>
          </w:p>
        </w:tc>
        <w:tc>
          <w:tcPr>
            <w:tcW w:w="1068" w:type="dxa"/>
            <w:tcBorders>
              <w:top w:val="single" w:sz="4" w:space="0" w:color="auto"/>
              <w:left w:val="nil"/>
              <w:bottom w:val="single" w:sz="4" w:space="0" w:color="auto"/>
              <w:right w:val="single" w:sz="4" w:space="0" w:color="auto"/>
            </w:tcBorders>
            <w:shd w:val="clear" w:color="000000" w:fill="39617A"/>
            <w:noWrap/>
            <w:vAlign w:val="center"/>
            <w:hideMark/>
          </w:tcPr>
          <w:p w14:paraId="46D5248C"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2016</w:t>
            </w:r>
          </w:p>
        </w:tc>
        <w:tc>
          <w:tcPr>
            <w:tcW w:w="1068" w:type="dxa"/>
            <w:tcBorders>
              <w:top w:val="single" w:sz="4" w:space="0" w:color="auto"/>
              <w:left w:val="nil"/>
              <w:bottom w:val="single" w:sz="4" w:space="0" w:color="auto"/>
              <w:right w:val="single" w:sz="4" w:space="0" w:color="auto"/>
            </w:tcBorders>
            <w:shd w:val="clear" w:color="000000" w:fill="39617A"/>
            <w:noWrap/>
            <w:vAlign w:val="center"/>
            <w:hideMark/>
          </w:tcPr>
          <w:p w14:paraId="79E7DBCF"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2017</w:t>
            </w:r>
          </w:p>
        </w:tc>
        <w:tc>
          <w:tcPr>
            <w:tcW w:w="1068" w:type="dxa"/>
            <w:tcBorders>
              <w:top w:val="single" w:sz="4" w:space="0" w:color="auto"/>
              <w:left w:val="nil"/>
              <w:bottom w:val="single" w:sz="4" w:space="0" w:color="auto"/>
              <w:right w:val="single" w:sz="4" w:space="0" w:color="auto"/>
            </w:tcBorders>
            <w:shd w:val="clear" w:color="000000" w:fill="39617A"/>
            <w:noWrap/>
            <w:vAlign w:val="center"/>
            <w:hideMark/>
          </w:tcPr>
          <w:p w14:paraId="4EE882F1"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INDEKS 2017-2013</w:t>
            </w:r>
          </w:p>
        </w:tc>
      </w:tr>
      <w:tr w:rsidR="00E34764" w:rsidRPr="003447D4" w14:paraId="7825A3CA" w14:textId="77777777" w:rsidTr="002B257B">
        <w:trPr>
          <w:trHeight w:val="192"/>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5DC97BF6" w14:textId="77777777" w:rsidR="00E34764" w:rsidRPr="002B257B" w:rsidRDefault="00E34764" w:rsidP="002B257B">
            <w:pPr>
              <w:pStyle w:val="tabletxt"/>
              <w:rPr>
                <w:color w:val="FFFFFF" w:themeColor="background1"/>
                <w:szCs w:val="18"/>
              </w:rPr>
            </w:pPr>
            <w:r w:rsidRPr="002B257B">
              <w:rPr>
                <w:color w:val="FFFFFF" w:themeColor="background1"/>
                <w:szCs w:val="18"/>
              </w:rPr>
              <w:t>Broj poduzetnika</w:t>
            </w:r>
          </w:p>
        </w:tc>
        <w:tc>
          <w:tcPr>
            <w:tcW w:w="1067" w:type="dxa"/>
            <w:tcBorders>
              <w:top w:val="nil"/>
              <w:left w:val="nil"/>
              <w:bottom w:val="single" w:sz="4" w:space="0" w:color="auto"/>
              <w:right w:val="single" w:sz="4" w:space="0" w:color="auto"/>
            </w:tcBorders>
            <w:shd w:val="clear" w:color="auto" w:fill="auto"/>
            <w:noWrap/>
            <w:vAlign w:val="center"/>
            <w:hideMark/>
          </w:tcPr>
          <w:p w14:paraId="15A56E27" w14:textId="77777777" w:rsidR="00E34764" w:rsidRPr="002B257B" w:rsidRDefault="00E34764" w:rsidP="002B257B">
            <w:pPr>
              <w:pStyle w:val="tabletxt"/>
              <w:jc w:val="right"/>
              <w:rPr>
                <w:color w:val="000000"/>
                <w:szCs w:val="18"/>
              </w:rPr>
            </w:pPr>
            <w:r w:rsidRPr="002B257B">
              <w:rPr>
                <w:color w:val="000000"/>
                <w:szCs w:val="18"/>
              </w:rPr>
              <w:t>138</w:t>
            </w:r>
          </w:p>
        </w:tc>
        <w:tc>
          <w:tcPr>
            <w:tcW w:w="1068" w:type="dxa"/>
            <w:tcBorders>
              <w:top w:val="nil"/>
              <w:left w:val="nil"/>
              <w:bottom w:val="single" w:sz="4" w:space="0" w:color="auto"/>
              <w:right w:val="single" w:sz="4" w:space="0" w:color="auto"/>
            </w:tcBorders>
            <w:shd w:val="clear" w:color="auto" w:fill="auto"/>
            <w:noWrap/>
            <w:vAlign w:val="center"/>
            <w:hideMark/>
          </w:tcPr>
          <w:p w14:paraId="067F8339" w14:textId="77777777" w:rsidR="00E34764" w:rsidRPr="002B257B" w:rsidRDefault="00E34764" w:rsidP="002B257B">
            <w:pPr>
              <w:pStyle w:val="tabletxt"/>
              <w:jc w:val="right"/>
              <w:rPr>
                <w:color w:val="000000"/>
                <w:szCs w:val="18"/>
              </w:rPr>
            </w:pPr>
            <w:r w:rsidRPr="002B257B">
              <w:rPr>
                <w:color w:val="000000"/>
                <w:szCs w:val="18"/>
              </w:rPr>
              <w:t>160</w:t>
            </w:r>
          </w:p>
        </w:tc>
        <w:tc>
          <w:tcPr>
            <w:tcW w:w="1068" w:type="dxa"/>
            <w:tcBorders>
              <w:top w:val="nil"/>
              <w:left w:val="nil"/>
              <w:bottom w:val="single" w:sz="4" w:space="0" w:color="auto"/>
              <w:right w:val="single" w:sz="4" w:space="0" w:color="auto"/>
            </w:tcBorders>
            <w:shd w:val="clear" w:color="auto" w:fill="auto"/>
            <w:noWrap/>
            <w:vAlign w:val="center"/>
            <w:hideMark/>
          </w:tcPr>
          <w:p w14:paraId="64D9C5E5" w14:textId="77777777" w:rsidR="00E34764" w:rsidRPr="002B257B" w:rsidRDefault="00E34764" w:rsidP="002B257B">
            <w:pPr>
              <w:pStyle w:val="tabletxt"/>
              <w:jc w:val="right"/>
              <w:rPr>
                <w:color w:val="000000"/>
                <w:szCs w:val="18"/>
              </w:rPr>
            </w:pPr>
            <w:r w:rsidRPr="002B257B">
              <w:rPr>
                <w:color w:val="000000"/>
                <w:szCs w:val="18"/>
              </w:rPr>
              <w:t>162</w:t>
            </w:r>
          </w:p>
        </w:tc>
        <w:tc>
          <w:tcPr>
            <w:tcW w:w="1068" w:type="dxa"/>
            <w:tcBorders>
              <w:top w:val="nil"/>
              <w:left w:val="nil"/>
              <w:bottom w:val="single" w:sz="4" w:space="0" w:color="auto"/>
              <w:right w:val="single" w:sz="4" w:space="0" w:color="auto"/>
            </w:tcBorders>
            <w:shd w:val="clear" w:color="auto" w:fill="auto"/>
            <w:noWrap/>
            <w:vAlign w:val="center"/>
            <w:hideMark/>
          </w:tcPr>
          <w:p w14:paraId="1189D822" w14:textId="77777777" w:rsidR="00E34764" w:rsidRPr="002B257B" w:rsidRDefault="00E34764" w:rsidP="002B257B">
            <w:pPr>
              <w:pStyle w:val="tabletxt"/>
              <w:jc w:val="right"/>
              <w:rPr>
                <w:color w:val="000000"/>
                <w:szCs w:val="18"/>
              </w:rPr>
            </w:pPr>
            <w:r w:rsidRPr="002B257B">
              <w:rPr>
                <w:color w:val="000000"/>
                <w:szCs w:val="18"/>
              </w:rPr>
              <w:t>167</w:t>
            </w:r>
          </w:p>
        </w:tc>
        <w:tc>
          <w:tcPr>
            <w:tcW w:w="1068" w:type="dxa"/>
            <w:tcBorders>
              <w:top w:val="nil"/>
              <w:left w:val="nil"/>
              <w:bottom w:val="single" w:sz="4" w:space="0" w:color="auto"/>
              <w:right w:val="single" w:sz="4" w:space="0" w:color="auto"/>
            </w:tcBorders>
            <w:shd w:val="clear" w:color="auto" w:fill="auto"/>
            <w:noWrap/>
            <w:vAlign w:val="center"/>
            <w:hideMark/>
          </w:tcPr>
          <w:p w14:paraId="70354014" w14:textId="77777777" w:rsidR="00E34764" w:rsidRPr="002B257B" w:rsidRDefault="00E34764" w:rsidP="002B257B">
            <w:pPr>
              <w:pStyle w:val="tabletxt"/>
              <w:jc w:val="right"/>
              <w:rPr>
                <w:color w:val="000000"/>
                <w:szCs w:val="18"/>
              </w:rPr>
            </w:pPr>
            <w:r w:rsidRPr="002B257B">
              <w:rPr>
                <w:color w:val="000000"/>
                <w:szCs w:val="18"/>
              </w:rPr>
              <w:t>174</w:t>
            </w:r>
          </w:p>
        </w:tc>
        <w:tc>
          <w:tcPr>
            <w:tcW w:w="1068" w:type="dxa"/>
            <w:tcBorders>
              <w:top w:val="nil"/>
              <w:left w:val="nil"/>
              <w:bottom w:val="single" w:sz="4" w:space="0" w:color="auto"/>
              <w:right w:val="single" w:sz="4" w:space="0" w:color="auto"/>
            </w:tcBorders>
            <w:shd w:val="clear" w:color="auto" w:fill="auto"/>
            <w:noWrap/>
            <w:vAlign w:val="center"/>
            <w:hideMark/>
          </w:tcPr>
          <w:p w14:paraId="45E83427" w14:textId="77777777" w:rsidR="00E34764" w:rsidRPr="002B257B" w:rsidRDefault="00E34764" w:rsidP="002B257B">
            <w:pPr>
              <w:pStyle w:val="tabletxt"/>
              <w:jc w:val="right"/>
              <w:rPr>
                <w:color w:val="000000"/>
                <w:szCs w:val="18"/>
              </w:rPr>
            </w:pPr>
            <w:r w:rsidRPr="002B257B">
              <w:rPr>
                <w:color w:val="000000"/>
                <w:szCs w:val="18"/>
              </w:rPr>
              <w:t>126,09%</w:t>
            </w:r>
          </w:p>
        </w:tc>
      </w:tr>
      <w:tr w:rsidR="00E34764" w:rsidRPr="003447D4" w14:paraId="11E076F2" w14:textId="77777777" w:rsidTr="002B257B">
        <w:trPr>
          <w:trHeight w:val="138"/>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5709849A" w14:textId="77777777" w:rsidR="00E34764" w:rsidRPr="002B257B" w:rsidRDefault="00E34764" w:rsidP="002B257B">
            <w:pPr>
              <w:pStyle w:val="tabletxt"/>
              <w:rPr>
                <w:color w:val="FFFFFF" w:themeColor="background1"/>
                <w:szCs w:val="18"/>
              </w:rPr>
            </w:pPr>
            <w:r w:rsidRPr="002B257B">
              <w:rPr>
                <w:color w:val="FFFFFF" w:themeColor="background1"/>
                <w:szCs w:val="18"/>
              </w:rPr>
              <w:t>Broj dobitaša</w:t>
            </w:r>
          </w:p>
        </w:tc>
        <w:tc>
          <w:tcPr>
            <w:tcW w:w="1067" w:type="dxa"/>
            <w:tcBorders>
              <w:top w:val="nil"/>
              <w:left w:val="nil"/>
              <w:bottom w:val="single" w:sz="4" w:space="0" w:color="auto"/>
              <w:right w:val="single" w:sz="4" w:space="0" w:color="auto"/>
            </w:tcBorders>
            <w:shd w:val="clear" w:color="auto" w:fill="auto"/>
            <w:noWrap/>
            <w:vAlign w:val="center"/>
            <w:hideMark/>
          </w:tcPr>
          <w:p w14:paraId="2330EA7A" w14:textId="77777777" w:rsidR="00E34764" w:rsidRPr="002B257B" w:rsidRDefault="00E34764" w:rsidP="002B257B">
            <w:pPr>
              <w:pStyle w:val="tabletxt"/>
              <w:jc w:val="right"/>
              <w:rPr>
                <w:color w:val="000000"/>
                <w:szCs w:val="18"/>
              </w:rPr>
            </w:pPr>
            <w:r w:rsidRPr="002B257B">
              <w:rPr>
                <w:color w:val="000000"/>
                <w:szCs w:val="18"/>
              </w:rPr>
              <w:t>81</w:t>
            </w:r>
          </w:p>
        </w:tc>
        <w:tc>
          <w:tcPr>
            <w:tcW w:w="1068" w:type="dxa"/>
            <w:tcBorders>
              <w:top w:val="nil"/>
              <w:left w:val="nil"/>
              <w:bottom w:val="single" w:sz="4" w:space="0" w:color="auto"/>
              <w:right w:val="single" w:sz="4" w:space="0" w:color="auto"/>
            </w:tcBorders>
            <w:shd w:val="clear" w:color="auto" w:fill="auto"/>
            <w:noWrap/>
            <w:vAlign w:val="center"/>
            <w:hideMark/>
          </w:tcPr>
          <w:p w14:paraId="26A01EB1" w14:textId="77777777" w:rsidR="00E34764" w:rsidRPr="002B257B" w:rsidRDefault="00E34764" w:rsidP="002B257B">
            <w:pPr>
              <w:pStyle w:val="tabletxt"/>
              <w:jc w:val="right"/>
              <w:rPr>
                <w:color w:val="000000"/>
                <w:szCs w:val="18"/>
              </w:rPr>
            </w:pPr>
            <w:r w:rsidRPr="002B257B">
              <w:rPr>
                <w:color w:val="000000"/>
                <w:szCs w:val="18"/>
              </w:rPr>
              <w:t>93</w:t>
            </w:r>
          </w:p>
        </w:tc>
        <w:tc>
          <w:tcPr>
            <w:tcW w:w="1068" w:type="dxa"/>
            <w:tcBorders>
              <w:top w:val="nil"/>
              <w:left w:val="nil"/>
              <w:bottom w:val="single" w:sz="4" w:space="0" w:color="auto"/>
              <w:right w:val="single" w:sz="4" w:space="0" w:color="auto"/>
            </w:tcBorders>
            <w:shd w:val="clear" w:color="auto" w:fill="auto"/>
            <w:noWrap/>
            <w:vAlign w:val="center"/>
            <w:hideMark/>
          </w:tcPr>
          <w:p w14:paraId="67C63401" w14:textId="77777777" w:rsidR="00E34764" w:rsidRPr="002B257B" w:rsidRDefault="00E34764" w:rsidP="002B257B">
            <w:pPr>
              <w:pStyle w:val="tabletxt"/>
              <w:jc w:val="right"/>
              <w:rPr>
                <w:color w:val="000000"/>
                <w:szCs w:val="18"/>
              </w:rPr>
            </w:pPr>
            <w:r w:rsidRPr="002B257B">
              <w:rPr>
                <w:color w:val="000000"/>
                <w:szCs w:val="18"/>
              </w:rPr>
              <w:t>98</w:t>
            </w:r>
          </w:p>
        </w:tc>
        <w:tc>
          <w:tcPr>
            <w:tcW w:w="1068" w:type="dxa"/>
            <w:tcBorders>
              <w:top w:val="nil"/>
              <w:left w:val="nil"/>
              <w:bottom w:val="single" w:sz="4" w:space="0" w:color="auto"/>
              <w:right w:val="single" w:sz="4" w:space="0" w:color="auto"/>
            </w:tcBorders>
            <w:shd w:val="clear" w:color="auto" w:fill="auto"/>
            <w:noWrap/>
            <w:vAlign w:val="center"/>
            <w:hideMark/>
          </w:tcPr>
          <w:p w14:paraId="39C6040C" w14:textId="77777777" w:rsidR="00E34764" w:rsidRPr="002B257B" w:rsidRDefault="00E34764" w:rsidP="002B257B">
            <w:pPr>
              <w:pStyle w:val="tabletxt"/>
              <w:jc w:val="right"/>
              <w:rPr>
                <w:color w:val="000000"/>
                <w:szCs w:val="18"/>
              </w:rPr>
            </w:pPr>
            <w:r w:rsidRPr="002B257B">
              <w:rPr>
                <w:color w:val="000000"/>
                <w:szCs w:val="18"/>
              </w:rPr>
              <w:t>113</w:t>
            </w:r>
          </w:p>
        </w:tc>
        <w:tc>
          <w:tcPr>
            <w:tcW w:w="1068" w:type="dxa"/>
            <w:tcBorders>
              <w:top w:val="nil"/>
              <w:left w:val="nil"/>
              <w:bottom w:val="single" w:sz="4" w:space="0" w:color="auto"/>
              <w:right w:val="single" w:sz="4" w:space="0" w:color="auto"/>
            </w:tcBorders>
            <w:shd w:val="clear" w:color="auto" w:fill="auto"/>
            <w:noWrap/>
            <w:vAlign w:val="center"/>
            <w:hideMark/>
          </w:tcPr>
          <w:p w14:paraId="7C961998" w14:textId="77777777" w:rsidR="00E34764" w:rsidRPr="002B257B" w:rsidRDefault="00E34764" w:rsidP="002B257B">
            <w:pPr>
              <w:pStyle w:val="tabletxt"/>
              <w:jc w:val="right"/>
              <w:rPr>
                <w:color w:val="000000"/>
                <w:szCs w:val="18"/>
              </w:rPr>
            </w:pPr>
            <w:r w:rsidRPr="002B257B">
              <w:rPr>
                <w:color w:val="000000"/>
                <w:szCs w:val="18"/>
              </w:rPr>
              <w:t>119</w:t>
            </w:r>
          </w:p>
        </w:tc>
        <w:tc>
          <w:tcPr>
            <w:tcW w:w="1068" w:type="dxa"/>
            <w:tcBorders>
              <w:top w:val="nil"/>
              <w:left w:val="nil"/>
              <w:bottom w:val="single" w:sz="4" w:space="0" w:color="auto"/>
              <w:right w:val="single" w:sz="4" w:space="0" w:color="auto"/>
            </w:tcBorders>
            <w:shd w:val="clear" w:color="auto" w:fill="auto"/>
            <w:noWrap/>
            <w:vAlign w:val="center"/>
            <w:hideMark/>
          </w:tcPr>
          <w:p w14:paraId="2560E93C" w14:textId="77777777" w:rsidR="00E34764" w:rsidRPr="002B257B" w:rsidRDefault="00E34764" w:rsidP="002B257B">
            <w:pPr>
              <w:pStyle w:val="tabletxt"/>
              <w:jc w:val="right"/>
              <w:rPr>
                <w:color w:val="000000"/>
                <w:szCs w:val="18"/>
              </w:rPr>
            </w:pPr>
            <w:r w:rsidRPr="002B257B">
              <w:rPr>
                <w:color w:val="000000"/>
                <w:szCs w:val="18"/>
              </w:rPr>
              <w:t>146,91%</w:t>
            </w:r>
          </w:p>
        </w:tc>
      </w:tr>
      <w:tr w:rsidR="00E34764" w:rsidRPr="003447D4" w14:paraId="33DFB949" w14:textId="77777777" w:rsidTr="002B257B">
        <w:trPr>
          <w:trHeight w:val="99"/>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6B3FD4B7" w14:textId="77777777" w:rsidR="00E34764" w:rsidRPr="002B257B" w:rsidRDefault="00E34764" w:rsidP="002B257B">
            <w:pPr>
              <w:pStyle w:val="tabletxt"/>
              <w:rPr>
                <w:color w:val="FFFFFF" w:themeColor="background1"/>
                <w:szCs w:val="18"/>
              </w:rPr>
            </w:pPr>
            <w:r w:rsidRPr="002B257B">
              <w:rPr>
                <w:color w:val="FFFFFF" w:themeColor="background1"/>
                <w:szCs w:val="18"/>
              </w:rPr>
              <w:t>Broj gubitaša</w:t>
            </w:r>
          </w:p>
        </w:tc>
        <w:tc>
          <w:tcPr>
            <w:tcW w:w="1067" w:type="dxa"/>
            <w:tcBorders>
              <w:top w:val="nil"/>
              <w:left w:val="nil"/>
              <w:bottom w:val="single" w:sz="4" w:space="0" w:color="auto"/>
              <w:right w:val="single" w:sz="4" w:space="0" w:color="auto"/>
            </w:tcBorders>
            <w:shd w:val="clear" w:color="auto" w:fill="auto"/>
            <w:noWrap/>
            <w:vAlign w:val="center"/>
            <w:hideMark/>
          </w:tcPr>
          <w:p w14:paraId="0AD0502B" w14:textId="77777777" w:rsidR="00E34764" w:rsidRPr="002B257B" w:rsidRDefault="00E34764" w:rsidP="002B257B">
            <w:pPr>
              <w:pStyle w:val="tabletxt"/>
              <w:jc w:val="right"/>
              <w:rPr>
                <w:color w:val="000000"/>
                <w:szCs w:val="18"/>
              </w:rPr>
            </w:pPr>
            <w:r w:rsidRPr="002B257B">
              <w:rPr>
                <w:color w:val="000000"/>
                <w:szCs w:val="18"/>
              </w:rPr>
              <w:t>57</w:t>
            </w:r>
          </w:p>
        </w:tc>
        <w:tc>
          <w:tcPr>
            <w:tcW w:w="1068" w:type="dxa"/>
            <w:tcBorders>
              <w:top w:val="nil"/>
              <w:left w:val="nil"/>
              <w:bottom w:val="single" w:sz="4" w:space="0" w:color="auto"/>
              <w:right w:val="single" w:sz="4" w:space="0" w:color="auto"/>
            </w:tcBorders>
            <w:shd w:val="clear" w:color="auto" w:fill="auto"/>
            <w:noWrap/>
            <w:vAlign w:val="center"/>
            <w:hideMark/>
          </w:tcPr>
          <w:p w14:paraId="74A03372" w14:textId="77777777" w:rsidR="00E34764" w:rsidRPr="002B257B" w:rsidRDefault="00E34764" w:rsidP="002B257B">
            <w:pPr>
              <w:pStyle w:val="tabletxt"/>
              <w:jc w:val="right"/>
              <w:rPr>
                <w:color w:val="000000"/>
                <w:szCs w:val="18"/>
              </w:rPr>
            </w:pPr>
            <w:r w:rsidRPr="002B257B">
              <w:rPr>
                <w:color w:val="000000"/>
                <w:szCs w:val="18"/>
              </w:rPr>
              <w:t>67</w:t>
            </w:r>
          </w:p>
        </w:tc>
        <w:tc>
          <w:tcPr>
            <w:tcW w:w="1068" w:type="dxa"/>
            <w:tcBorders>
              <w:top w:val="nil"/>
              <w:left w:val="nil"/>
              <w:bottom w:val="single" w:sz="4" w:space="0" w:color="auto"/>
              <w:right w:val="single" w:sz="4" w:space="0" w:color="auto"/>
            </w:tcBorders>
            <w:shd w:val="clear" w:color="auto" w:fill="auto"/>
            <w:noWrap/>
            <w:vAlign w:val="center"/>
            <w:hideMark/>
          </w:tcPr>
          <w:p w14:paraId="40E29499" w14:textId="77777777" w:rsidR="00E34764" w:rsidRPr="002B257B" w:rsidRDefault="00E34764" w:rsidP="002B257B">
            <w:pPr>
              <w:pStyle w:val="tabletxt"/>
              <w:jc w:val="right"/>
              <w:rPr>
                <w:color w:val="000000"/>
                <w:szCs w:val="18"/>
              </w:rPr>
            </w:pPr>
            <w:r w:rsidRPr="002B257B">
              <w:rPr>
                <w:color w:val="000000"/>
                <w:szCs w:val="18"/>
              </w:rPr>
              <w:t>64</w:t>
            </w:r>
          </w:p>
        </w:tc>
        <w:tc>
          <w:tcPr>
            <w:tcW w:w="1068" w:type="dxa"/>
            <w:tcBorders>
              <w:top w:val="nil"/>
              <w:left w:val="nil"/>
              <w:bottom w:val="single" w:sz="4" w:space="0" w:color="auto"/>
              <w:right w:val="single" w:sz="4" w:space="0" w:color="auto"/>
            </w:tcBorders>
            <w:shd w:val="clear" w:color="auto" w:fill="auto"/>
            <w:noWrap/>
            <w:vAlign w:val="center"/>
            <w:hideMark/>
          </w:tcPr>
          <w:p w14:paraId="4F6B98E8" w14:textId="77777777" w:rsidR="00E34764" w:rsidRPr="002B257B" w:rsidRDefault="00E34764" w:rsidP="002B257B">
            <w:pPr>
              <w:pStyle w:val="tabletxt"/>
              <w:jc w:val="right"/>
              <w:rPr>
                <w:color w:val="000000"/>
                <w:szCs w:val="18"/>
              </w:rPr>
            </w:pPr>
            <w:r w:rsidRPr="002B257B">
              <w:rPr>
                <w:color w:val="000000"/>
                <w:szCs w:val="18"/>
              </w:rPr>
              <w:t>54</w:t>
            </w:r>
          </w:p>
        </w:tc>
        <w:tc>
          <w:tcPr>
            <w:tcW w:w="1068" w:type="dxa"/>
            <w:tcBorders>
              <w:top w:val="nil"/>
              <w:left w:val="nil"/>
              <w:bottom w:val="single" w:sz="4" w:space="0" w:color="auto"/>
              <w:right w:val="single" w:sz="4" w:space="0" w:color="auto"/>
            </w:tcBorders>
            <w:shd w:val="clear" w:color="auto" w:fill="auto"/>
            <w:noWrap/>
            <w:vAlign w:val="center"/>
            <w:hideMark/>
          </w:tcPr>
          <w:p w14:paraId="6DD5E8A0" w14:textId="77777777" w:rsidR="00E34764" w:rsidRPr="002B257B" w:rsidRDefault="00E34764" w:rsidP="002B257B">
            <w:pPr>
              <w:pStyle w:val="tabletxt"/>
              <w:jc w:val="right"/>
              <w:rPr>
                <w:color w:val="000000"/>
                <w:szCs w:val="18"/>
              </w:rPr>
            </w:pPr>
            <w:r w:rsidRPr="002B257B">
              <w:rPr>
                <w:color w:val="000000"/>
                <w:szCs w:val="18"/>
              </w:rPr>
              <w:t>55</w:t>
            </w:r>
          </w:p>
        </w:tc>
        <w:tc>
          <w:tcPr>
            <w:tcW w:w="1068" w:type="dxa"/>
            <w:tcBorders>
              <w:top w:val="nil"/>
              <w:left w:val="nil"/>
              <w:bottom w:val="single" w:sz="4" w:space="0" w:color="auto"/>
              <w:right w:val="single" w:sz="4" w:space="0" w:color="auto"/>
            </w:tcBorders>
            <w:shd w:val="clear" w:color="auto" w:fill="auto"/>
            <w:noWrap/>
            <w:vAlign w:val="center"/>
            <w:hideMark/>
          </w:tcPr>
          <w:p w14:paraId="424A34FE" w14:textId="77777777" w:rsidR="00E34764" w:rsidRPr="002B257B" w:rsidRDefault="00E34764" w:rsidP="002B257B">
            <w:pPr>
              <w:pStyle w:val="tabletxt"/>
              <w:jc w:val="right"/>
              <w:rPr>
                <w:color w:val="000000"/>
                <w:szCs w:val="18"/>
              </w:rPr>
            </w:pPr>
            <w:r w:rsidRPr="002B257B">
              <w:rPr>
                <w:color w:val="000000"/>
                <w:szCs w:val="18"/>
              </w:rPr>
              <w:t>96,49%</w:t>
            </w:r>
          </w:p>
        </w:tc>
      </w:tr>
      <w:tr w:rsidR="00E34764" w:rsidRPr="003447D4" w14:paraId="19E750DE" w14:textId="77777777" w:rsidTr="002B257B">
        <w:trPr>
          <w:trHeight w:val="130"/>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28D3E429" w14:textId="77777777" w:rsidR="00E34764" w:rsidRPr="002B257B" w:rsidRDefault="00E34764" w:rsidP="002B257B">
            <w:pPr>
              <w:pStyle w:val="tabletxt"/>
              <w:rPr>
                <w:color w:val="FFFFFF" w:themeColor="background1"/>
                <w:szCs w:val="18"/>
              </w:rPr>
            </w:pPr>
            <w:r w:rsidRPr="002B257B">
              <w:rPr>
                <w:color w:val="FFFFFF" w:themeColor="background1"/>
                <w:szCs w:val="18"/>
              </w:rPr>
              <w:t>Broj zaposlenih</w:t>
            </w:r>
          </w:p>
        </w:tc>
        <w:tc>
          <w:tcPr>
            <w:tcW w:w="1067" w:type="dxa"/>
            <w:tcBorders>
              <w:top w:val="nil"/>
              <w:left w:val="nil"/>
              <w:bottom w:val="single" w:sz="4" w:space="0" w:color="auto"/>
              <w:right w:val="single" w:sz="4" w:space="0" w:color="auto"/>
            </w:tcBorders>
            <w:shd w:val="clear" w:color="auto" w:fill="auto"/>
            <w:noWrap/>
            <w:vAlign w:val="center"/>
            <w:hideMark/>
          </w:tcPr>
          <w:p w14:paraId="63E4CD0A" w14:textId="77777777" w:rsidR="00E34764" w:rsidRPr="002B257B" w:rsidRDefault="00E34764" w:rsidP="002B257B">
            <w:pPr>
              <w:pStyle w:val="tabletxt"/>
              <w:jc w:val="right"/>
              <w:rPr>
                <w:color w:val="000000"/>
                <w:szCs w:val="18"/>
              </w:rPr>
            </w:pPr>
            <w:r w:rsidRPr="002B257B">
              <w:rPr>
                <w:color w:val="000000"/>
                <w:szCs w:val="18"/>
              </w:rPr>
              <w:t>866</w:t>
            </w:r>
          </w:p>
        </w:tc>
        <w:tc>
          <w:tcPr>
            <w:tcW w:w="1068" w:type="dxa"/>
            <w:tcBorders>
              <w:top w:val="nil"/>
              <w:left w:val="nil"/>
              <w:bottom w:val="single" w:sz="4" w:space="0" w:color="auto"/>
              <w:right w:val="single" w:sz="4" w:space="0" w:color="auto"/>
            </w:tcBorders>
            <w:shd w:val="clear" w:color="auto" w:fill="auto"/>
            <w:noWrap/>
            <w:vAlign w:val="center"/>
            <w:hideMark/>
          </w:tcPr>
          <w:p w14:paraId="5B9AD1CC" w14:textId="77777777" w:rsidR="00E34764" w:rsidRPr="002B257B" w:rsidRDefault="00E34764" w:rsidP="002B257B">
            <w:pPr>
              <w:pStyle w:val="tabletxt"/>
              <w:jc w:val="right"/>
              <w:rPr>
                <w:color w:val="000000"/>
                <w:szCs w:val="18"/>
              </w:rPr>
            </w:pPr>
            <w:r w:rsidRPr="002B257B">
              <w:rPr>
                <w:color w:val="000000"/>
                <w:szCs w:val="18"/>
              </w:rPr>
              <w:t>932</w:t>
            </w:r>
          </w:p>
        </w:tc>
        <w:tc>
          <w:tcPr>
            <w:tcW w:w="1068" w:type="dxa"/>
            <w:tcBorders>
              <w:top w:val="nil"/>
              <w:left w:val="nil"/>
              <w:bottom w:val="single" w:sz="4" w:space="0" w:color="auto"/>
              <w:right w:val="single" w:sz="4" w:space="0" w:color="auto"/>
            </w:tcBorders>
            <w:shd w:val="clear" w:color="auto" w:fill="auto"/>
            <w:noWrap/>
            <w:vAlign w:val="center"/>
            <w:hideMark/>
          </w:tcPr>
          <w:p w14:paraId="5D6F5ECB" w14:textId="77777777" w:rsidR="00E34764" w:rsidRPr="002B257B" w:rsidRDefault="00E34764" w:rsidP="002B257B">
            <w:pPr>
              <w:pStyle w:val="tabletxt"/>
              <w:jc w:val="right"/>
              <w:rPr>
                <w:color w:val="000000"/>
                <w:szCs w:val="18"/>
              </w:rPr>
            </w:pPr>
            <w:r w:rsidRPr="002B257B">
              <w:rPr>
                <w:color w:val="000000"/>
                <w:szCs w:val="18"/>
              </w:rPr>
              <w:t>964</w:t>
            </w:r>
          </w:p>
        </w:tc>
        <w:tc>
          <w:tcPr>
            <w:tcW w:w="1068" w:type="dxa"/>
            <w:tcBorders>
              <w:top w:val="nil"/>
              <w:left w:val="nil"/>
              <w:bottom w:val="single" w:sz="4" w:space="0" w:color="auto"/>
              <w:right w:val="single" w:sz="4" w:space="0" w:color="auto"/>
            </w:tcBorders>
            <w:shd w:val="clear" w:color="auto" w:fill="auto"/>
            <w:noWrap/>
            <w:vAlign w:val="center"/>
            <w:hideMark/>
          </w:tcPr>
          <w:p w14:paraId="149469DD" w14:textId="77777777" w:rsidR="00E34764" w:rsidRPr="002B257B" w:rsidRDefault="00E34764" w:rsidP="002B257B">
            <w:pPr>
              <w:pStyle w:val="tabletxt"/>
              <w:jc w:val="right"/>
              <w:rPr>
                <w:color w:val="000000"/>
                <w:szCs w:val="18"/>
              </w:rPr>
            </w:pPr>
            <w:r w:rsidRPr="002B257B">
              <w:rPr>
                <w:color w:val="000000"/>
                <w:szCs w:val="18"/>
              </w:rPr>
              <w:t>1.061</w:t>
            </w:r>
          </w:p>
        </w:tc>
        <w:tc>
          <w:tcPr>
            <w:tcW w:w="1068" w:type="dxa"/>
            <w:tcBorders>
              <w:top w:val="nil"/>
              <w:left w:val="nil"/>
              <w:bottom w:val="single" w:sz="4" w:space="0" w:color="auto"/>
              <w:right w:val="single" w:sz="4" w:space="0" w:color="auto"/>
            </w:tcBorders>
            <w:shd w:val="clear" w:color="auto" w:fill="auto"/>
            <w:noWrap/>
            <w:vAlign w:val="center"/>
            <w:hideMark/>
          </w:tcPr>
          <w:p w14:paraId="1CAE0E24" w14:textId="77777777" w:rsidR="00E34764" w:rsidRPr="002B257B" w:rsidRDefault="00E34764" w:rsidP="002B257B">
            <w:pPr>
              <w:pStyle w:val="tabletxt"/>
              <w:jc w:val="right"/>
              <w:rPr>
                <w:color w:val="000000"/>
                <w:szCs w:val="18"/>
              </w:rPr>
            </w:pPr>
            <w:r w:rsidRPr="002B257B">
              <w:rPr>
                <w:color w:val="000000"/>
                <w:szCs w:val="18"/>
              </w:rPr>
              <w:t>1.019</w:t>
            </w:r>
          </w:p>
        </w:tc>
        <w:tc>
          <w:tcPr>
            <w:tcW w:w="1068" w:type="dxa"/>
            <w:tcBorders>
              <w:top w:val="nil"/>
              <w:left w:val="nil"/>
              <w:bottom w:val="single" w:sz="4" w:space="0" w:color="auto"/>
              <w:right w:val="single" w:sz="4" w:space="0" w:color="auto"/>
            </w:tcBorders>
            <w:shd w:val="clear" w:color="auto" w:fill="auto"/>
            <w:noWrap/>
            <w:vAlign w:val="center"/>
            <w:hideMark/>
          </w:tcPr>
          <w:p w14:paraId="5C614029" w14:textId="77777777" w:rsidR="00E34764" w:rsidRPr="002B257B" w:rsidRDefault="00E34764" w:rsidP="002B257B">
            <w:pPr>
              <w:pStyle w:val="tabletxt"/>
              <w:jc w:val="right"/>
              <w:rPr>
                <w:color w:val="000000"/>
                <w:szCs w:val="18"/>
              </w:rPr>
            </w:pPr>
            <w:r w:rsidRPr="002B257B">
              <w:rPr>
                <w:color w:val="000000"/>
                <w:szCs w:val="18"/>
              </w:rPr>
              <w:t>117,67%</w:t>
            </w:r>
          </w:p>
        </w:tc>
      </w:tr>
      <w:tr w:rsidR="00E34764" w:rsidRPr="003447D4" w14:paraId="7097F39A" w14:textId="77777777" w:rsidTr="002B257B">
        <w:trPr>
          <w:trHeight w:val="13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5A1624AC" w14:textId="77777777" w:rsidR="00E34764" w:rsidRPr="002B257B" w:rsidRDefault="00E34764" w:rsidP="002B257B">
            <w:pPr>
              <w:pStyle w:val="tabletxt"/>
              <w:rPr>
                <w:color w:val="FFFFFF" w:themeColor="background1"/>
                <w:szCs w:val="18"/>
              </w:rPr>
            </w:pPr>
            <w:r w:rsidRPr="002B257B">
              <w:rPr>
                <w:color w:val="FFFFFF" w:themeColor="background1"/>
                <w:szCs w:val="18"/>
              </w:rPr>
              <w:t>Ukupni prihodi</w:t>
            </w:r>
          </w:p>
        </w:tc>
        <w:tc>
          <w:tcPr>
            <w:tcW w:w="1067" w:type="dxa"/>
            <w:tcBorders>
              <w:top w:val="nil"/>
              <w:left w:val="nil"/>
              <w:bottom w:val="single" w:sz="4" w:space="0" w:color="auto"/>
              <w:right w:val="single" w:sz="4" w:space="0" w:color="auto"/>
            </w:tcBorders>
            <w:shd w:val="clear" w:color="auto" w:fill="auto"/>
            <w:noWrap/>
            <w:vAlign w:val="center"/>
            <w:hideMark/>
          </w:tcPr>
          <w:p w14:paraId="1E89B407" w14:textId="77777777" w:rsidR="00E34764" w:rsidRPr="002B257B" w:rsidRDefault="00E34764" w:rsidP="002B257B">
            <w:pPr>
              <w:pStyle w:val="tabletxt"/>
              <w:jc w:val="right"/>
              <w:rPr>
                <w:color w:val="000000"/>
                <w:szCs w:val="18"/>
              </w:rPr>
            </w:pPr>
            <w:r w:rsidRPr="002B257B">
              <w:rPr>
                <w:color w:val="000000"/>
                <w:szCs w:val="18"/>
              </w:rPr>
              <w:t>270.752</w:t>
            </w:r>
          </w:p>
        </w:tc>
        <w:tc>
          <w:tcPr>
            <w:tcW w:w="1068" w:type="dxa"/>
            <w:tcBorders>
              <w:top w:val="nil"/>
              <w:left w:val="nil"/>
              <w:bottom w:val="single" w:sz="4" w:space="0" w:color="auto"/>
              <w:right w:val="single" w:sz="4" w:space="0" w:color="auto"/>
            </w:tcBorders>
            <w:shd w:val="clear" w:color="auto" w:fill="auto"/>
            <w:noWrap/>
            <w:vAlign w:val="center"/>
            <w:hideMark/>
          </w:tcPr>
          <w:p w14:paraId="23CC2658" w14:textId="77777777" w:rsidR="00E34764" w:rsidRPr="002B257B" w:rsidRDefault="00E34764" w:rsidP="002B257B">
            <w:pPr>
              <w:pStyle w:val="tabletxt"/>
              <w:jc w:val="right"/>
              <w:rPr>
                <w:color w:val="000000"/>
                <w:szCs w:val="18"/>
              </w:rPr>
            </w:pPr>
            <w:r w:rsidRPr="002B257B">
              <w:rPr>
                <w:color w:val="000000"/>
                <w:szCs w:val="18"/>
              </w:rPr>
              <w:t>302.932</w:t>
            </w:r>
          </w:p>
        </w:tc>
        <w:tc>
          <w:tcPr>
            <w:tcW w:w="1068" w:type="dxa"/>
            <w:tcBorders>
              <w:top w:val="nil"/>
              <w:left w:val="nil"/>
              <w:bottom w:val="single" w:sz="4" w:space="0" w:color="auto"/>
              <w:right w:val="single" w:sz="4" w:space="0" w:color="auto"/>
            </w:tcBorders>
            <w:shd w:val="clear" w:color="auto" w:fill="auto"/>
            <w:noWrap/>
            <w:vAlign w:val="center"/>
            <w:hideMark/>
          </w:tcPr>
          <w:p w14:paraId="69E7C17A" w14:textId="77777777" w:rsidR="00E34764" w:rsidRPr="002B257B" w:rsidRDefault="00E34764" w:rsidP="002B257B">
            <w:pPr>
              <w:pStyle w:val="tabletxt"/>
              <w:jc w:val="right"/>
              <w:rPr>
                <w:color w:val="000000"/>
                <w:szCs w:val="18"/>
              </w:rPr>
            </w:pPr>
            <w:r w:rsidRPr="002B257B">
              <w:rPr>
                <w:color w:val="000000"/>
                <w:szCs w:val="18"/>
              </w:rPr>
              <w:t>367.887</w:t>
            </w:r>
          </w:p>
        </w:tc>
        <w:tc>
          <w:tcPr>
            <w:tcW w:w="1068" w:type="dxa"/>
            <w:tcBorders>
              <w:top w:val="nil"/>
              <w:left w:val="nil"/>
              <w:bottom w:val="single" w:sz="4" w:space="0" w:color="auto"/>
              <w:right w:val="single" w:sz="4" w:space="0" w:color="auto"/>
            </w:tcBorders>
            <w:shd w:val="clear" w:color="auto" w:fill="auto"/>
            <w:noWrap/>
            <w:vAlign w:val="center"/>
            <w:hideMark/>
          </w:tcPr>
          <w:p w14:paraId="7AF65868" w14:textId="77777777" w:rsidR="00E34764" w:rsidRPr="002B257B" w:rsidRDefault="00E34764" w:rsidP="002B257B">
            <w:pPr>
              <w:pStyle w:val="tabletxt"/>
              <w:jc w:val="right"/>
              <w:rPr>
                <w:color w:val="000000"/>
                <w:szCs w:val="18"/>
              </w:rPr>
            </w:pPr>
            <w:r w:rsidRPr="002B257B">
              <w:rPr>
                <w:color w:val="000000"/>
                <w:szCs w:val="18"/>
              </w:rPr>
              <w:t>366.539</w:t>
            </w:r>
          </w:p>
        </w:tc>
        <w:tc>
          <w:tcPr>
            <w:tcW w:w="1068" w:type="dxa"/>
            <w:tcBorders>
              <w:top w:val="nil"/>
              <w:left w:val="nil"/>
              <w:bottom w:val="single" w:sz="4" w:space="0" w:color="auto"/>
              <w:right w:val="single" w:sz="4" w:space="0" w:color="auto"/>
            </w:tcBorders>
            <w:shd w:val="clear" w:color="auto" w:fill="auto"/>
            <w:noWrap/>
            <w:vAlign w:val="center"/>
            <w:hideMark/>
          </w:tcPr>
          <w:p w14:paraId="57AA8DFC" w14:textId="77777777" w:rsidR="00E34764" w:rsidRPr="002B257B" w:rsidRDefault="00E34764" w:rsidP="002B257B">
            <w:pPr>
              <w:pStyle w:val="tabletxt"/>
              <w:jc w:val="right"/>
              <w:rPr>
                <w:color w:val="000000"/>
                <w:szCs w:val="18"/>
              </w:rPr>
            </w:pPr>
            <w:r w:rsidRPr="002B257B">
              <w:rPr>
                <w:color w:val="000000"/>
                <w:szCs w:val="18"/>
              </w:rPr>
              <w:t>351.988</w:t>
            </w:r>
          </w:p>
        </w:tc>
        <w:tc>
          <w:tcPr>
            <w:tcW w:w="1068" w:type="dxa"/>
            <w:tcBorders>
              <w:top w:val="nil"/>
              <w:left w:val="nil"/>
              <w:bottom w:val="single" w:sz="4" w:space="0" w:color="auto"/>
              <w:right w:val="single" w:sz="4" w:space="0" w:color="auto"/>
            </w:tcBorders>
            <w:shd w:val="clear" w:color="auto" w:fill="auto"/>
            <w:noWrap/>
            <w:vAlign w:val="center"/>
            <w:hideMark/>
          </w:tcPr>
          <w:p w14:paraId="4515CE4B" w14:textId="77777777" w:rsidR="00E34764" w:rsidRPr="002B257B" w:rsidRDefault="00E34764" w:rsidP="002B257B">
            <w:pPr>
              <w:pStyle w:val="tabletxt"/>
              <w:jc w:val="right"/>
              <w:rPr>
                <w:color w:val="000000"/>
                <w:szCs w:val="18"/>
              </w:rPr>
            </w:pPr>
            <w:r w:rsidRPr="002B257B">
              <w:rPr>
                <w:color w:val="000000"/>
                <w:szCs w:val="18"/>
              </w:rPr>
              <w:t>130,00%</w:t>
            </w:r>
          </w:p>
        </w:tc>
      </w:tr>
      <w:tr w:rsidR="00E34764" w:rsidRPr="003447D4" w14:paraId="46EE47D3"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10694B6A" w14:textId="77777777" w:rsidR="00E34764" w:rsidRPr="002B257B" w:rsidRDefault="00E34764" w:rsidP="002B257B">
            <w:pPr>
              <w:pStyle w:val="tabletxt"/>
              <w:rPr>
                <w:color w:val="FFFFFF" w:themeColor="background1"/>
                <w:szCs w:val="18"/>
              </w:rPr>
            </w:pPr>
            <w:r w:rsidRPr="002B257B">
              <w:rPr>
                <w:color w:val="FFFFFF" w:themeColor="background1"/>
                <w:szCs w:val="18"/>
              </w:rPr>
              <w:t>Ukupni rashodi</w:t>
            </w:r>
          </w:p>
        </w:tc>
        <w:tc>
          <w:tcPr>
            <w:tcW w:w="1067" w:type="dxa"/>
            <w:tcBorders>
              <w:top w:val="nil"/>
              <w:left w:val="nil"/>
              <w:bottom w:val="single" w:sz="4" w:space="0" w:color="auto"/>
              <w:right w:val="single" w:sz="4" w:space="0" w:color="auto"/>
            </w:tcBorders>
            <w:shd w:val="clear" w:color="auto" w:fill="auto"/>
            <w:noWrap/>
            <w:vAlign w:val="center"/>
            <w:hideMark/>
          </w:tcPr>
          <w:p w14:paraId="327EEDB6" w14:textId="77777777" w:rsidR="00E34764" w:rsidRPr="002B257B" w:rsidRDefault="00E34764" w:rsidP="002B257B">
            <w:pPr>
              <w:pStyle w:val="tabletxt"/>
              <w:jc w:val="right"/>
              <w:rPr>
                <w:color w:val="000000"/>
                <w:szCs w:val="18"/>
              </w:rPr>
            </w:pPr>
            <w:r w:rsidRPr="002B257B">
              <w:rPr>
                <w:color w:val="000000"/>
                <w:szCs w:val="18"/>
              </w:rPr>
              <w:t>280.168</w:t>
            </w:r>
          </w:p>
        </w:tc>
        <w:tc>
          <w:tcPr>
            <w:tcW w:w="1068" w:type="dxa"/>
            <w:tcBorders>
              <w:top w:val="nil"/>
              <w:left w:val="nil"/>
              <w:bottom w:val="single" w:sz="4" w:space="0" w:color="auto"/>
              <w:right w:val="single" w:sz="4" w:space="0" w:color="auto"/>
            </w:tcBorders>
            <w:shd w:val="clear" w:color="auto" w:fill="auto"/>
            <w:noWrap/>
            <w:vAlign w:val="center"/>
            <w:hideMark/>
          </w:tcPr>
          <w:p w14:paraId="4A722E8A" w14:textId="77777777" w:rsidR="00E34764" w:rsidRPr="002B257B" w:rsidRDefault="00E34764" w:rsidP="002B257B">
            <w:pPr>
              <w:pStyle w:val="tabletxt"/>
              <w:jc w:val="right"/>
              <w:rPr>
                <w:color w:val="000000"/>
                <w:szCs w:val="18"/>
              </w:rPr>
            </w:pPr>
            <w:r w:rsidRPr="002B257B">
              <w:rPr>
                <w:color w:val="000000"/>
                <w:szCs w:val="18"/>
              </w:rPr>
              <w:t>298.801</w:t>
            </w:r>
          </w:p>
        </w:tc>
        <w:tc>
          <w:tcPr>
            <w:tcW w:w="1068" w:type="dxa"/>
            <w:tcBorders>
              <w:top w:val="nil"/>
              <w:left w:val="nil"/>
              <w:bottom w:val="single" w:sz="4" w:space="0" w:color="auto"/>
              <w:right w:val="single" w:sz="4" w:space="0" w:color="auto"/>
            </w:tcBorders>
            <w:shd w:val="clear" w:color="auto" w:fill="auto"/>
            <w:noWrap/>
            <w:vAlign w:val="center"/>
            <w:hideMark/>
          </w:tcPr>
          <w:p w14:paraId="197052A8" w14:textId="77777777" w:rsidR="00E34764" w:rsidRPr="002B257B" w:rsidRDefault="00E34764" w:rsidP="002B257B">
            <w:pPr>
              <w:pStyle w:val="tabletxt"/>
              <w:jc w:val="right"/>
              <w:rPr>
                <w:color w:val="000000"/>
                <w:szCs w:val="18"/>
              </w:rPr>
            </w:pPr>
            <w:r w:rsidRPr="002B257B">
              <w:rPr>
                <w:color w:val="000000"/>
                <w:szCs w:val="18"/>
              </w:rPr>
              <w:t>300.335</w:t>
            </w:r>
          </w:p>
        </w:tc>
        <w:tc>
          <w:tcPr>
            <w:tcW w:w="1068" w:type="dxa"/>
            <w:tcBorders>
              <w:top w:val="nil"/>
              <w:left w:val="nil"/>
              <w:bottom w:val="single" w:sz="4" w:space="0" w:color="auto"/>
              <w:right w:val="single" w:sz="4" w:space="0" w:color="auto"/>
            </w:tcBorders>
            <w:shd w:val="clear" w:color="auto" w:fill="auto"/>
            <w:noWrap/>
            <w:vAlign w:val="center"/>
            <w:hideMark/>
          </w:tcPr>
          <w:p w14:paraId="051FA770" w14:textId="77777777" w:rsidR="00E34764" w:rsidRPr="002B257B" w:rsidRDefault="00E34764" w:rsidP="002B257B">
            <w:pPr>
              <w:pStyle w:val="tabletxt"/>
              <w:jc w:val="right"/>
              <w:rPr>
                <w:color w:val="000000"/>
                <w:szCs w:val="18"/>
              </w:rPr>
            </w:pPr>
            <w:r w:rsidRPr="002B257B">
              <w:rPr>
                <w:color w:val="000000"/>
                <w:szCs w:val="18"/>
              </w:rPr>
              <w:t>366.800</w:t>
            </w:r>
          </w:p>
        </w:tc>
        <w:tc>
          <w:tcPr>
            <w:tcW w:w="1068" w:type="dxa"/>
            <w:tcBorders>
              <w:top w:val="nil"/>
              <w:left w:val="nil"/>
              <w:bottom w:val="single" w:sz="4" w:space="0" w:color="auto"/>
              <w:right w:val="single" w:sz="4" w:space="0" w:color="auto"/>
            </w:tcBorders>
            <w:shd w:val="clear" w:color="auto" w:fill="auto"/>
            <w:noWrap/>
            <w:vAlign w:val="center"/>
            <w:hideMark/>
          </w:tcPr>
          <w:p w14:paraId="2A673434" w14:textId="77777777" w:rsidR="00E34764" w:rsidRPr="002B257B" w:rsidRDefault="00E34764" w:rsidP="002B257B">
            <w:pPr>
              <w:pStyle w:val="tabletxt"/>
              <w:jc w:val="right"/>
              <w:rPr>
                <w:color w:val="000000"/>
                <w:szCs w:val="18"/>
              </w:rPr>
            </w:pPr>
            <w:r w:rsidRPr="002B257B">
              <w:rPr>
                <w:color w:val="000000"/>
                <w:szCs w:val="18"/>
              </w:rPr>
              <w:t>329.233</w:t>
            </w:r>
          </w:p>
        </w:tc>
        <w:tc>
          <w:tcPr>
            <w:tcW w:w="1068" w:type="dxa"/>
            <w:tcBorders>
              <w:top w:val="nil"/>
              <w:left w:val="nil"/>
              <w:bottom w:val="single" w:sz="4" w:space="0" w:color="auto"/>
              <w:right w:val="single" w:sz="4" w:space="0" w:color="auto"/>
            </w:tcBorders>
            <w:shd w:val="clear" w:color="auto" w:fill="auto"/>
            <w:noWrap/>
            <w:vAlign w:val="center"/>
            <w:hideMark/>
          </w:tcPr>
          <w:p w14:paraId="544A716D" w14:textId="77777777" w:rsidR="00E34764" w:rsidRPr="002B257B" w:rsidRDefault="00E34764" w:rsidP="002B257B">
            <w:pPr>
              <w:pStyle w:val="tabletxt"/>
              <w:jc w:val="right"/>
              <w:rPr>
                <w:color w:val="000000"/>
                <w:szCs w:val="18"/>
              </w:rPr>
            </w:pPr>
            <w:r w:rsidRPr="002B257B">
              <w:rPr>
                <w:color w:val="000000"/>
                <w:szCs w:val="18"/>
              </w:rPr>
              <w:t>117,51%</w:t>
            </w:r>
          </w:p>
        </w:tc>
      </w:tr>
      <w:tr w:rsidR="00E34764" w:rsidRPr="003447D4" w14:paraId="16F89801"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3E4652B4" w14:textId="77777777" w:rsidR="00E34764" w:rsidRPr="002B257B" w:rsidRDefault="00E34764" w:rsidP="002B257B">
            <w:pPr>
              <w:pStyle w:val="tabletxt"/>
              <w:rPr>
                <w:color w:val="FFFFFF" w:themeColor="background1"/>
                <w:szCs w:val="18"/>
              </w:rPr>
            </w:pPr>
            <w:r w:rsidRPr="002B257B">
              <w:rPr>
                <w:color w:val="FFFFFF" w:themeColor="background1"/>
                <w:szCs w:val="18"/>
              </w:rPr>
              <w:t>Dobit razdoblja</w:t>
            </w:r>
          </w:p>
        </w:tc>
        <w:tc>
          <w:tcPr>
            <w:tcW w:w="1067" w:type="dxa"/>
            <w:tcBorders>
              <w:top w:val="nil"/>
              <w:left w:val="nil"/>
              <w:bottom w:val="single" w:sz="4" w:space="0" w:color="auto"/>
              <w:right w:val="single" w:sz="4" w:space="0" w:color="auto"/>
            </w:tcBorders>
            <w:shd w:val="clear" w:color="auto" w:fill="auto"/>
            <w:noWrap/>
            <w:vAlign w:val="center"/>
            <w:hideMark/>
          </w:tcPr>
          <w:p w14:paraId="2ADF9032" w14:textId="77777777" w:rsidR="00E34764" w:rsidRPr="002B257B" w:rsidRDefault="00E34764" w:rsidP="002B257B">
            <w:pPr>
              <w:pStyle w:val="tabletxt"/>
              <w:jc w:val="right"/>
              <w:rPr>
                <w:color w:val="000000"/>
                <w:szCs w:val="18"/>
              </w:rPr>
            </w:pPr>
            <w:r w:rsidRPr="002B257B">
              <w:rPr>
                <w:color w:val="000000"/>
                <w:szCs w:val="18"/>
              </w:rPr>
              <w:t>10.121</w:t>
            </w:r>
          </w:p>
        </w:tc>
        <w:tc>
          <w:tcPr>
            <w:tcW w:w="1068" w:type="dxa"/>
            <w:tcBorders>
              <w:top w:val="nil"/>
              <w:left w:val="nil"/>
              <w:bottom w:val="single" w:sz="4" w:space="0" w:color="auto"/>
              <w:right w:val="single" w:sz="4" w:space="0" w:color="auto"/>
            </w:tcBorders>
            <w:shd w:val="clear" w:color="auto" w:fill="auto"/>
            <w:noWrap/>
            <w:vAlign w:val="center"/>
            <w:hideMark/>
          </w:tcPr>
          <w:p w14:paraId="5DAB889B" w14:textId="77777777" w:rsidR="00E34764" w:rsidRPr="002B257B" w:rsidRDefault="00E34764" w:rsidP="002B257B">
            <w:pPr>
              <w:pStyle w:val="tabletxt"/>
              <w:jc w:val="right"/>
              <w:rPr>
                <w:color w:val="000000"/>
                <w:szCs w:val="18"/>
              </w:rPr>
            </w:pPr>
            <w:r w:rsidRPr="002B257B">
              <w:rPr>
                <w:color w:val="000000"/>
                <w:szCs w:val="18"/>
              </w:rPr>
              <w:t>18.291</w:t>
            </w:r>
          </w:p>
        </w:tc>
        <w:tc>
          <w:tcPr>
            <w:tcW w:w="1068" w:type="dxa"/>
            <w:tcBorders>
              <w:top w:val="nil"/>
              <w:left w:val="nil"/>
              <w:bottom w:val="single" w:sz="4" w:space="0" w:color="auto"/>
              <w:right w:val="single" w:sz="4" w:space="0" w:color="auto"/>
            </w:tcBorders>
            <w:shd w:val="clear" w:color="auto" w:fill="auto"/>
            <w:noWrap/>
            <w:vAlign w:val="center"/>
            <w:hideMark/>
          </w:tcPr>
          <w:p w14:paraId="18A4963A" w14:textId="77777777" w:rsidR="00E34764" w:rsidRPr="002B257B" w:rsidRDefault="00E34764" w:rsidP="002B257B">
            <w:pPr>
              <w:pStyle w:val="tabletxt"/>
              <w:jc w:val="right"/>
              <w:rPr>
                <w:color w:val="000000"/>
                <w:szCs w:val="18"/>
              </w:rPr>
            </w:pPr>
            <w:r w:rsidRPr="002B257B">
              <w:rPr>
                <w:color w:val="000000"/>
                <w:szCs w:val="18"/>
              </w:rPr>
              <w:t>71.411</w:t>
            </w:r>
          </w:p>
        </w:tc>
        <w:tc>
          <w:tcPr>
            <w:tcW w:w="1068" w:type="dxa"/>
            <w:tcBorders>
              <w:top w:val="nil"/>
              <w:left w:val="nil"/>
              <w:bottom w:val="single" w:sz="4" w:space="0" w:color="auto"/>
              <w:right w:val="single" w:sz="4" w:space="0" w:color="auto"/>
            </w:tcBorders>
            <w:shd w:val="clear" w:color="auto" w:fill="auto"/>
            <w:noWrap/>
            <w:vAlign w:val="center"/>
            <w:hideMark/>
          </w:tcPr>
          <w:p w14:paraId="7D23E278" w14:textId="77777777" w:rsidR="00E34764" w:rsidRPr="002B257B" w:rsidRDefault="00E34764" w:rsidP="002B257B">
            <w:pPr>
              <w:pStyle w:val="tabletxt"/>
              <w:jc w:val="right"/>
              <w:rPr>
                <w:color w:val="000000"/>
                <w:szCs w:val="18"/>
              </w:rPr>
            </w:pPr>
            <w:r w:rsidRPr="002B257B">
              <w:rPr>
                <w:color w:val="000000"/>
                <w:szCs w:val="18"/>
              </w:rPr>
              <w:t>17.751</w:t>
            </w:r>
          </w:p>
        </w:tc>
        <w:tc>
          <w:tcPr>
            <w:tcW w:w="1068" w:type="dxa"/>
            <w:tcBorders>
              <w:top w:val="nil"/>
              <w:left w:val="nil"/>
              <w:bottom w:val="single" w:sz="4" w:space="0" w:color="auto"/>
              <w:right w:val="single" w:sz="4" w:space="0" w:color="auto"/>
            </w:tcBorders>
            <w:shd w:val="clear" w:color="auto" w:fill="auto"/>
            <w:noWrap/>
            <w:vAlign w:val="center"/>
            <w:hideMark/>
          </w:tcPr>
          <w:p w14:paraId="64B406A9" w14:textId="77777777" w:rsidR="00E34764" w:rsidRPr="002B257B" w:rsidRDefault="00E34764" w:rsidP="002B257B">
            <w:pPr>
              <w:pStyle w:val="tabletxt"/>
              <w:jc w:val="right"/>
              <w:rPr>
                <w:color w:val="000000"/>
                <w:szCs w:val="18"/>
              </w:rPr>
            </w:pPr>
            <w:r w:rsidRPr="002B257B">
              <w:rPr>
                <w:color w:val="000000"/>
                <w:szCs w:val="18"/>
              </w:rPr>
              <w:t>23.711</w:t>
            </w:r>
          </w:p>
        </w:tc>
        <w:tc>
          <w:tcPr>
            <w:tcW w:w="1068" w:type="dxa"/>
            <w:tcBorders>
              <w:top w:val="nil"/>
              <w:left w:val="nil"/>
              <w:bottom w:val="single" w:sz="4" w:space="0" w:color="auto"/>
              <w:right w:val="single" w:sz="4" w:space="0" w:color="auto"/>
            </w:tcBorders>
            <w:shd w:val="clear" w:color="auto" w:fill="auto"/>
            <w:noWrap/>
            <w:vAlign w:val="center"/>
            <w:hideMark/>
          </w:tcPr>
          <w:p w14:paraId="69705EFA" w14:textId="77777777" w:rsidR="00E34764" w:rsidRPr="002B257B" w:rsidRDefault="00E34764" w:rsidP="002B257B">
            <w:pPr>
              <w:pStyle w:val="tabletxt"/>
              <w:jc w:val="right"/>
              <w:rPr>
                <w:color w:val="000000"/>
                <w:szCs w:val="18"/>
              </w:rPr>
            </w:pPr>
            <w:r w:rsidRPr="002B257B">
              <w:rPr>
                <w:color w:val="000000"/>
                <w:szCs w:val="18"/>
              </w:rPr>
              <w:t>234,26%</w:t>
            </w:r>
          </w:p>
        </w:tc>
      </w:tr>
      <w:tr w:rsidR="00E34764" w:rsidRPr="003447D4" w14:paraId="15A887C0" w14:textId="77777777" w:rsidTr="002B257B">
        <w:trPr>
          <w:trHeight w:val="54"/>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59EC2984" w14:textId="77777777" w:rsidR="00E34764" w:rsidRPr="002B257B" w:rsidRDefault="00E34764" w:rsidP="002B257B">
            <w:pPr>
              <w:pStyle w:val="tabletxt"/>
              <w:rPr>
                <w:color w:val="FFFFFF" w:themeColor="background1"/>
                <w:szCs w:val="18"/>
              </w:rPr>
            </w:pPr>
            <w:r w:rsidRPr="002B257B">
              <w:rPr>
                <w:color w:val="FFFFFF" w:themeColor="background1"/>
                <w:szCs w:val="18"/>
              </w:rPr>
              <w:t>Gubitak razdoblja</w:t>
            </w:r>
          </w:p>
        </w:tc>
        <w:tc>
          <w:tcPr>
            <w:tcW w:w="1067" w:type="dxa"/>
            <w:tcBorders>
              <w:top w:val="nil"/>
              <w:left w:val="nil"/>
              <w:bottom w:val="single" w:sz="4" w:space="0" w:color="auto"/>
              <w:right w:val="single" w:sz="4" w:space="0" w:color="auto"/>
            </w:tcBorders>
            <w:shd w:val="clear" w:color="auto" w:fill="auto"/>
            <w:noWrap/>
            <w:vAlign w:val="center"/>
            <w:hideMark/>
          </w:tcPr>
          <w:p w14:paraId="54018DE9" w14:textId="77777777" w:rsidR="00E34764" w:rsidRPr="002B257B" w:rsidRDefault="00E34764" w:rsidP="002B257B">
            <w:pPr>
              <w:pStyle w:val="tabletxt"/>
              <w:jc w:val="right"/>
              <w:rPr>
                <w:color w:val="000000"/>
                <w:szCs w:val="18"/>
              </w:rPr>
            </w:pPr>
            <w:r w:rsidRPr="002B257B">
              <w:rPr>
                <w:color w:val="000000"/>
                <w:szCs w:val="18"/>
              </w:rPr>
              <w:t>21.480</w:t>
            </w:r>
          </w:p>
        </w:tc>
        <w:tc>
          <w:tcPr>
            <w:tcW w:w="1068" w:type="dxa"/>
            <w:tcBorders>
              <w:top w:val="nil"/>
              <w:left w:val="nil"/>
              <w:bottom w:val="single" w:sz="4" w:space="0" w:color="auto"/>
              <w:right w:val="single" w:sz="4" w:space="0" w:color="auto"/>
            </w:tcBorders>
            <w:shd w:val="clear" w:color="auto" w:fill="auto"/>
            <w:noWrap/>
            <w:vAlign w:val="center"/>
            <w:hideMark/>
          </w:tcPr>
          <w:p w14:paraId="5AADFF21" w14:textId="77777777" w:rsidR="00E34764" w:rsidRPr="002B257B" w:rsidRDefault="00E34764" w:rsidP="002B257B">
            <w:pPr>
              <w:pStyle w:val="tabletxt"/>
              <w:jc w:val="right"/>
              <w:rPr>
                <w:color w:val="000000"/>
                <w:szCs w:val="18"/>
              </w:rPr>
            </w:pPr>
            <w:r w:rsidRPr="002B257B">
              <w:rPr>
                <w:color w:val="000000"/>
                <w:szCs w:val="18"/>
              </w:rPr>
              <w:t>16.524</w:t>
            </w:r>
          </w:p>
        </w:tc>
        <w:tc>
          <w:tcPr>
            <w:tcW w:w="1068" w:type="dxa"/>
            <w:tcBorders>
              <w:top w:val="nil"/>
              <w:left w:val="nil"/>
              <w:bottom w:val="single" w:sz="4" w:space="0" w:color="auto"/>
              <w:right w:val="single" w:sz="4" w:space="0" w:color="auto"/>
            </w:tcBorders>
            <w:shd w:val="clear" w:color="auto" w:fill="auto"/>
            <w:noWrap/>
            <w:vAlign w:val="center"/>
            <w:hideMark/>
          </w:tcPr>
          <w:p w14:paraId="60218CDF" w14:textId="77777777" w:rsidR="00E34764" w:rsidRPr="002B257B" w:rsidRDefault="00E34764" w:rsidP="002B257B">
            <w:pPr>
              <w:pStyle w:val="tabletxt"/>
              <w:jc w:val="right"/>
              <w:rPr>
                <w:color w:val="000000"/>
                <w:szCs w:val="18"/>
              </w:rPr>
            </w:pPr>
            <w:r w:rsidRPr="002B257B">
              <w:rPr>
                <w:color w:val="000000"/>
                <w:szCs w:val="18"/>
              </w:rPr>
              <w:t>6.244</w:t>
            </w:r>
          </w:p>
        </w:tc>
        <w:tc>
          <w:tcPr>
            <w:tcW w:w="1068" w:type="dxa"/>
            <w:tcBorders>
              <w:top w:val="nil"/>
              <w:left w:val="nil"/>
              <w:bottom w:val="single" w:sz="4" w:space="0" w:color="auto"/>
              <w:right w:val="single" w:sz="4" w:space="0" w:color="auto"/>
            </w:tcBorders>
            <w:shd w:val="clear" w:color="auto" w:fill="auto"/>
            <w:noWrap/>
            <w:vAlign w:val="center"/>
            <w:hideMark/>
          </w:tcPr>
          <w:p w14:paraId="022638D5" w14:textId="77777777" w:rsidR="00E34764" w:rsidRPr="002B257B" w:rsidRDefault="00E34764" w:rsidP="002B257B">
            <w:pPr>
              <w:pStyle w:val="tabletxt"/>
              <w:jc w:val="right"/>
              <w:rPr>
                <w:color w:val="000000"/>
                <w:szCs w:val="18"/>
              </w:rPr>
            </w:pPr>
            <w:r w:rsidRPr="002B257B">
              <w:rPr>
                <w:color w:val="000000"/>
                <w:szCs w:val="18"/>
              </w:rPr>
              <w:t>20.231</w:t>
            </w:r>
          </w:p>
        </w:tc>
        <w:tc>
          <w:tcPr>
            <w:tcW w:w="1068" w:type="dxa"/>
            <w:tcBorders>
              <w:top w:val="nil"/>
              <w:left w:val="nil"/>
              <w:bottom w:val="single" w:sz="4" w:space="0" w:color="auto"/>
              <w:right w:val="single" w:sz="4" w:space="0" w:color="auto"/>
            </w:tcBorders>
            <w:shd w:val="clear" w:color="auto" w:fill="auto"/>
            <w:noWrap/>
            <w:vAlign w:val="center"/>
            <w:hideMark/>
          </w:tcPr>
          <w:p w14:paraId="0F5EF37C" w14:textId="77777777" w:rsidR="00E34764" w:rsidRPr="002B257B" w:rsidRDefault="00E34764" w:rsidP="002B257B">
            <w:pPr>
              <w:pStyle w:val="tabletxt"/>
              <w:jc w:val="right"/>
              <w:rPr>
                <w:color w:val="000000"/>
                <w:szCs w:val="18"/>
              </w:rPr>
            </w:pPr>
            <w:r w:rsidRPr="002B257B">
              <w:rPr>
                <w:color w:val="000000"/>
                <w:szCs w:val="18"/>
              </w:rPr>
              <w:t>5.148</w:t>
            </w:r>
          </w:p>
        </w:tc>
        <w:tc>
          <w:tcPr>
            <w:tcW w:w="1068" w:type="dxa"/>
            <w:tcBorders>
              <w:top w:val="nil"/>
              <w:left w:val="nil"/>
              <w:bottom w:val="single" w:sz="4" w:space="0" w:color="auto"/>
              <w:right w:val="single" w:sz="4" w:space="0" w:color="auto"/>
            </w:tcBorders>
            <w:shd w:val="clear" w:color="auto" w:fill="auto"/>
            <w:noWrap/>
            <w:vAlign w:val="center"/>
            <w:hideMark/>
          </w:tcPr>
          <w:p w14:paraId="48AFA70D" w14:textId="77777777" w:rsidR="00E34764" w:rsidRPr="002B257B" w:rsidRDefault="00E34764" w:rsidP="002B257B">
            <w:pPr>
              <w:pStyle w:val="tabletxt"/>
              <w:jc w:val="right"/>
              <w:rPr>
                <w:color w:val="000000"/>
                <w:szCs w:val="18"/>
              </w:rPr>
            </w:pPr>
            <w:r w:rsidRPr="002B257B">
              <w:rPr>
                <w:color w:val="000000"/>
                <w:szCs w:val="18"/>
              </w:rPr>
              <w:t>23,97%</w:t>
            </w:r>
          </w:p>
        </w:tc>
      </w:tr>
      <w:tr w:rsidR="00E34764" w:rsidRPr="003447D4" w14:paraId="09BD5CF8"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7D6C850C" w14:textId="77777777" w:rsidR="00E34764" w:rsidRPr="002B257B" w:rsidRDefault="00E34764" w:rsidP="002B257B">
            <w:pPr>
              <w:pStyle w:val="tabletxt"/>
              <w:rPr>
                <w:color w:val="FFFFFF" w:themeColor="background1"/>
                <w:szCs w:val="18"/>
              </w:rPr>
            </w:pPr>
            <w:r w:rsidRPr="002B257B">
              <w:rPr>
                <w:color w:val="FFFFFF" w:themeColor="background1"/>
                <w:szCs w:val="18"/>
              </w:rPr>
              <w:t>Dobit razdoblja (+) ili gubitak razdoblja (-)</w:t>
            </w:r>
          </w:p>
        </w:tc>
        <w:tc>
          <w:tcPr>
            <w:tcW w:w="1067" w:type="dxa"/>
            <w:tcBorders>
              <w:top w:val="nil"/>
              <w:left w:val="nil"/>
              <w:bottom w:val="single" w:sz="4" w:space="0" w:color="auto"/>
              <w:right w:val="single" w:sz="4" w:space="0" w:color="auto"/>
            </w:tcBorders>
            <w:shd w:val="clear" w:color="auto" w:fill="auto"/>
            <w:noWrap/>
            <w:vAlign w:val="center"/>
            <w:hideMark/>
          </w:tcPr>
          <w:p w14:paraId="47391552" w14:textId="77777777" w:rsidR="00E34764" w:rsidRPr="002B257B" w:rsidRDefault="00E34764" w:rsidP="002B257B">
            <w:pPr>
              <w:pStyle w:val="tabletxt"/>
              <w:jc w:val="right"/>
              <w:rPr>
                <w:color w:val="000000"/>
                <w:szCs w:val="18"/>
              </w:rPr>
            </w:pPr>
            <w:r w:rsidRPr="002B257B">
              <w:rPr>
                <w:color w:val="000000"/>
                <w:szCs w:val="18"/>
              </w:rPr>
              <w:t>-11.359</w:t>
            </w:r>
          </w:p>
        </w:tc>
        <w:tc>
          <w:tcPr>
            <w:tcW w:w="1068" w:type="dxa"/>
            <w:tcBorders>
              <w:top w:val="nil"/>
              <w:left w:val="nil"/>
              <w:bottom w:val="single" w:sz="4" w:space="0" w:color="auto"/>
              <w:right w:val="single" w:sz="4" w:space="0" w:color="auto"/>
            </w:tcBorders>
            <w:shd w:val="clear" w:color="auto" w:fill="auto"/>
            <w:noWrap/>
            <w:vAlign w:val="center"/>
            <w:hideMark/>
          </w:tcPr>
          <w:p w14:paraId="73F3BD48" w14:textId="77777777" w:rsidR="00E34764" w:rsidRPr="002B257B" w:rsidRDefault="00E34764" w:rsidP="002B257B">
            <w:pPr>
              <w:pStyle w:val="tabletxt"/>
              <w:jc w:val="right"/>
              <w:rPr>
                <w:color w:val="000000"/>
                <w:szCs w:val="18"/>
              </w:rPr>
            </w:pPr>
            <w:r w:rsidRPr="002B257B">
              <w:rPr>
                <w:color w:val="000000"/>
                <w:szCs w:val="18"/>
              </w:rPr>
              <w:t>1.767</w:t>
            </w:r>
          </w:p>
        </w:tc>
        <w:tc>
          <w:tcPr>
            <w:tcW w:w="1068" w:type="dxa"/>
            <w:tcBorders>
              <w:top w:val="nil"/>
              <w:left w:val="nil"/>
              <w:bottom w:val="single" w:sz="4" w:space="0" w:color="auto"/>
              <w:right w:val="single" w:sz="4" w:space="0" w:color="auto"/>
            </w:tcBorders>
            <w:shd w:val="clear" w:color="auto" w:fill="auto"/>
            <w:noWrap/>
            <w:vAlign w:val="center"/>
            <w:hideMark/>
          </w:tcPr>
          <w:p w14:paraId="68B172D5" w14:textId="77777777" w:rsidR="00E34764" w:rsidRPr="002B257B" w:rsidRDefault="00E34764" w:rsidP="002B257B">
            <w:pPr>
              <w:pStyle w:val="tabletxt"/>
              <w:jc w:val="right"/>
              <w:rPr>
                <w:color w:val="000000"/>
                <w:szCs w:val="18"/>
              </w:rPr>
            </w:pPr>
            <w:r w:rsidRPr="002B257B">
              <w:rPr>
                <w:color w:val="000000"/>
                <w:szCs w:val="18"/>
              </w:rPr>
              <w:t>65.167</w:t>
            </w:r>
          </w:p>
        </w:tc>
        <w:tc>
          <w:tcPr>
            <w:tcW w:w="1068" w:type="dxa"/>
            <w:tcBorders>
              <w:top w:val="nil"/>
              <w:left w:val="nil"/>
              <w:bottom w:val="single" w:sz="4" w:space="0" w:color="auto"/>
              <w:right w:val="single" w:sz="4" w:space="0" w:color="auto"/>
            </w:tcBorders>
            <w:shd w:val="clear" w:color="auto" w:fill="auto"/>
            <w:noWrap/>
            <w:vAlign w:val="center"/>
            <w:hideMark/>
          </w:tcPr>
          <w:p w14:paraId="7A8F42FF" w14:textId="77777777" w:rsidR="00E34764" w:rsidRPr="002B257B" w:rsidRDefault="00E34764" w:rsidP="002B257B">
            <w:pPr>
              <w:pStyle w:val="tabletxt"/>
              <w:jc w:val="right"/>
              <w:rPr>
                <w:color w:val="000000"/>
                <w:szCs w:val="18"/>
              </w:rPr>
            </w:pPr>
            <w:r w:rsidRPr="002B257B">
              <w:rPr>
                <w:color w:val="000000"/>
                <w:szCs w:val="18"/>
              </w:rPr>
              <w:t>-2.480</w:t>
            </w:r>
          </w:p>
        </w:tc>
        <w:tc>
          <w:tcPr>
            <w:tcW w:w="1068" w:type="dxa"/>
            <w:tcBorders>
              <w:top w:val="nil"/>
              <w:left w:val="nil"/>
              <w:bottom w:val="single" w:sz="4" w:space="0" w:color="auto"/>
              <w:right w:val="single" w:sz="4" w:space="0" w:color="auto"/>
            </w:tcBorders>
            <w:shd w:val="clear" w:color="auto" w:fill="auto"/>
            <w:noWrap/>
            <w:vAlign w:val="center"/>
            <w:hideMark/>
          </w:tcPr>
          <w:p w14:paraId="650A26DF" w14:textId="77777777" w:rsidR="00E34764" w:rsidRPr="002B257B" w:rsidRDefault="00E34764" w:rsidP="002B257B">
            <w:pPr>
              <w:pStyle w:val="tabletxt"/>
              <w:jc w:val="right"/>
              <w:rPr>
                <w:color w:val="000000"/>
                <w:szCs w:val="18"/>
              </w:rPr>
            </w:pPr>
            <w:r w:rsidRPr="002B257B">
              <w:rPr>
                <w:color w:val="000000"/>
                <w:szCs w:val="18"/>
              </w:rPr>
              <w:t>18.563</w:t>
            </w:r>
          </w:p>
        </w:tc>
        <w:tc>
          <w:tcPr>
            <w:tcW w:w="1068" w:type="dxa"/>
            <w:tcBorders>
              <w:top w:val="nil"/>
              <w:left w:val="nil"/>
              <w:bottom w:val="single" w:sz="4" w:space="0" w:color="auto"/>
              <w:right w:val="single" w:sz="4" w:space="0" w:color="auto"/>
            </w:tcBorders>
            <w:shd w:val="clear" w:color="auto" w:fill="auto"/>
            <w:noWrap/>
            <w:vAlign w:val="center"/>
            <w:hideMark/>
          </w:tcPr>
          <w:p w14:paraId="51822B20" w14:textId="77777777" w:rsidR="00E34764" w:rsidRPr="002B257B" w:rsidRDefault="00E34764" w:rsidP="002B257B">
            <w:pPr>
              <w:pStyle w:val="tabletxt"/>
              <w:jc w:val="right"/>
              <w:rPr>
                <w:color w:val="000000"/>
                <w:szCs w:val="18"/>
              </w:rPr>
            </w:pPr>
            <w:r w:rsidRPr="002B257B">
              <w:rPr>
                <w:color w:val="000000"/>
                <w:szCs w:val="18"/>
              </w:rPr>
              <w:t>-163,43%</w:t>
            </w:r>
          </w:p>
        </w:tc>
      </w:tr>
      <w:tr w:rsidR="00E34764" w:rsidRPr="003447D4" w14:paraId="1B809A87"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40A4509D" w14:textId="77777777" w:rsidR="00E34764" w:rsidRPr="002B257B" w:rsidRDefault="00E34764" w:rsidP="002B257B">
            <w:pPr>
              <w:pStyle w:val="tabletxt"/>
              <w:rPr>
                <w:color w:val="FFFFFF" w:themeColor="background1"/>
                <w:szCs w:val="18"/>
              </w:rPr>
            </w:pPr>
            <w:r w:rsidRPr="002B257B">
              <w:rPr>
                <w:color w:val="FFFFFF" w:themeColor="background1"/>
                <w:szCs w:val="18"/>
              </w:rPr>
              <w:t>Prosječna mjesečna neto plaća po zaposlenom</w:t>
            </w:r>
          </w:p>
        </w:tc>
        <w:tc>
          <w:tcPr>
            <w:tcW w:w="1067" w:type="dxa"/>
            <w:tcBorders>
              <w:top w:val="nil"/>
              <w:left w:val="nil"/>
              <w:bottom w:val="single" w:sz="4" w:space="0" w:color="auto"/>
              <w:right w:val="single" w:sz="4" w:space="0" w:color="auto"/>
            </w:tcBorders>
            <w:shd w:val="clear" w:color="auto" w:fill="auto"/>
            <w:noWrap/>
            <w:vAlign w:val="center"/>
            <w:hideMark/>
          </w:tcPr>
          <w:p w14:paraId="7AB56B8D" w14:textId="77777777" w:rsidR="00E34764" w:rsidRPr="002B257B" w:rsidRDefault="00E34764" w:rsidP="002B257B">
            <w:pPr>
              <w:pStyle w:val="tabletxt"/>
              <w:jc w:val="right"/>
              <w:rPr>
                <w:color w:val="000000"/>
                <w:szCs w:val="18"/>
              </w:rPr>
            </w:pPr>
            <w:r w:rsidRPr="002B257B">
              <w:rPr>
                <w:color w:val="000000"/>
                <w:szCs w:val="18"/>
              </w:rPr>
              <w:t>3.615</w:t>
            </w:r>
          </w:p>
        </w:tc>
        <w:tc>
          <w:tcPr>
            <w:tcW w:w="1068" w:type="dxa"/>
            <w:tcBorders>
              <w:top w:val="nil"/>
              <w:left w:val="nil"/>
              <w:bottom w:val="single" w:sz="4" w:space="0" w:color="auto"/>
              <w:right w:val="single" w:sz="4" w:space="0" w:color="auto"/>
            </w:tcBorders>
            <w:shd w:val="clear" w:color="auto" w:fill="auto"/>
            <w:noWrap/>
            <w:vAlign w:val="center"/>
            <w:hideMark/>
          </w:tcPr>
          <w:p w14:paraId="1CEBFC3B" w14:textId="77777777" w:rsidR="00E34764" w:rsidRPr="002B257B" w:rsidRDefault="00E34764" w:rsidP="002B257B">
            <w:pPr>
              <w:pStyle w:val="tabletxt"/>
              <w:jc w:val="right"/>
              <w:rPr>
                <w:color w:val="000000"/>
                <w:szCs w:val="18"/>
              </w:rPr>
            </w:pPr>
            <w:r w:rsidRPr="002B257B">
              <w:rPr>
                <w:color w:val="000000"/>
                <w:szCs w:val="18"/>
              </w:rPr>
              <w:t>3.729</w:t>
            </w:r>
          </w:p>
        </w:tc>
        <w:tc>
          <w:tcPr>
            <w:tcW w:w="1068" w:type="dxa"/>
            <w:tcBorders>
              <w:top w:val="nil"/>
              <w:left w:val="nil"/>
              <w:bottom w:val="single" w:sz="4" w:space="0" w:color="auto"/>
              <w:right w:val="single" w:sz="4" w:space="0" w:color="auto"/>
            </w:tcBorders>
            <w:shd w:val="clear" w:color="auto" w:fill="auto"/>
            <w:noWrap/>
            <w:vAlign w:val="center"/>
            <w:hideMark/>
          </w:tcPr>
          <w:p w14:paraId="24382E97" w14:textId="77777777" w:rsidR="00E34764" w:rsidRPr="002B257B" w:rsidRDefault="00E34764" w:rsidP="002B257B">
            <w:pPr>
              <w:pStyle w:val="tabletxt"/>
              <w:jc w:val="right"/>
              <w:rPr>
                <w:color w:val="000000"/>
                <w:szCs w:val="18"/>
              </w:rPr>
            </w:pPr>
            <w:r w:rsidRPr="002B257B">
              <w:rPr>
                <w:color w:val="000000"/>
                <w:szCs w:val="18"/>
              </w:rPr>
              <w:t>3.928</w:t>
            </w:r>
          </w:p>
        </w:tc>
        <w:tc>
          <w:tcPr>
            <w:tcW w:w="1068" w:type="dxa"/>
            <w:tcBorders>
              <w:top w:val="nil"/>
              <w:left w:val="nil"/>
              <w:bottom w:val="single" w:sz="4" w:space="0" w:color="auto"/>
              <w:right w:val="single" w:sz="4" w:space="0" w:color="auto"/>
            </w:tcBorders>
            <w:shd w:val="clear" w:color="auto" w:fill="auto"/>
            <w:noWrap/>
            <w:vAlign w:val="center"/>
            <w:hideMark/>
          </w:tcPr>
          <w:p w14:paraId="1A601174" w14:textId="77777777" w:rsidR="00E34764" w:rsidRPr="002B257B" w:rsidRDefault="00E34764" w:rsidP="002B257B">
            <w:pPr>
              <w:pStyle w:val="tabletxt"/>
              <w:jc w:val="right"/>
              <w:rPr>
                <w:color w:val="000000"/>
                <w:szCs w:val="18"/>
              </w:rPr>
            </w:pPr>
            <w:r w:rsidRPr="002B257B">
              <w:rPr>
                <w:color w:val="000000"/>
                <w:szCs w:val="18"/>
              </w:rPr>
              <w:t>3.978</w:t>
            </w:r>
          </w:p>
        </w:tc>
        <w:tc>
          <w:tcPr>
            <w:tcW w:w="1068" w:type="dxa"/>
            <w:tcBorders>
              <w:top w:val="nil"/>
              <w:left w:val="nil"/>
              <w:bottom w:val="single" w:sz="4" w:space="0" w:color="auto"/>
              <w:right w:val="single" w:sz="4" w:space="0" w:color="auto"/>
            </w:tcBorders>
            <w:shd w:val="clear" w:color="auto" w:fill="auto"/>
            <w:noWrap/>
            <w:vAlign w:val="center"/>
            <w:hideMark/>
          </w:tcPr>
          <w:p w14:paraId="728A4443" w14:textId="77777777" w:rsidR="00E34764" w:rsidRPr="002B257B" w:rsidRDefault="00E34764" w:rsidP="002B257B">
            <w:pPr>
              <w:pStyle w:val="tabletxt"/>
              <w:jc w:val="right"/>
              <w:rPr>
                <w:color w:val="000000"/>
                <w:szCs w:val="18"/>
              </w:rPr>
            </w:pPr>
            <w:r w:rsidRPr="002B257B">
              <w:rPr>
                <w:color w:val="000000"/>
                <w:szCs w:val="18"/>
              </w:rPr>
              <w:t>4.088</w:t>
            </w:r>
          </w:p>
        </w:tc>
        <w:tc>
          <w:tcPr>
            <w:tcW w:w="1068" w:type="dxa"/>
            <w:tcBorders>
              <w:top w:val="nil"/>
              <w:left w:val="nil"/>
              <w:bottom w:val="single" w:sz="4" w:space="0" w:color="auto"/>
              <w:right w:val="single" w:sz="4" w:space="0" w:color="auto"/>
            </w:tcBorders>
            <w:shd w:val="clear" w:color="auto" w:fill="auto"/>
            <w:noWrap/>
            <w:vAlign w:val="center"/>
            <w:hideMark/>
          </w:tcPr>
          <w:p w14:paraId="3D69B63A" w14:textId="77777777" w:rsidR="00E34764" w:rsidRPr="002B257B" w:rsidRDefault="00E34764" w:rsidP="002B257B">
            <w:pPr>
              <w:pStyle w:val="tabletxt"/>
              <w:jc w:val="right"/>
              <w:rPr>
                <w:color w:val="000000"/>
                <w:szCs w:val="18"/>
              </w:rPr>
            </w:pPr>
            <w:r w:rsidRPr="002B257B">
              <w:rPr>
                <w:color w:val="000000"/>
                <w:szCs w:val="18"/>
              </w:rPr>
              <w:t>113,10%</w:t>
            </w:r>
          </w:p>
        </w:tc>
      </w:tr>
      <w:tr w:rsidR="00E34764" w:rsidRPr="003447D4" w14:paraId="72D11DA6"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2FB4DD26" w14:textId="77777777" w:rsidR="00E34764" w:rsidRPr="002B257B" w:rsidRDefault="00E34764" w:rsidP="002B257B">
            <w:pPr>
              <w:pStyle w:val="tabletxt"/>
              <w:rPr>
                <w:color w:val="FFFFFF" w:themeColor="background1"/>
                <w:szCs w:val="18"/>
              </w:rPr>
            </w:pPr>
            <w:r w:rsidRPr="002B257B">
              <w:rPr>
                <w:color w:val="FFFFFF" w:themeColor="background1"/>
                <w:szCs w:val="18"/>
              </w:rPr>
              <w:t>Broj izvoznika</w:t>
            </w:r>
          </w:p>
        </w:tc>
        <w:tc>
          <w:tcPr>
            <w:tcW w:w="1067" w:type="dxa"/>
            <w:tcBorders>
              <w:top w:val="nil"/>
              <w:left w:val="nil"/>
              <w:bottom w:val="single" w:sz="4" w:space="0" w:color="auto"/>
              <w:right w:val="single" w:sz="4" w:space="0" w:color="auto"/>
            </w:tcBorders>
            <w:shd w:val="clear" w:color="auto" w:fill="auto"/>
            <w:noWrap/>
            <w:vAlign w:val="center"/>
            <w:hideMark/>
          </w:tcPr>
          <w:p w14:paraId="4894C5CF" w14:textId="77777777" w:rsidR="00E34764" w:rsidRPr="002B257B" w:rsidRDefault="00E34764" w:rsidP="002B257B">
            <w:pPr>
              <w:pStyle w:val="tabletxt"/>
              <w:jc w:val="right"/>
              <w:rPr>
                <w:color w:val="000000"/>
                <w:szCs w:val="18"/>
              </w:rPr>
            </w:pPr>
            <w:r w:rsidRPr="002B257B">
              <w:rPr>
                <w:color w:val="000000"/>
                <w:szCs w:val="18"/>
              </w:rPr>
              <w:t>24</w:t>
            </w:r>
          </w:p>
        </w:tc>
        <w:tc>
          <w:tcPr>
            <w:tcW w:w="1068" w:type="dxa"/>
            <w:tcBorders>
              <w:top w:val="nil"/>
              <w:left w:val="nil"/>
              <w:bottom w:val="single" w:sz="4" w:space="0" w:color="auto"/>
              <w:right w:val="single" w:sz="4" w:space="0" w:color="auto"/>
            </w:tcBorders>
            <w:shd w:val="clear" w:color="auto" w:fill="auto"/>
            <w:noWrap/>
            <w:vAlign w:val="center"/>
            <w:hideMark/>
          </w:tcPr>
          <w:p w14:paraId="0E756939" w14:textId="77777777" w:rsidR="00E34764" w:rsidRPr="002B257B" w:rsidRDefault="00E34764" w:rsidP="002B257B">
            <w:pPr>
              <w:pStyle w:val="tabletxt"/>
              <w:jc w:val="right"/>
              <w:rPr>
                <w:color w:val="000000"/>
                <w:szCs w:val="18"/>
              </w:rPr>
            </w:pPr>
            <w:r w:rsidRPr="002B257B">
              <w:rPr>
                <w:color w:val="000000"/>
                <w:szCs w:val="18"/>
              </w:rPr>
              <w:t>24</w:t>
            </w:r>
          </w:p>
        </w:tc>
        <w:tc>
          <w:tcPr>
            <w:tcW w:w="1068" w:type="dxa"/>
            <w:tcBorders>
              <w:top w:val="nil"/>
              <w:left w:val="nil"/>
              <w:bottom w:val="single" w:sz="4" w:space="0" w:color="auto"/>
              <w:right w:val="single" w:sz="4" w:space="0" w:color="auto"/>
            </w:tcBorders>
            <w:shd w:val="clear" w:color="auto" w:fill="auto"/>
            <w:noWrap/>
            <w:vAlign w:val="center"/>
            <w:hideMark/>
          </w:tcPr>
          <w:p w14:paraId="49526D13" w14:textId="77777777" w:rsidR="00E34764" w:rsidRPr="002B257B" w:rsidRDefault="00E34764" w:rsidP="002B257B">
            <w:pPr>
              <w:pStyle w:val="tabletxt"/>
              <w:jc w:val="right"/>
              <w:rPr>
                <w:color w:val="000000"/>
                <w:szCs w:val="18"/>
              </w:rPr>
            </w:pPr>
            <w:r w:rsidRPr="002B257B">
              <w:rPr>
                <w:color w:val="000000"/>
                <w:szCs w:val="18"/>
              </w:rPr>
              <w:t>20</w:t>
            </w:r>
          </w:p>
        </w:tc>
        <w:tc>
          <w:tcPr>
            <w:tcW w:w="1068" w:type="dxa"/>
            <w:tcBorders>
              <w:top w:val="nil"/>
              <w:left w:val="nil"/>
              <w:bottom w:val="single" w:sz="4" w:space="0" w:color="auto"/>
              <w:right w:val="single" w:sz="4" w:space="0" w:color="auto"/>
            </w:tcBorders>
            <w:shd w:val="clear" w:color="auto" w:fill="auto"/>
            <w:noWrap/>
            <w:vAlign w:val="center"/>
            <w:hideMark/>
          </w:tcPr>
          <w:p w14:paraId="7A2F42AC" w14:textId="77777777" w:rsidR="00E34764" w:rsidRPr="002B257B" w:rsidRDefault="00E34764" w:rsidP="002B257B">
            <w:pPr>
              <w:pStyle w:val="tabletxt"/>
              <w:jc w:val="right"/>
              <w:rPr>
                <w:color w:val="000000"/>
                <w:szCs w:val="18"/>
              </w:rPr>
            </w:pPr>
            <w:r w:rsidRPr="002B257B">
              <w:rPr>
                <w:color w:val="000000"/>
                <w:szCs w:val="18"/>
              </w:rPr>
              <w:t>24</w:t>
            </w:r>
          </w:p>
        </w:tc>
        <w:tc>
          <w:tcPr>
            <w:tcW w:w="1068" w:type="dxa"/>
            <w:tcBorders>
              <w:top w:val="nil"/>
              <w:left w:val="nil"/>
              <w:bottom w:val="single" w:sz="4" w:space="0" w:color="auto"/>
              <w:right w:val="single" w:sz="4" w:space="0" w:color="auto"/>
            </w:tcBorders>
            <w:shd w:val="clear" w:color="auto" w:fill="auto"/>
            <w:noWrap/>
            <w:vAlign w:val="center"/>
            <w:hideMark/>
          </w:tcPr>
          <w:p w14:paraId="021DB959" w14:textId="77777777" w:rsidR="00E34764" w:rsidRPr="002B257B" w:rsidRDefault="00E34764" w:rsidP="002B257B">
            <w:pPr>
              <w:pStyle w:val="tabletxt"/>
              <w:jc w:val="right"/>
              <w:rPr>
                <w:color w:val="000000"/>
                <w:szCs w:val="18"/>
              </w:rPr>
            </w:pPr>
            <w:r w:rsidRPr="002B257B">
              <w:rPr>
                <w:color w:val="000000"/>
                <w:szCs w:val="18"/>
              </w:rPr>
              <w:t>27</w:t>
            </w:r>
          </w:p>
        </w:tc>
        <w:tc>
          <w:tcPr>
            <w:tcW w:w="1068" w:type="dxa"/>
            <w:tcBorders>
              <w:top w:val="nil"/>
              <w:left w:val="nil"/>
              <w:bottom w:val="single" w:sz="4" w:space="0" w:color="auto"/>
              <w:right w:val="single" w:sz="4" w:space="0" w:color="auto"/>
            </w:tcBorders>
            <w:shd w:val="clear" w:color="auto" w:fill="auto"/>
            <w:noWrap/>
            <w:vAlign w:val="center"/>
            <w:hideMark/>
          </w:tcPr>
          <w:p w14:paraId="495C3E5C" w14:textId="77777777" w:rsidR="00E34764" w:rsidRPr="002B257B" w:rsidRDefault="00E34764" w:rsidP="002B257B">
            <w:pPr>
              <w:pStyle w:val="tabletxt"/>
              <w:jc w:val="right"/>
              <w:rPr>
                <w:color w:val="000000"/>
                <w:szCs w:val="18"/>
              </w:rPr>
            </w:pPr>
            <w:r w:rsidRPr="002B257B">
              <w:rPr>
                <w:color w:val="000000"/>
                <w:szCs w:val="18"/>
              </w:rPr>
              <w:t>112,50%</w:t>
            </w:r>
          </w:p>
        </w:tc>
      </w:tr>
      <w:tr w:rsidR="00E34764" w:rsidRPr="003447D4" w14:paraId="4D6ADC79"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5B6B4C0F" w14:textId="77777777" w:rsidR="00E34764" w:rsidRPr="002B257B" w:rsidRDefault="00E34764" w:rsidP="002B257B">
            <w:pPr>
              <w:pStyle w:val="tabletxt"/>
              <w:rPr>
                <w:color w:val="FFFFFF" w:themeColor="background1"/>
                <w:szCs w:val="18"/>
              </w:rPr>
            </w:pPr>
            <w:r w:rsidRPr="002B257B">
              <w:rPr>
                <w:color w:val="FFFFFF" w:themeColor="background1"/>
                <w:szCs w:val="18"/>
              </w:rPr>
              <w:t>Broj uvoznika</w:t>
            </w:r>
          </w:p>
        </w:tc>
        <w:tc>
          <w:tcPr>
            <w:tcW w:w="1067" w:type="dxa"/>
            <w:tcBorders>
              <w:top w:val="nil"/>
              <w:left w:val="nil"/>
              <w:bottom w:val="single" w:sz="4" w:space="0" w:color="auto"/>
              <w:right w:val="single" w:sz="4" w:space="0" w:color="auto"/>
            </w:tcBorders>
            <w:shd w:val="clear" w:color="auto" w:fill="auto"/>
            <w:noWrap/>
            <w:vAlign w:val="center"/>
            <w:hideMark/>
          </w:tcPr>
          <w:p w14:paraId="3E51C4E0" w14:textId="77777777" w:rsidR="00E34764" w:rsidRPr="002B257B" w:rsidRDefault="00E34764" w:rsidP="002B257B">
            <w:pPr>
              <w:pStyle w:val="tabletxt"/>
              <w:jc w:val="right"/>
              <w:rPr>
                <w:color w:val="000000"/>
                <w:szCs w:val="18"/>
              </w:rPr>
            </w:pPr>
            <w:r w:rsidRPr="002B257B">
              <w:rPr>
                <w:color w:val="000000"/>
                <w:szCs w:val="18"/>
              </w:rPr>
              <w:t>20</w:t>
            </w:r>
          </w:p>
        </w:tc>
        <w:tc>
          <w:tcPr>
            <w:tcW w:w="1068" w:type="dxa"/>
            <w:tcBorders>
              <w:top w:val="nil"/>
              <w:left w:val="nil"/>
              <w:bottom w:val="single" w:sz="4" w:space="0" w:color="auto"/>
              <w:right w:val="single" w:sz="4" w:space="0" w:color="auto"/>
            </w:tcBorders>
            <w:shd w:val="clear" w:color="auto" w:fill="auto"/>
            <w:noWrap/>
            <w:vAlign w:val="center"/>
            <w:hideMark/>
          </w:tcPr>
          <w:p w14:paraId="61FA8EA7" w14:textId="77777777" w:rsidR="00E34764" w:rsidRPr="002B257B" w:rsidRDefault="00E34764" w:rsidP="002B257B">
            <w:pPr>
              <w:pStyle w:val="tabletxt"/>
              <w:jc w:val="right"/>
              <w:rPr>
                <w:color w:val="000000"/>
                <w:szCs w:val="18"/>
              </w:rPr>
            </w:pPr>
            <w:r w:rsidRPr="002B257B">
              <w:rPr>
                <w:color w:val="000000"/>
                <w:szCs w:val="18"/>
              </w:rPr>
              <w:t>22</w:t>
            </w:r>
          </w:p>
        </w:tc>
        <w:tc>
          <w:tcPr>
            <w:tcW w:w="1068" w:type="dxa"/>
            <w:tcBorders>
              <w:top w:val="nil"/>
              <w:left w:val="nil"/>
              <w:bottom w:val="single" w:sz="4" w:space="0" w:color="auto"/>
              <w:right w:val="single" w:sz="4" w:space="0" w:color="auto"/>
            </w:tcBorders>
            <w:shd w:val="clear" w:color="auto" w:fill="auto"/>
            <w:noWrap/>
            <w:vAlign w:val="center"/>
            <w:hideMark/>
          </w:tcPr>
          <w:p w14:paraId="643F8F3B" w14:textId="77777777" w:rsidR="00E34764" w:rsidRPr="002B257B" w:rsidRDefault="00E34764" w:rsidP="002B257B">
            <w:pPr>
              <w:pStyle w:val="tabletxt"/>
              <w:jc w:val="right"/>
              <w:rPr>
                <w:color w:val="000000"/>
                <w:szCs w:val="18"/>
              </w:rPr>
            </w:pPr>
            <w:r w:rsidRPr="002B257B">
              <w:rPr>
                <w:color w:val="000000"/>
                <w:szCs w:val="18"/>
              </w:rPr>
              <w:t>21</w:t>
            </w:r>
          </w:p>
        </w:tc>
        <w:tc>
          <w:tcPr>
            <w:tcW w:w="1068" w:type="dxa"/>
            <w:tcBorders>
              <w:top w:val="nil"/>
              <w:left w:val="nil"/>
              <w:bottom w:val="single" w:sz="4" w:space="0" w:color="auto"/>
              <w:right w:val="single" w:sz="4" w:space="0" w:color="auto"/>
            </w:tcBorders>
            <w:shd w:val="clear" w:color="auto" w:fill="auto"/>
            <w:noWrap/>
            <w:vAlign w:val="center"/>
            <w:hideMark/>
          </w:tcPr>
          <w:p w14:paraId="7566C038" w14:textId="77777777" w:rsidR="00E34764" w:rsidRPr="002B257B" w:rsidRDefault="00E34764" w:rsidP="002B257B">
            <w:pPr>
              <w:pStyle w:val="tabletxt"/>
              <w:jc w:val="right"/>
              <w:rPr>
                <w:color w:val="000000"/>
                <w:szCs w:val="18"/>
              </w:rPr>
            </w:pPr>
            <w:r w:rsidRPr="002B257B">
              <w:rPr>
                <w:color w:val="000000"/>
                <w:szCs w:val="18"/>
              </w:rPr>
              <w:t>17</w:t>
            </w:r>
          </w:p>
        </w:tc>
        <w:tc>
          <w:tcPr>
            <w:tcW w:w="1068" w:type="dxa"/>
            <w:tcBorders>
              <w:top w:val="nil"/>
              <w:left w:val="nil"/>
              <w:bottom w:val="single" w:sz="4" w:space="0" w:color="auto"/>
              <w:right w:val="single" w:sz="4" w:space="0" w:color="auto"/>
            </w:tcBorders>
            <w:shd w:val="clear" w:color="auto" w:fill="auto"/>
            <w:noWrap/>
            <w:vAlign w:val="center"/>
            <w:hideMark/>
          </w:tcPr>
          <w:p w14:paraId="01E912DE" w14:textId="77777777" w:rsidR="00E34764" w:rsidRPr="002B257B" w:rsidRDefault="00E34764" w:rsidP="002B257B">
            <w:pPr>
              <w:pStyle w:val="tabletxt"/>
              <w:jc w:val="right"/>
              <w:rPr>
                <w:color w:val="000000"/>
                <w:szCs w:val="18"/>
              </w:rPr>
            </w:pPr>
            <w:r w:rsidRPr="002B257B">
              <w:rPr>
                <w:color w:val="000000"/>
                <w:szCs w:val="18"/>
              </w:rPr>
              <w:t>23</w:t>
            </w:r>
          </w:p>
        </w:tc>
        <w:tc>
          <w:tcPr>
            <w:tcW w:w="1068" w:type="dxa"/>
            <w:tcBorders>
              <w:top w:val="nil"/>
              <w:left w:val="nil"/>
              <w:bottom w:val="single" w:sz="4" w:space="0" w:color="auto"/>
              <w:right w:val="single" w:sz="4" w:space="0" w:color="auto"/>
            </w:tcBorders>
            <w:shd w:val="clear" w:color="auto" w:fill="auto"/>
            <w:noWrap/>
            <w:vAlign w:val="center"/>
            <w:hideMark/>
          </w:tcPr>
          <w:p w14:paraId="65857F20" w14:textId="77777777" w:rsidR="00E34764" w:rsidRPr="002B257B" w:rsidRDefault="00E34764" w:rsidP="002B257B">
            <w:pPr>
              <w:pStyle w:val="tabletxt"/>
              <w:jc w:val="right"/>
              <w:rPr>
                <w:color w:val="000000"/>
                <w:szCs w:val="18"/>
              </w:rPr>
            </w:pPr>
            <w:r w:rsidRPr="002B257B">
              <w:rPr>
                <w:color w:val="000000"/>
                <w:szCs w:val="18"/>
              </w:rPr>
              <w:t>115,00%</w:t>
            </w:r>
          </w:p>
        </w:tc>
      </w:tr>
      <w:tr w:rsidR="00E34764" w:rsidRPr="003447D4" w14:paraId="3E664AAD"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1798E361" w14:textId="77777777" w:rsidR="00E34764" w:rsidRPr="002B257B" w:rsidRDefault="00E34764" w:rsidP="002B257B">
            <w:pPr>
              <w:pStyle w:val="tabletxt"/>
              <w:rPr>
                <w:color w:val="FFFFFF" w:themeColor="background1"/>
                <w:szCs w:val="18"/>
              </w:rPr>
            </w:pPr>
            <w:r w:rsidRPr="002B257B">
              <w:rPr>
                <w:color w:val="FFFFFF" w:themeColor="background1"/>
                <w:szCs w:val="18"/>
              </w:rPr>
              <w:t>Izvoz</w:t>
            </w:r>
          </w:p>
        </w:tc>
        <w:tc>
          <w:tcPr>
            <w:tcW w:w="1067" w:type="dxa"/>
            <w:tcBorders>
              <w:top w:val="nil"/>
              <w:left w:val="nil"/>
              <w:bottom w:val="single" w:sz="4" w:space="0" w:color="auto"/>
              <w:right w:val="single" w:sz="4" w:space="0" w:color="auto"/>
            </w:tcBorders>
            <w:shd w:val="clear" w:color="auto" w:fill="auto"/>
            <w:noWrap/>
            <w:vAlign w:val="center"/>
            <w:hideMark/>
          </w:tcPr>
          <w:p w14:paraId="5F57B669" w14:textId="77777777" w:rsidR="00E34764" w:rsidRPr="002B257B" w:rsidRDefault="00E34764" w:rsidP="002B257B">
            <w:pPr>
              <w:pStyle w:val="tabletxt"/>
              <w:jc w:val="right"/>
              <w:rPr>
                <w:color w:val="000000"/>
                <w:szCs w:val="18"/>
              </w:rPr>
            </w:pPr>
            <w:r w:rsidRPr="002B257B">
              <w:rPr>
                <w:color w:val="000000"/>
                <w:szCs w:val="18"/>
              </w:rPr>
              <w:t>27.809</w:t>
            </w:r>
          </w:p>
        </w:tc>
        <w:tc>
          <w:tcPr>
            <w:tcW w:w="1068" w:type="dxa"/>
            <w:tcBorders>
              <w:top w:val="nil"/>
              <w:left w:val="nil"/>
              <w:bottom w:val="single" w:sz="4" w:space="0" w:color="auto"/>
              <w:right w:val="single" w:sz="4" w:space="0" w:color="auto"/>
            </w:tcBorders>
            <w:shd w:val="clear" w:color="auto" w:fill="auto"/>
            <w:noWrap/>
            <w:vAlign w:val="center"/>
            <w:hideMark/>
          </w:tcPr>
          <w:p w14:paraId="42FDC07F" w14:textId="77777777" w:rsidR="00E34764" w:rsidRPr="002B257B" w:rsidRDefault="00E34764" w:rsidP="002B257B">
            <w:pPr>
              <w:pStyle w:val="tabletxt"/>
              <w:jc w:val="right"/>
              <w:rPr>
                <w:color w:val="000000"/>
                <w:szCs w:val="18"/>
              </w:rPr>
            </w:pPr>
            <w:r w:rsidRPr="002B257B">
              <w:rPr>
                <w:color w:val="000000"/>
                <w:szCs w:val="18"/>
              </w:rPr>
              <w:t>33.930</w:t>
            </w:r>
          </w:p>
        </w:tc>
        <w:tc>
          <w:tcPr>
            <w:tcW w:w="1068" w:type="dxa"/>
            <w:tcBorders>
              <w:top w:val="nil"/>
              <w:left w:val="nil"/>
              <w:bottom w:val="single" w:sz="4" w:space="0" w:color="auto"/>
              <w:right w:val="single" w:sz="4" w:space="0" w:color="auto"/>
            </w:tcBorders>
            <w:shd w:val="clear" w:color="auto" w:fill="auto"/>
            <w:noWrap/>
            <w:vAlign w:val="center"/>
            <w:hideMark/>
          </w:tcPr>
          <w:p w14:paraId="1BCEA6A0" w14:textId="77777777" w:rsidR="00E34764" w:rsidRPr="002B257B" w:rsidRDefault="00E34764" w:rsidP="002B257B">
            <w:pPr>
              <w:pStyle w:val="tabletxt"/>
              <w:jc w:val="right"/>
              <w:rPr>
                <w:color w:val="000000"/>
                <w:szCs w:val="18"/>
              </w:rPr>
            </w:pPr>
            <w:r w:rsidRPr="002B257B">
              <w:rPr>
                <w:color w:val="000000"/>
                <w:szCs w:val="18"/>
              </w:rPr>
              <w:t>25.121</w:t>
            </w:r>
          </w:p>
        </w:tc>
        <w:tc>
          <w:tcPr>
            <w:tcW w:w="1068" w:type="dxa"/>
            <w:tcBorders>
              <w:top w:val="nil"/>
              <w:left w:val="nil"/>
              <w:bottom w:val="single" w:sz="4" w:space="0" w:color="auto"/>
              <w:right w:val="single" w:sz="4" w:space="0" w:color="auto"/>
            </w:tcBorders>
            <w:shd w:val="clear" w:color="auto" w:fill="auto"/>
            <w:noWrap/>
            <w:vAlign w:val="center"/>
            <w:hideMark/>
          </w:tcPr>
          <w:p w14:paraId="61DAFD79" w14:textId="77777777" w:rsidR="00E34764" w:rsidRPr="002B257B" w:rsidRDefault="00E34764" w:rsidP="002B257B">
            <w:pPr>
              <w:pStyle w:val="tabletxt"/>
              <w:jc w:val="right"/>
              <w:rPr>
                <w:color w:val="000000"/>
                <w:szCs w:val="18"/>
              </w:rPr>
            </w:pPr>
            <w:r w:rsidRPr="002B257B">
              <w:rPr>
                <w:color w:val="000000"/>
                <w:szCs w:val="18"/>
              </w:rPr>
              <w:t>29.206</w:t>
            </w:r>
          </w:p>
        </w:tc>
        <w:tc>
          <w:tcPr>
            <w:tcW w:w="1068" w:type="dxa"/>
            <w:tcBorders>
              <w:top w:val="nil"/>
              <w:left w:val="nil"/>
              <w:bottom w:val="single" w:sz="4" w:space="0" w:color="auto"/>
              <w:right w:val="single" w:sz="4" w:space="0" w:color="auto"/>
            </w:tcBorders>
            <w:shd w:val="clear" w:color="auto" w:fill="auto"/>
            <w:noWrap/>
            <w:vAlign w:val="center"/>
            <w:hideMark/>
          </w:tcPr>
          <w:p w14:paraId="293AF163" w14:textId="77777777" w:rsidR="00E34764" w:rsidRPr="002B257B" w:rsidRDefault="00E34764" w:rsidP="002B257B">
            <w:pPr>
              <w:pStyle w:val="tabletxt"/>
              <w:jc w:val="right"/>
              <w:rPr>
                <w:color w:val="000000"/>
                <w:szCs w:val="18"/>
              </w:rPr>
            </w:pPr>
            <w:r w:rsidRPr="002B257B">
              <w:rPr>
                <w:color w:val="000000"/>
                <w:szCs w:val="18"/>
              </w:rPr>
              <w:t>32.899</w:t>
            </w:r>
          </w:p>
        </w:tc>
        <w:tc>
          <w:tcPr>
            <w:tcW w:w="1068" w:type="dxa"/>
            <w:tcBorders>
              <w:top w:val="nil"/>
              <w:left w:val="nil"/>
              <w:bottom w:val="single" w:sz="4" w:space="0" w:color="auto"/>
              <w:right w:val="single" w:sz="4" w:space="0" w:color="auto"/>
            </w:tcBorders>
            <w:shd w:val="clear" w:color="auto" w:fill="auto"/>
            <w:noWrap/>
            <w:vAlign w:val="center"/>
            <w:hideMark/>
          </w:tcPr>
          <w:p w14:paraId="554B220E" w14:textId="77777777" w:rsidR="00E34764" w:rsidRPr="002B257B" w:rsidRDefault="00E34764" w:rsidP="002B257B">
            <w:pPr>
              <w:pStyle w:val="tabletxt"/>
              <w:jc w:val="right"/>
              <w:rPr>
                <w:color w:val="000000"/>
                <w:szCs w:val="18"/>
              </w:rPr>
            </w:pPr>
            <w:r w:rsidRPr="002B257B">
              <w:rPr>
                <w:color w:val="000000"/>
                <w:szCs w:val="18"/>
              </w:rPr>
              <w:t>118,30%</w:t>
            </w:r>
          </w:p>
        </w:tc>
      </w:tr>
      <w:tr w:rsidR="00E34764" w:rsidRPr="003447D4" w14:paraId="62D249D0"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754BB5A5" w14:textId="77777777" w:rsidR="00E34764" w:rsidRPr="002B257B" w:rsidRDefault="00E34764" w:rsidP="002B257B">
            <w:pPr>
              <w:pStyle w:val="tabletxt"/>
              <w:rPr>
                <w:color w:val="FFFFFF" w:themeColor="background1"/>
                <w:szCs w:val="18"/>
              </w:rPr>
            </w:pPr>
            <w:r w:rsidRPr="002B257B">
              <w:rPr>
                <w:color w:val="FFFFFF" w:themeColor="background1"/>
                <w:szCs w:val="18"/>
              </w:rPr>
              <w:t>Uvoz</w:t>
            </w:r>
          </w:p>
        </w:tc>
        <w:tc>
          <w:tcPr>
            <w:tcW w:w="1067" w:type="dxa"/>
            <w:tcBorders>
              <w:top w:val="nil"/>
              <w:left w:val="nil"/>
              <w:bottom w:val="single" w:sz="4" w:space="0" w:color="auto"/>
              <w:right w:val="single" w:sz="4" w:space="0" w:color="auto"/>
            </w:tcBorders>
            <w:shd w:val="clear" w:color="auto" w:fill="auto"/>
            <w:noWrap/>
            <w:vAlign w:val="center"/>
            <w:hideMark/>
          </w:tcPr>
          <w:p w14:paraId="7484833C" w14:textId="77777777" w:rsidR="00E34764" w:rsidRPr="002B257B" w:rsidRDefault="00E34764" w:rsidP="002B257B">
            <w:pPr>
              <w:pStyle w:val="tabletxt"/>
              <w:jc w:val="right"/>
              <w:rPr>
                <w:color w:val="000000"/>
                <w:szCs w:val="18"/>
              </w:rPr>
            </w:pPr>
            <w:r w:rsidRPr="002B257B">
              <w:rPr>
                <w:color w:val="000000"/>
                <w:szCs w:val="18"/>
              </w:rPr>
              <w:t>24.974</w:t>
            </w:r>
          </w:p>
        </w:tc>
        <w:tc>
          <w:tcPr>
            <w:tcW w:w="1068" w:type="dxa"/>
            <w:tcBorders>
              <w:top w:val="nil"/>
              <w:left w:val="nil"/>
              <w:bottom w:val="single" w:sz="4" w:space="0" w:color="auto"/>
              <w:right w:val="single" w:sz="4" w:space="0" w:color="auto"/>
            </w:tcBorders>
            <w:shd w:val="clear" w:color="auto" w:fill="auto"/>
            <w:noWrap/>
            <w:vAlign w:val="center"/>
            <w:hideMark/>
          </w:tcPr>
          <w:p w14:paraId="1AAB7E39" w14:textId="77777777" w:rsidR="00E34764" w:rsidRPr="002B257B" w:rsidRDefault="00E34764" w:rsidP="002B257B">
            <w:pPr>
              <w:pStyle w:val="tabletxt"/>
              <w:jc w:val="right"/>
              <w:rPr>
                <w:color w:val="000000"/>
                <w:szCs w:val="18"/>
              </w:rPr>
            </w:pPr>
            <w:r w:rsidRPr="002B257B">
              <w:rPr>
                <w:color w:val="000000"/>
                <w:szCs w:val="18"/>
              </w:rPr>
              <w:t>20.832</w:t>
            </w:r>
          </w:p>
        </w:tc>
        <w:tc>
          <w:tcPr>
            <w:tcW w:w="1068" w:type="dxa"/>
            <w:tcBorders>
              <w:top w:val="nil"/>
              <w:left w:val="nil"/>
              <w:bottom w:val="single" w:sz="4" w:space="0" w:color="auto"/>
              <w:right w:val="single" w:sz="4" w:space="0" w:color="auto"/>
            </w:tcBorders>
            <w:shd w:val="clear" w:color="auto" w:fill="auto"/>
            <w:noWrap/>
            <w:vAlign w:val="center"/>
            <w:hideMark/>
          </w:tcPr>
          <w:p w14:paraId="40161A10" w14:textId="77777777" w:rsidR="00E34764" w:rsidRPr="002B257B" w:rsidRDefault="00E34764" w:rsidP="002B257B">
            <w:pPr>
              <w:pStyle w:val="tabletxt"/>
              <w:jc w:val="right"/>
              <w:rPr>
                <w:color w:val="000000"/>
                <w:szCs w:val="18"/>
              </w:rPr>
            </w:pPr>
            <w:r w:rsidRPr="002B257B">
              <w:rPr>
                <w:color w:val="000000"/>
                <w:szCs w:val="18"/>
              </w:rPr>
              <w:t>17.384</w:t>
            </w:r>
          </w:p>
        </w:tc>
        <w:tc>
          <w:tcPr>
            <w:tcW w:w="1068" w:type="dxa"/>
            <w:tcBorders>
              <w:top w:val="nil"/>
              <w:left w:val="nil"/>
              <w:bottom w:val="single" w:sz="4" w:space="0" w:color="auto"/>
              <w:right w:val="single" w:sz="4" w:space="0" w:color="auto"/>
            </w:tcBorders>
            <w:shd w:val="clear" w:color="auto" w:fill="auto"/>
            <w:noWrap/>
            <w:vAlign w:val="center"/>
            <w:hideMark/>
          </w:tcPr>
          <w:p w14:paraId="2AF2AAFC" w14:textId="77777777" w:rsidR="00E34764" w:rsidRPr="002B257B" w:rsidRDefault="00E34764" w:rsidP="002B257B">
            <w:pPr>
              <w:pStyle w:val="tabletxt"/>
              <w:jc w:val="right"/>
              <w:rPr>
                <w:color w:val="000000"/>
                <w:szCs w:val="18"/>
              </w:rPr>
            </w:pPr>
            <w:r w:rsidRPr="002B257B">
              <w:rPr>
                <w:color w:val="000000"/>
                <w:szCs w:val="18"/>
              </w:rPr>
              <w:t>13.266</w:t>
            </w:r>
          </w:p>
        </w:tc>
        <w:tc>
          <w:tcPr>
            <w:tcW w:w="1068" w:type="dxa"/>
            <w:tcBorders>
              <w:top w:val="nil"/>
              <w:left w:val="nil"/>
              <w:bottom w:val="single" w:sz="4" w:space="0" w:color="auto"/>
              <w:right w:val="single" w:sz="4" w:space="0" w:color="auto"/>
            </w:tcBorders>
            <w:shd w:val="clear" w:color="auto" w:fill="auto"/>
            <w:noWrap/>
            <w:vAlign w:val="center"/>
            <w:hideMark/>
          </w:tcPr>
          <w:p w14:paraId="3A9650DA" w14:textId="77777777" w:rsidR="00E34764" w:rsidRPr="002B257B" w:rsidRDefault="00E34764" w:rsidP="002B257B">
            <w:pPr>
              <w:pStyle w:val="tabletxt"/>
              <w:jc w:val="right"/>
              <w:rPr>
                <w:color w:val="000000"/>
                <w:szCs w:val="18"/>
              </w:rPr>
            </w:pPr>
            <w:r w:rsidRPr="002B257B">
              <w:rPr>
                <w:color w:val="000000"/>
                <w:szCs w:val="18"/>
              </w:rPr>
              <w:t>17.027</w:t>
            </w:r>
          </w:p>
        </w:tc>
        <w:tc>
          <w:tcPr>
            <w:tcW w:w="1068" w:type="dxa"/>
            <w:tcBorders>
              <w:top w:val="nil"/>
              <w:left w:val="nil"/>
              <w:bottom w:val="single" w:sz="4" w:space="0" w:color="auto"/>
              <w:right w:val="single" w:sz="4" w:space="0" w:color="auto"/>
            </w:tcBorders>
            <w:shd w:val="clear" w:color="auto" w:fill="auto"/>
            <w:noWrap/>
            <w:vAlign w:val="center"/>
            <w:hideMark/>
          </w:tcPr>
          <w:p w14:paraId="33A883BA" w14:textId="77777777" w:rsidR="00E34764" w:rsidRPr="002B257B" w:rsidRDefault="00E34764" w:rsidP="002B257B">
            <w:pPr>
              <w:pStyle w:val="tabletxt"/>
              <w:jc w:val="right"/>
              <w:rPr>
                <w:color w:val="000000"/>
                <w:szCs w:val="18"/>
              </w:rPr>
            </w:pPr>
            <w:r w:rsidRPr="002B257B">
              <w:rPr>
                <w:color w:val="000000"/>
                <w:szCs w:val="18"/>
              </w:rPr>
              <w:t>68,18%</w:t>
            </w:r>
          </w:p>
        </w:tc>
      </w:tr>
      <w:tr w:rsidR="00E34764" w:rsidRPr="003447D4" w14:paraId="53B9F040"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3866A933" w14:textId="77777777" w:rsidR="00E34764" w:rsidRPr="002B257B" w:rsidRDefault="00E34764" w:rsidP="002B257B">
            <w:pPr>
              <w:pStyle w:val="tabletxt"/>
              <w:rPr>
                <w:color w:val="FFFFFF" w:themeColor="background1"/>
                <w:szCs w:val="18"/>
              </w:rPr>
            </w:pPr>
            <w:r w:rsidRPr="002B257B">
              <w:rPr>
                <w:color w:val="FFFFFF" w:themeColor="background1"/>
                <w:szCs w:val="18"/>
              </w:rPr>
              <w:t>Trgovinski saldo</w:t>
            </w:r>
          </w:p>
        </w:tc>
        <w:tc>
          <w:tcPr>
            <w:tcW w:w="1067" w:type="dxa"/>
            <w:tcBorders>
              <w:top w:val="nil"/>
              <w:left w:val="nil"/>
              <w:bottom w:val="single" w:sz="4" w:space="0" w:color="auto"/>
              <w:right w:val="single" w:sz="4" w:space="0" w:color="auto"/>
            </w:tcBorders>
            <w:shd w:val="clear" w:color="auto" w:fill="auto"/>
            <w:noWrap/>
            <w:vAlign w:val="center"/>
            <w:hideMark/>
          </w:tcPr>
          <w:p w14:paraId="5575CDF0" w14:textId="77777777" w:rsidR="00E34764" w:rsidRPr="002B257B" w:rsidRDefault="00E34764" w:rsidP="002B257B">
            <w:pPr>
              <w:pStyle w:val="tabletxt"/>
              <w:jc w:val="right"/>
              <w:rPr>
                <w:color w:val="000000"/>
                <w:szCs w:val="18"/>
              </w:rPr>
            </w:pPr>
            <w:r w:rsidRPr="002B257B">
              <w:rPr>
                <w:color w:val="000000"/>
                <w:szCs w:val="18"/>
              </w:rPr>
              <w:t>2.836</w:t>
            </w:r>
          </w:p>
        </w:tc>
        <w:tc>
          <w:tcPr>
            <w:tcW w:w="1068" w:type="dxa"/>
            <w:tcBorders>
              <w:top w:val="nil"/>
              <w:left w:val="nil"/>
              <w:bottom w:val="single" w:sz="4" w:space="0" w:color="auto"/>
              <w:right w:val="single" w:sz="4" w:space="0" w:color="auto"/>
            </w:tcBorders>
            <w:shd w:val="clear" w:color="auto" w:fill="auto"/>
            <w:noWrap/>
            <w:vAlign w:val="center"/>
            <w:hideMark/>
          </w:tcPr>
          <w:p w14:paraId="236A43CF" w14:textId="77777777" w:rsidR="00E34764" w:rsidRPr="002B257B" w:rsidRDefault="00E34764" w:rsidP="002B257B">
            <w:pPr>
              <w:pStyle w:val="tabletxt"/>
              <w:jc w:val="right"/>
              <w:rPr>
                <w:color w:val="000000"/>
                <w:szCs w:val="18"/>
              </w:rPr>
            </w:pPr>
            <w:r w:rsidRPr="002B257B">
              <w:rPr>
                <w:color w:val="000000"/>
                <w:szCs w:val="18"/>
              </w:rPr>
              <w:t>13.099</w:t>
            </w:r>
          </w:p>
        </w:tc>
        <w:tc>
          <w:tcPr>
            <w:tcW w:w="1068" w:type="dxa"/>
            <w:tcBorders>
              <w:top w:val="nil"/>
              <w:left w:val="nil"/>
              <w:bottom w:val="single" w:sz="4" w:space="0" w:color="auto"/>
              <w:right w:val="single" w:sz="4" w:space="0" w:color="auto"/>
            </w:tcBorders>
            <w:shd w:val="clear" w:color="auto" w:fill="auto"/>
            <w:noWrap/>
            <w:vAlign w:val="center"/>
            <w:hideMark/>
          </w:tcPr>
          <w:p w14:paraId="3EB82AF3" w14:textId="77777777" w:rsidR="00E34764" w:rsidRPr="002B257B" w:rsidRDefault="00E34764" w:rsidP="002B257B">
            <w:pPr>
              <w:pStyle w:val="tabletxt"/>
              <w:jc w:val="right"/>
              <w:rPr>
                <w:color w:val="000000"/>
                <w:szCs w:val="18"/>
              </w:rPr>
            </w:pPr>
            <w:r w:rsidRPr="002B257B">
              <w:rPr>
                <w:color w:val="000000"/>
                <w:szCs w:val="18"/>
              </w:rPr>
              <w:t>7.736</w:t>
            </w:r>
          </w:p>
        </w:tc>
        <w:tc>
          <w:tcPr>
            <w:tcW w:w="1068" w:type="dxa"/>
            <w:tcBorders>
              <w:top w:val="nil"/>
              <w:left w:val="nil"/>
              <w:bottom w:val="single" w:sz="4" w:space="0" w:color="auto"/>
              <w:right w:val="single" w:sz="4" w:space="0" w:color="auto"/>
            </w:tcBorders>
            <w:shd w:val="clear" w:color="auto" w:fill="auto"/>
            <w:noWrap/>
            <w:vAlign w:val="center"/>
            <w:hideMark/>
          </w:tcPr>
          <w:p w14:paraId="3A548272" w14:textId="77777777" w:rsidR="00E34764" w:rsidRPr="002B257B" w:rsidRDefault="00E34764" w:rsidP="002B257B">
            <w:pPr>
              <w:pStyle w:val="tabletxt"/>
              <w:jc w:val="right"/>
              <w:rPr>
                <w:color w:val="000000"/>
                <w:szCs w:val="18"/>
              </w:rPr>
            </w:pPr>
            <w:r w:rsidRPr="002B257B">
              <w:rPr>
                <w:color w:val="000000"/>
                <w:szCs w:val="18"/>
              </w:rPr>
              <w:t>15.940</w:t>
            </w:r>
          </w:p>
        </w:tc>
        <w:tc>
          <w:tcPr>
            <w:tcW w:w="1068" w:type="dxa"/>
            <w:tcBorders>
              <w:top w:val="nil"/>
              <w:left w:val="nil"/>
              <w:bottom w:val="single" w:sz="4" w:space="0" w:color="auto"/>
              <w:right w:val="single" w:sz="4" w:space="0" w:color="auto"/>
            </w:tcBorders>
            <w:shd w:val="clear" w:color="auto" w:fill="auto"/>
            <w:noWrap/>
            <w:vAlign w:val="center"/>
            <w:hideMark/>
          </w:tcPr>
          <w:p w14:paraId="571D24E8" w14:textId="77777777" w:rsidR="00E34764" w:rsidRPr="002B257B" w:rsidRDefault="00E34764" w:rsidP="002B257B">
            <w:pPr>
              <w:pStyle w:val="tabletxt"/>
              <w:jc w:val="right"/>
              <w:rPr>
                <w:color w:val="000000"/>
                <w:szCs w:val="18"/>
              </w:rPr>
            </w:pPr>
            <w:r w:rsidRPr="002B257B">
              <w:rPr>
                <w:color w:val="000000"/>
                <w:szCs w:val="18"/>
              </w:rPr>
              <w:t>15.872</w:t>
            </w:r>
          </w:p>
        </w:tc>
        <w:tc>
          <w:tcPr>
            <w:tcW w:w="1068" w:type="dxa"/>
            <w:tcBorders>
              <w:top w:val="nil"/>
              <w:left w:val="nil"/>
              <w:bottom w:val="single" w:sz="4" w:space="0" w:color="auto"/>
              <w:right w:val="single" w:sz="4" w:space="0" w:color="auto"/>
            </w:tcBorders>
            <w:shd w:val="clear" w:color="auto" w:fill="auto"/>
            <w:noWrap/>
            <w:vAlign w:val="center"/>
            <w:hideMark/>
          </w:tcPr>
          <w:p w14:paraId="141DBBCA" w14:textId="77777777" w:rsidR="00E34764" w:rsidRPr="002B257B" w:rsidRDefault="00E34764" w:rsidP="002B257B">
            <w:pPr>
              <w:pStyle w:val="tabletxt"/>
              <w:jc w:val="right"/>
              <w:rPr>
                <w:color w:val="000000"/>
                <w:szCs w:val="18"/>
              </w:rPr>
            </w:pPr>
            <w:r w:rsidRPr="002B257B">
              <w:rPr>
                <w:color w:val="000000"/>
                <w:szCs w:val="18"/>
              </w:rPr>
              <w:t>559,68%</w:t>
            </w:r>
          </w:p>
        </w:tc>
      </w:tr>
      <w:tr w:rsidR="00E34764" w:rsidRPr="003447D4" w14:paraId="59B7BF24"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1F42A61D" w14:textId="77777777" w:rsidR="00E34764" w:rsidRPr="002B257B" w:rsidRDefault="00E34764" w:rsidP="002B257B">
            <w:pPr>
              <w:pStyle w:val="tabletxt"/>
              <w:rPr>
                <w:color w:val="FFFFFF" w:themeColor="background1"/>
                <w:szCs w:val="18"/>
              </w:rPr>
            </w:pPr>
            <w:r w:rsidRPr="002B257B">
              <w:rPr>
                <w:color w:val="FFFFFF" w:themeColor="background1"/>
                <w:szCs w:val="18"/>
              </w:rPr>
              <w:t>Broj investitora</w:t>
            </w:r>
          </w:p>
        </w:tc>
        <w:tc>
          <w:tcPr>
            <w:tcW w:w="1067" w:type="dxa"/>
            <w:tcBorders>
              <w:top w:val="nil"/>
              <w:left w:val="nil"/>
              <w:bottom w:val="single" w:sz="4" w:space="0" w:color="auto"/>
              <w:right w:val="single" w:sz="4" w:space="0" w:color="auto"/>
            </w:tcBorders>
            <w:shd w:val="clear" w:color="auto" w:fill="auto"/>
            <w:noWrap/>
            <w:vAlign w:val="center"/>
            <w:hideMark/>
          </w:tcPr>
          <w:p w14:paraId="5AEB585C" w14:textId="77777777" w:rsidR="00E34764" w:rsidRPr="002B257B" w:rsidRDefault="00E34764" w:rsidP="002B257B">
            <w:pPr>
              <w:pStyle w:val="tabletxt"/>
              <w:jc w:val="right"/>
              <w:rPr>
                <w:color w:val="000000"/>
                <w:szCs w:val="18"/>
              </w:rPr>
            </w:pPr>
            <w:r w:rsidRPr="002B257B">
              <w:rPr>
                <w:color w:val="000000"/>
                <w:szCs w:val="18"/>
              </w:rPr>
              <w:t>38</w:t>
            </w:r>
          </w:p>
        </w:tc>
        <w:tc>
          <w:tcPr>
            <w:tcW w:w="1068" w:type="dxa"/>
            <w:tcBorders>
              <w:top w:val="nil"/>
              <w:left w:val="nil"/>
              <w:bottom w:val="single" w:sz="4" w:space="0" w:color="auto"/>
              <w:right w:val="single" w:sz="4" w:space="0" w:color="auto"/>
            </w:tcBorders>
            <w:shd w:val="clear" w:color="auto" w:fill="auto"/>
            <w:noWrap/>
            <w:vAlign w:val="center"/>
            <w:hideMark/>
          </w:tcPr>
          <w:p w14:paraId="11A9B99C" w14:textId="77777777" w:rsidR="00E34764" w:rsidRPr="002B257B" w:rsidRDefault="00E34764" w:rsidP="002B257B">
            <w:pPr>
              <w:pStyle w:val="tabletxt"/>
              <w:jc w:val="right"/>
              <w:rPr>
                <w:color w:val="000000"/>
                <w:szCs w:val="18"/>
              </w:rPr>
            </w:pPr>
            <w:r w:rsidRPr="002B257B">
              <w:rPr>
                <w:color w:val="000000"/>
                <w:szCs w:val="18"/>
              </w:rPr>
              <w:t>38</w:t>
            </w:r>
          </w:p>
        </w:tc>
        <w:tc>
          <w:tcPr>
            <w:tcW w:w="1068" w:type="dxa"/>
            <w:tcBorders>
              <w:top w:val="nil"/>
              <w:left w:val="nil"/>
              <w:bottom w:val="single" w:sz="4" w:space="0" w:color="auto"/>
              <w:right w:val="single" w:sz="4" w:space="0" w:color="auto"/>
            </w:tcBorders>
            <w:shd w:val="clear" w:color="auto" w:fill="auto"/>
            <w:noWrap/>
            <w:vAlign w:val="center"/>
            <w:hideMark/>
          </w:tcPr>
          <w:p w14:paraId="374256A3" w14:textId="77777777" w:rsidR="00E34764" w:rsidRPr="002B257B" w:rsidRDefault="00E34764" w:rsidP="002B257B">
            <w:pPr>
              <w:pStyle w:val="tabletxt"/>
              <w:jc w:val="right"/>
              <w:rPr>
                <w:color w:val="000000"/>
                <w:szCs w:val="18"/>
              </w:rPr>
            </w:pPr>
            <w:r w:rsidRPr="002B257B">
              <w:rPr>
                <w:color w:val="000000"/>
                <w:szCs w:val="18"/>
              </w:rPr>
              <w:t>42</w:t>
            </w:r>
          </w:p>
        </w:tc>
        <w:tc>
          <w:tcPr>
            <w:tcW w:w="1068" w:type="dxa"/>
            <w:tcBorders>
              <w:top w:val="nil"/>
              <w:left w:val="nil"/>
              <w:bottom w:val="single" w:sz="4" w:space="0" w:color="auto"/>
              <w:right w:val="single" w:sz="4" w:space="0" w:color="auto"/>
            </w:tcBorders>
            <w:shd w:val="clear" w:color="auto" w:fill="auto"/>
            <w:noWrap/>
            <w:vAlign w:val="center"/>
            <w:hideMark/>
          </w:tcPr>
          <w:p w14:paraId="07027134" w14:textId="77777777" w:rsidR="00E34764" w:rsidRPr="002B257B" w:rsidRDefault="00E34764" w:rsidP="002B257B">
            <w:pPr>
              <w:pStyle w:val="tabletxt"/>
              <w:jc w:val="right"/>
              <w:rPr>
                <w:color w:val="000000"/>
                <w:szCs w:val="18"/>
              </w:rPr>
            </w:pPr>
            <w:r w:rsidRPr="002B257B">
              <w:rPr>
                <w:color w:val="000000"/>
                <w:szCs w:val="18"/>
              </w:rPr>
              <w:t>28</w:t>
            </w:r>
          </w:p>
        </w:tc>
        <w:tc>
          <w:tcPr>
            <w:tcW w:w="1068" w:type="dxa"/>
            <w:tcBorders>
              <w:top w:val="nil"/>
              <w:left w:val="nil"/>
              <w:bottom w:val="single" w:sz="4" w:space="0" w:color="auto"/>
              <w:right w:val="single" w:sz="4" w:space="0" w:color="auto"/>
            </w:tcBorders>
            <w:shd w:val="clear" w:color="auto" w:fill="auto"/>
            <w:noWrap/>
            <w:vAlign w:val="center"/>
            <w:hideMark/>
          </w:tcPr>
          <w:p w14:paraId="03BD7E08" w14:textId="77777777" w:rsidR="00E34764" w:rsidRPr="002B257B" w:rsidRDefault="00E34764" w:rsidP="002B257B">
            <w:pPr>
              <w:pStyle w:val="tabletxt"/>
              <w:jc w:val="right"/>
              <w:rPr>
                <w:color w:val="000000"/>
                <w:szCs w:val="18"/>
              </w:rPr>
            </w:pPr>
            <w:r w:rsidRPr="002B257B">
              <w:rPr>
                <w:color w:val="000000"/>
                <w:szCs w:val="18"/>
              </w:rPr>
              <w:t>17</w:t>
            </w:r>
          </w:p>
        </w:tc>
        <w:tc>
          <w:tcPr>
            <w:tcW w:w="1068" w:type="dxa"/>
            <w:tcBorders>
              <w:top w:val="nil"/>
              <w:left w:val="nil"/>
              <w:bottom w:val="single" w:sz="4" w:space="0" w:color="auto"/>
              <w:right w:val="single" w:sz="4" w:space="0" w:color="auto"/>
            </w:tcBorders>
            <w:shd w:val="clear" w:color="auto" w:fill="auto"/>
            <w:noWrap/>
            <w:vAlign w:val="center"/>
            <w:hideMark/>
          </w:tcPr>
          <w:p w14:paraId="1798BDD8" w14:textId="77777777" w:rsidR="00E34764" w:rsidRPr="002B257B" w:rsidRDefault="00E34764" w:rsidP="002B257B">
            <w:pPr>
              <w:pStyle w:val="tabletxt"/>
              <w:jc w:val="right"/>
              <w:rPr>
                <w:color w:val="000000"/>
                <w:szCs w:val="18"/>
              </w:rPr>
            </w:pPr>
            <w:r w:rsidRPr="002B257B">
              <w:rPr>
                <w:color w:val="000000"/>
                <w:szCs w:val="18"/>
              </w:rPr>
              <w:t>44,74%</w:t>
            </w:r>
          </w:p>
        </w:tc>
      </w:tr>
      <w:tr w:rsidR="00E34764" w:rsidRPr="003447D4" w14:paraId="492E0E34"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792CA057" w14:textId="77777777" w:rsidR="00E34764" w:rsidRPr="002B257B" w:rsidRDefault="00E34764" w:rsidP="002B257B">
            <w:pPr>
              <w:pStyle w:val="tabletxt"/>
              <w:rPr>
                <w:color w:val="FFFFFF" w:themeColor="background1"/>
                <w:szCs w:val="18"/>
              </w:rPr>
            </w:pPr>
            <w:r w:rsidRPr="002B257B">
              <w:rPr>
                <w:color w:val="FFFFFF" w:themeColor="background1"/>
                <w:szCs w:val="18"/>
              </w:rPr>
              <w:t>Broj poduzetnika bez investicija</w:t>
            </w:r>
          </w:p>
        </w:tc>
        <w:tc>
          <w:tcPr>
            <w:tcW w:w="1067" w:type="dxa"/>
            <w:tcBorders>
              <w:top w:val="nil"/>
              <w:left w:val="nil"/>
              <w:bottom w:val="single" w:sz="4" w:space="0" w:color="auto"/>
              <w:right w:val="single" w:sz="4" w:space="0" w:color="auto"/>
            </w:tcBorders>
            <w:shd w:val="clear" w:color="auto" w:fill="auto"/>
            <w:noWrap/>
            <w:vAlign w:val="center"/>
            <w:hideMark/>
          </w:tcPr>
          <w:p w14:paraId="401028C2" w14:textId="77777777" w:rsidR="00E34764" w:rsidRPr="002B257B" w:rsidRDefault="00E34764" w:rsidP="002B257B">
            <w:pPr>
              <w:pStyle w:val="tabletxt"/>
              <w:jc w:val="right"/>
              <w:rPr>
                <w:color w:val="000000"/>
                <w:szCs w:val="18"/>
              </w:rPr>
            </w:pPr>
            <w:r w:rsidRPr="002B257B">
              <w:rPr>
                <w:color w:val="000000"/>
                <w:szCs w:val="18"/>
              </w:rPr>
              <w:t>100</w:t>
            </w:r>
          </w:p>
        </w:tc>
        <w:tc>
          <w:tcPr>
            <w:tcW w:w="1068" w:type="dxa"/>
            <w:tcBorders>
              <w:top w:val="nil"/>
              <w:left w:val="nil"/>
              <w:bottom w:val="single" w:sz="4" w:space="0" w:color="auto"/>
              <w:right w:val="single" w:sz="4" w:space="0" w:color="auto"/>
            </w:tcBorders>
            <w:shd w:val="clear" w:color="auto" w:fill="auto"/>
            <w:noWrap/>
            <w:vAlign w:val="center"/>
            <w:hideMark/>
          </w:tcPr>
          <w:p w14:paraId="46F87DC2" w14:textId="77777777" w:rsidR="00E34764" w:rsidRPr="002B257B" w:rsidRDefault="00E34764" w:rsidP="002B257B">
            <w:pPr>
              <w:pStyle w:val="tabletxt"/>
              <w:jc w:val="right"/>
              <w:rPr>
                <w:color w:val="000000"/>
                <w:szCs w:val="18"/>
              </w:rPr>
            </w:pPr>
            <w:r w:rsidRPr="002B257B">
              <w:rPr>
                <w:color w:val="000000"/>
                <w:szCs w:val="18"/>
              </w:rPr>
              <w:t>122</w:t>
            </w:r>
          </w:p>
        </w:tc>
        <w:tc>
          <w:tcPr>
            <w:tcW w:w="1068" w:type="dxa"/>
            <w:tcBorders>
              <w:top w:val="nil"/>
              <w:left w:val="nil"/>
              <w:bottom w:val="single" w:sz="4" w:space="0" w:color="auto"/>
              <w:right w:val="single" w:sz="4" w:space="0" w:color="auto"/>
            </w:tcBorders>
            <w:shd w:val="clear" w:color="auto" w:fill="auto"/>
            <w:noWrap/>
            <w:vAlign w:val="center"/>
            <w:hideMark/>
          </w:tcPr>
          <w:p w14:paraId="45FD48CD" w14:textId="77777777" w:rsidR="00E34764" w:rsidRPr="002B257B" w:rsidRDefault="00E34764" w:rsidP="002B257B">
            <w:pPr>
              <w:pStyle w:val="tabletxt"/>
              <w:jc w:val="right"/>
              <w:rPr>
                <w:color w:val="000000"/>
                <w:szCs w:val="18"/>
              </w:rPr>
            </w:pPr>
            <w:r w:rsidRPr="002B257B">
              <w:rPr>
                <w:color w:val="000000"/>
                <w:szCs w:val="18"/>
              </w:rPr>
              <w:t>120</w:t>
            </w:r>
          </w:p>
        </w:tc>
        <w:tc>
          <w:tcPr>
            <w:tcW w:w="1068" w:type="dxa"/>
            <w:tcBorders>
              <w:top w:val="nil"/>
              <w:left w:val="nil"/>
              <w:bottom w:val="single" w:sz="4" w:space="0" w:color="auto"/>
              <w:right w:val="single" w:sz="4" w:space="0" w:color="auto"/>
            </w:tcBorders>
            <w:shd w:val="clear" w:color="auto" w:fill="auto"/>
            <w:noWrap/>
            <w:vAlign w:val="center"/>
            <w:hideMark/>
          </w:tcPr>
          <w:p w14:paraId="20DECBB3" w14:textId="77777777" w:rsidR="00E34764" w:rsidRPr="002B257B" w:rsidRDefault="00E34764" w:rsidP="002B257B">
            <w:pPr>
              <w:pStyle w:val="tabletxt"/>
              <w:jc w:val="right"/>
              <w:rPr>
                <w:color w:val="000000"/>
                <w:szCs w:val="18"/>
              </w:rPr>
            </w:pPr>
            <w:r w:rsidRPr="002B257B">
              <w:rPr>
                <w:color w:val="000000"/>
                <w:szCs w:val="18"/>
              </w:rPr>
              <w:t>139</w:t>
            </w:r>
          </w:p>
        </w:tc>
        <w:tc>
          <w:tcPr>
            <w:tcW w:w="1068" w:type="dxa"/>
            <w:tcBorders>
              <w:top w:val="nil"/>
              <w:left w:val="nil"/>
              <w:bottom w:val="single" w:sz="4" w:space="0" w:color="auto"/>
              <w:right w:val="single" w:sz="4" w:space="0" w:color="auto"/>
            </w:tcBorders>
            <w:shd w:val="clear" w:color="auto" w:fill="auto"/>
            <w:noWrap/>
            <w:vAlign w:val="center"/>
            <w:hideMark/>
          </w:tcPr>
          <w:p w14:paraId="1E3942BC" w14:textId="77777777" w:rsidR="00E34764" w:rsidRPr="002B257B" w:rsidRDefault="00E34764" w:rsidP="002B257B">
            <w:pPr>
              <w:pStyle w:val="tabletxt"/>
              <w:jc w:val="right"/>
              <w:rPr>
                <w:color w:val="000000"/>
                <w:szCs w:val="18"/>
              </w:rPr>
            </w:pPr>
            <w:r w:rsidRPr="002B257B">
              <w:rPr>
                <w:color w:val="000000"/>
                <w:szCs w:val="18"/>
              </w:rPr>
              <w:t>157</w:t>
            </w:r>
          </w:p>
        </w:tc>
        <w:tc>
          <w:tcPr>
            <w:tcW w:w="1068" w:type="dxa"/>
            <w:tcBorders>
              <w:top w:val="nil"/>
              <w:left w:val="nil"/>
              <w:bottom w:val="single" w:sz="4" w:space="0" w:color="auto"/>
              <w:right w:val="single" w:sz="4" w:space="0" w:color="auto"/>
            </w:tcBorders>
            <w:shd w:val="clear" w:color="auto" w:fill="auto"/>
            <w:noWrap/>
            <w:vAlign w:val="center"/>
            <w:hideMark/>
          </w:tcPr>
          <w:p w14:paraId="15C1DC53" w14:textId="77777777" w:rsidR="00E34764" w:rsidRPr="002B257B" w:rsidRDefault="00E34764" w:rsidP="002B257B">
            <w:pPr>
              <w:pStyle w:val="tabletxt"/>
              <w:jc w:val="right"/>
              <w:rPr>
                <w:color w:val="000000"/>
                <w:szCs w:val="18"/>
              </w:rPr>
            </w:pPr>
            <w:r w:rsidRPr="002B257B">
              <w:rPr>
                <w:color w:val="000000"/>
                <w:szCs w:val="18"/>
              </w:rPr>
              <w:t>157,00%</w:t>
            </w:r>
          </w:p>
        </w:tc>
      </w:tr>
      <w:tr w:rsidR="00E34764" w:rsidRPr="003447D4" w14:paraId="7A338A2A" w14:textId="77777777" w:rsidTr="002B257B">
        <w:trPr>
          <w:trHeight w:val="45"/>
        </w:trPr>
        <w:tc>
          <w:tcPr>
            <w:tcW w:w="2660" w:type="dxa"/>
            <w:tcBorders>
              <w:top w:val="nil"/>
              <w:left w:val="single" w:sz="4" w:space="0" w:color="auto"/>
              <w:bottom w:val="single" w:sz="4" w:space="0" w:color="auto"/>
              <w:right w:val="single" w:sz="4" w:space="0" w:color="auto"/>
            </w:tcBorders>
            <w:shd w:val="clear" w:color="000000" w:fill="39617A"/>
            <w:noWrap/>
            <w:vAlign w:val="center"/>
            <w:hideMark/>
          </w:tcPr>
          <w:p w14:paraId="06E3C79F" w14:textId="77777777" w:rsidR="00E34764" w:rsidRPr="002B257B" w:rsidRDefault="00E34764" w:rsidP="002B257B">
            <w:pPr>
              <w:pStyle w:val="tabletxt"/>
              <w:rPr>
                <w:color w:val="FFFFFF" w:themeColor="background1"/>
                <w:szCs w:val="18"/>
              </w:rPr>
            </w:pPr>
            <w:r w:rsidRPr="002B257B">
              <w:rPr>
                <w:color w:val="FFFFFF" w:themeColor="background1"/>
                <w:szCs w:val="18"/>
              </w:rPr>
              <w:t>Investicije u novu dugotrajnu imovinu</w:t>
            </w:r>
          </w:p>
        </w:tc>
        <w:tc>
          <w:tcPr>
            <w:tcW w:w="1067" w:type="dxa"/>
            <w:tcBorders>
              <w:top w:val="nil"/>
              <w:left w:val="nil"/>
              <w:bottom w:val="single" w:sz="4" w:space="0" w:color="auto"/>
              <w:right w:val="single" w:sz="4" w:space="0" w:color="auto"/>
            </w:tcBorders>
            <w:shd w:val="clear" w:color="auto" w:fill="auto"/>
            <w:noWrap/>
            <w:vAlign w:val="center"/>
            <w:hideMark/>
          </w:tcPr>
          <w:p w14:paraId="6B6DD35C" w14:textId="77777777" w:rsidR="00E34764" w:rsidRPr="002B257B" w:rsidRDefault="00E34764" w:rsidP="002B257B">
            <w:pPr>
              <w:pStyle w:val="tabletxt"/>
              <w:jc w:val="right"/>
              <w:rPr>
                <w:color w:val="000000"/>
                <w:szCs w:val="18"/>
              </w:rPr>
            </w:pPr>
            <w:r w:rsidRPr="002B257B">
              <w:rPr>
                <w:color w:val="000000"/>
                <w:szCs w:val="18"/>
              </w:rPr>
              <w:t>13.254</w:t>
            </w:r>
          </w:p>
        </w:tc>
        <w:tc>
          <w:tcPr>
            <w:tcW w:w="1068" w:type="dxa"/>
            <w:tcBorders>
              <w:top w:val="nil"/>
              <w:left w:val="nil"/>
              <w:bottom w:val="single" w:sz="4" w:space="0" w:color="auto"/>
              <w:right w:val="single" w:sz="4" w:space="0" w:color="auto"/>
            </w:tcBorders>
            <w:shd w:val="clear" w:color="auto" w:fill="auto"/>
            <w:noWrap/>
            <w:vAlign w:val="center"/>
            <w:hideMark/>
          </w:tcPr>
          <w:p w14:paraId="6F525DE4" w14:textId="77777777" w:rsidR="00E34764" w:rsidRPr="002B257B" w:rsidRDefault="00E34764" w:rsidP="002B257B">
            <w:pPr>
              <w:pStyle w:val="tabletxt"/>
              <w:jc w:val="right"/>
              <w:rPr>
                <w:color w:val="000000"/>
                <w:szCs w:val="18"/>
              </w:rPr>
            </w:pPr>
            <w:r w:rsidRPr="002B257B">
              <w:rPr>
                <w:color w:val="000000"/>
                <w:szCs w:val="18"/>
              </w:rPr>
              <w:t>15.679</w:t>
            </w:r>
          </w:p>
        </w:tc>
        <w:tc>
          <w:tcPr>
            <w:tcW w:w="1068" w:type="dxa"/>
            <w:tcBorders>
              <w:top w:val="nil"/>
              <w:left w:val="nil"/>
              <w:bottom w:val="single" w:sz="4" w:space="0" w:color="auto"/>
              <w:right w:val="single" w:sz="4" w:space="0" w:color="auto"/>
            </w:tcBorders>
            <w:shd w:val="clear" w:color="auto" w:fill="auto"/>
            <w:noWrap/>
            <w:vAlign w:val="center"/>
            <w:hideMark/>
          </w:tcPr>
          <w:p w14:paraId="45E8DC34" w14:textId="77777777" w:rsidR="00E34764" w:rsidRPr="002B257B" w:rsidRDefault="00E34764" w:rsidP="002B257B">
            <w:pPr>
              <w:pStyle w:val="tabletxt"/>
              <w:jc w:val="right"/>
              <w:rPr>
                <w:color w:val="000000"/>
                <w:szCs w:val="18"/>
              </w:rPr>
            </w:pPr>
            <w:r w:rsidRPr="002B257B">
              <w:rPr>
                <w:color w:val="000000"/>
                <w:szCs w:val="18"/>
              </w:rPr>
              <w:t>16.111</w:t>
            </w:r>
          </w:p>
        </w:tc>
        <w:tc>
          <w:tcPr>
            <w:tcW w:w="1068" w:type="dxa"/>
            <w:tcBorders>
              <w:top w:val="nil"/>
              <w:left w:val="nil"/>
              <w:bottom w:val="single" w:sz="4" w:space="0" w:color="auto"/>
              <w:right w:val="single" w:sz="4" w:space="0" w:color="auto"/>
            </w:tcBorders>
            <w:shd w:val="clear" w:color="auto" w:fill="auto"/>
            <w:noWrap/>
            <w:vAlign w:val="center"/>
            <w:hideMark/>
          </w:tcPr>
          <w:p w14:paraId="115491C8" w14:textId="77777777" w:rsidR="00E34764" w:rsidRPr="002B257B" w:rsidRDefault="00E34764" w:rsidP="002B257B">
            <w:pPr>
              <w:pStyle w:val="tabletxt"/>
              <w:jc w:val="right"/>
              <w:rPr>
                <w:color w:val="000000"/>
                <w:szCs w:val="18"/>
              </w:rPr>
            </w:pPr>
            <w:r w:rsidRPr="002B257B">
              <w:rPr>
                <w:color w:val="000000"/>
                <w:szCs w:val="18"/>
              </w:rPr>
              <w:t>20.781</w:t>
            </w:r>
          </w:p>
        </w:tc>
        <w:tc>
          <w:tcPr>
            <w:tcW w:w="1068" w:type="dxa"/>
            <w:tcBorders>
              <w:top w:val="nil"/>
              <w:left w:val="nil"/>
              <w:bottom w:val="single" w:sz="4" w:space="0" w:color="auto"/>
              <w:right w:val="single" w:sz="4" w:space="0" w:color="auto"/>
            </w:tcBorders>
            <w:shd w:val="clear" w:color="auto" w:fill="auto"/>
            <w:noWrap/>
            <w:vAlign w:val="center"/>
            <w:hideMark/>
          </w:tcPr>
          <w:p w14:paraId="746965CB" w14:textId="77777777" w:rsidR="00E34764" w:rsidRPr="002B257B" w:rsidRDefault="00E34764" w:rsidP="002B257B">
            <w:pPr>
              <w:pStyle w:val="tabletxt"/>
              <w:jc w:val="right"/>
              <w:rPr>
                <w:color w:val="000000"/>
                <w:szCs w:val="18"/>
              </w:rPr>
            </w:pPr>
            <w:r w:rsidRPr="002B257B">
              <w:rPr>
                <w:color w:val="000000"/>
                <w:szCs w:val="18"/>
              </w:rPr>
              <w:t>8.289</w:t>
            </w:r>
          </w:p>
        </w:tc>
        <w:tc>
          <w:tcPr>
            <w:tcW w:w="1068" w:type="dxa"/>
            <w:tcBorders>
              <w:top w:val="nil"/>
              <w:left w:val="nil"/>
              <w:bottom w:val="single" w:sz="4" w:space="0" w:color="auto"/>
              <w:right w:val="single" w:sz="4" w:space="0" w:color="auto"/>
            </w:tcBorders>
            <w:shd w:val="clear" w:color="auto" w:fill="auto"/>
            <w:noWrap/>
            <w:vAlign w:val="center"/>
            <w:hideMark/>
          </w:tcPr>
          <w:p w14:paraId="0A73092C" w14:textId="77777777" w:rsidR="00E34764" w:rsidRPr="002B257B" w:rsidRDefault="00E34764" w:rsidP="002B257B">
            <w:pPr>
              <w:pStyle w:val="tabletxt"/>
              <w:jc w:val="right"/>
              <w:rPr>
                <w:color w:val="000000"/>
                <w:szCs w:val="18"/>
              </w:rPr>
            </w:pPr>
            <w:r w:rsidRPr="002B257B">
              <w:rPr>
                <w:color w:val="000000"/>
                <w:szCs w:val="18"/>
              </w:rPr>
              <w:t>62,54%</w:t>
            </w:r>
          </w:p>
        </w:tc>
      </w:tr>
    </w:tbl>
    <w:p w14:paraId="3FFCA588" w14:textId="4F2D4AB2" w:rsidR="00E34764" w:rsidRPr="002B257B" w:rsidRDefault="00E34764" w:rsidP="00E34764">
      <w:pPr>
        <w:rPr>
          <w:bCs/>
          <w:color w:val="44697D"/>
          <w:sz w:val="18"/>
          <w:szCs w:val="18"/>
        </w:rPr>
      </w:pPr>
      <w:r w:rsidRPr="00FD510D">
        <w:rPr>
          <w:bCs/>
          <w:color w:val="44697D"/>
          <w:sz w:val="18"/>
          <w:szCs w:val="18"/>
        </w:rPr>
        <w:t>Izvor: statistika FINA</w:t>
      </w:r>
    </w:p>
    <w:p w14:paraId="5A67395B" w14:textId="77777777" w:rsidR="00E34764" w:rsidRPr="00FD510D" w:rsidRDefault="00E34764" w:rsidP="00E34764">
      <w:pPr>
        <w:pStyle w:val="Caption"/>
        <w:rPr>
          <w:rFonts w:cs="Tahoma"/>
          <w:sz w:val="20"/>
        </w:rPr>
      </w:pPr>
      <w:bookmarkStart w:id="56" w:name="_Toc420581461"/>
      <w:bookmarkStart w:id="57" w:name="_Toc437387499"/>
      <w:r w:rsidRPr="00FD510D">
        <w:t xml:space="preserve">Tablica </w:t>
      </w:r>
      <w:r>
        <w:fldChar w:fldCharType="begin"/>
      </w:r>
      <w:r>
        <w:instrText xml:space="preserve"> SEQ Tablica \* ARABIC </w:instrText>
      </w:r>
      <w:r>
        <w:fldChar w:fldCharType="separate"/>
      </w:r>
      <w:r w:rsidR="001358A9">
        <w:rPr>
          <w:noProof/>
        </w:rPr>
        <w:t>26</w:t>
      </w:r>
      <w:r>
        <w:rPr>
          <w:noProof/>
        </w:rPr>
        <w:fldChar w:fldCharType="end"/>
      </w:r>
      <w:r w:rsidRPr="00FD510D">
        <w:t>. Osnovni podaci o poslovnom sektoru Ozalj, 2013. - 2017.</w:t>
      </w:r>
      <w:bookmarkEnd w:id="56"/>
      <w:bookmarkEnd w:id="57"/>
    </w:p>
    <w:tbl>
      <w:tblPr>
        <w:tblW w:w="9067" w:type="dxa"/>
        <w:tblLayout w:type="fixed"/>
        <w:tblLook w:val="04A0" w:firstRow="1" w:lastRow="0" w:firstColumn="1" w:lastColumn="0" w:noHBand="0" w:noVBand="1"/>
      </w:tblPr>
      <w:tblGrid>
        <w:gridCol w:w="2518"/>
        <w:gridCol w:w="1091"/>
        <w:gridCol w:w="1092"/>
        <w:gridCol w:w="1091"/>
        <w:gridCol w:w="1092"/>
        <w:gridCol w:w="1091"/>
        <w:gridCol w:w="1092"/>
      </w:tblGrid>
      <w:tr w:rsidR="00E34764" w:rsidRPr="002B257B" w14:paraId="00AAD6AB" w14:textId="77777777" w:rsidTr="002B257B">
        <w:trPr>
          <w:trHeight w:val="300"/>
          <w:tblHeader/>
        </w:trPr>
        <w:tc>
          <w:tcPr>
            <w:tcW w:w="2518" w:type="dxa"/>
            <w:tcBorders>
              <w:top w:val="single" w:sz="4" w:space="0" w:color="auto"/>
              <w:left w:val="single" w:sz="4" w:space="0" w:color="auto"/>
              <w:bottom w:val="single" w:sz="4" w:space="0" w:color="auto"/>
              <w:right w:val="single" w:sz="4" w:space="0" w:color="auto"/>
            </w:tcBorders>
            <w:shd w:val="clear" w:color="000000" w:fill="39617A"/>
            <w:noWrap/>
            <w:vAlign w:val="center"/>
            <w:hideMark/>
          </w:tcPr>
          <w:p w14:paraId="451047ED" w14:textId="77777777" w:rsidR="00E34764" w:rsidRPr="002B257B" w:rsidRDefault="00E34764" w:rsidP="002B257B">
            <w:pPr>
              <w:pStyle w:val="tabletxt"/>
              <w:rPr>
                <w:color w:val="FFFFFF" w:themeColor="background1"/>
                <w:szCs w:val="18"/>
              </w:rPr>
            </w:pPr>
            <w:r w:rsidRPr="002B257B">
              <w:rPr>
                <w:color w:val="FFFFFF" w:themeColor="background1"/>
                <w:szCs w:val="18"/>
              </w:rPr>
              <w:t>POSLOVNO OKRUŽENJE OZALJ</w:t>
            </w:r>
          </w:p>
        </w:tc>
        <w:tc>
          <w:tcPr>
            <w:tcW w:w="1091" w:type="dxa"/>
            <w:tcBorders>
              <w:top w:val="single" w:sz="4" w:space="0" w:color="auto"/>
              <w:left w:val="nil"/>
              <w:bottom w:val="single" w:sz="4" w:space="0" w:color="auto"/>
              <w:right w:val="single" w:sz="4" w:space="0" w:color="auto"/>
            </w:tcBorders>
            <w:shd w:val="clear" w:color="000000" w:fill="39617A"/>
            <w:noWrap/>
            <w:vAlign w:val="center"/>
            <w:hideMark/>
          </w:tcPr>
          <w:p w14:paraId="1CA43035"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2013</w:t>
            </w:r>
          </w:p>
        </w:tc>
        <w:tc>
          <w:tcPr>
            <w:tcW w:w="1092" w:type="dxa"/>
            <w:tcBorders>
              <w:top w:val="single" w:sz="4" w:space="0" w:color="auto"/>
              <w:left w:val="nil"/>
              <w:bottom w:val="single" w:sz="4" w:space="0" w:color="auto"/>
              <w:right w:val="single" w:sz="4" w:space="0" w:color="auto"/>
            </w:tcBorders>
            <w:shd w:val="clear" w:color="000000" w:fill="39617A"/>
            <w:noWrap/>
            <w:vAlign w:val="center"/>
            <w:hideMark/>
          </w:tcPr>
          <w:p w14:paraId="61DA2450"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2014</w:t>
            </w:r>
          </w:p>
        </w:tc>
        <w:tc>
          <w:tcPr>
            <w:tcW w:w="1091" w:type="dxa"/>
            <w:tcBorders>
              <w:top w:val="single" w:sz="4" w:space="0" w:color="auto"/>
              <w:left w:val="nil"/>
              <w:bottom w:val="single" w:sz="4" w:space="0" w:color="auto"/>
              <w:right w:val="single" w:sz="4" w:space="0" w:color="auto"/>
            </w:tcBorders>
            <w:shd w:val="clear" w:color="000000" w:fill="39617A"/>
            <w:noWrap/>
            <w:vAlign w:val="center"/>
            <w:hideMark/>
          </w:tcPr>
          <w:p w14:paraId="08B000B6"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2015</w:t>
            </w:r>
          </w:p>
        </w:tc>
        <w:tc>
          <w:tcPr>
            <w:tcW w:w="1092" w:type="dxa"/>
            <w:tcBorders>
              <w:top w:val="single" w:sz="4" w:space="0" w:color="auto"/>
              <w:left w:val="nil"/>
              <w:bottom w:val="single" w:sz="4" w:space="0" w:color="auto"/>
              <w:right w:val="single" w:sz="4" w:space="0" w:color="auto"/>
            </w:tcBorders>
            <w:shd w:val="clear" w:color="000000" w:fill="39617A"/>
            <w:noWrap/>
            <w:vAlign w:val="center"/>
            <w:hideMark/>
          </w:tcPr>
          <w:p w14:paraId="6317EBF4"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2016</w:t>
            </w:r>
          </w:p>
        </w:tc>
        <w:tc>
          <w:tcPr>
            <w:tcW w:w="1091" w:type="dxa"/>
            <w:tcBorders>
              <w:top w:val="single" w:sz="4" w:space="0" w:color="auto"/>
              <w:left w:val="nil"/>
              <w:bottom w:val="single" w:sz="4" w:space="0" w:color="auto"/>
              <w:right w:val="single" w:sz="4" w:space="0" w:color="auto"/>
            </w:tcBorders>
            <w:shd w:val="clear" w:color="000000" w:fill="39617A"/>
            <w:noWrap/>
            <w:vAlign w:val="center"/>
            <w:hideMark/>
          </w:tcPr>
          <w:p w14:paraId="27C3E56E"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2017</w:t>
            </w:r>
          </w:p>
        </w:tc>
        <w:tc>
          <w:tcPr>
            <w:tcW w:w="1092" w:type="dxa"/>
            <w:tcBorders>
              <w:top w:val="single" w:sz="4" w:space="0" w:color="auto"/>
              <w:left w:val="nil"/>
              <w:bottom w:val="single" w:sz="4" w:space="0" w:color="auto"/>
              <w:right w:val="single" w:sz="4" w:space="0" w:color="auto"/>
            </w:tcBorders>
            <w:shd w:val="clear" w:color="000000" w:fill="39617A"/>
            <w:noWrap/>
            <w:vAlign w:val="center"/>
            <w:hideMark/>
          </w:tcPr>
          <w:p w14:paraId="2145751E" w14:textId="77777777" w:rsidR="00E34764" w:rsidRPr="002B257B" w:rsidRDefault="00E34764" w:rsidP="002B257B">
            <w:pPr>
              <w:pStyle w:val="tabletxt"/>
              <w:jc w:val="right"/>
              <w:rPr>
                <w:color w:val="FFFFFF" w:themeColor="background1"/>
                <w:szCs w:val="18"/>
              </w:rPr>
            </w:pPr>
            <w:r w:rsidRPr="002B257B">
              <w:rPr>
                <w:color w:val="FFFFFF" w:themeColor="background1"/>
                <w:szCs w:val="18"/>
              </w:rPr>
              <w:t>INDEKS 2017-2013</w:t>
            </w:r>
          </w:p>
        </w:tc>
      </w:tr>
      <w:tr w:rsidR="00E34764" w:rsidRPr="002B257B" w14:paraId="234E9FB7" w14:textId="77777777" w:rsidTr="002B257B">
        <w:trPr>
          <w:trHeight w:val="150"/>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34FA1EA3" w14:textId="77777777" w:rsidR="00E34764" w:rsidRPr="002B257B" w:rsidRDefault="00E34764" w:rsidP="002B257B">
            <w:pPr>
              <w:pStyle w:val="tabletxt"/>
              <w:rPr>
                <w:color w:val="FFFFFF" w:themeColor="background1"/>
                <w:szCs w:val="18"/>
              </w:rPr>
            </w:pPr>
            <w:r w:rsidRPr="002B257B">
              <w:rPr>
                <w:color w:val="FFFFFF" w:themeColor="background1"/>
                <w:szCs w:val="18"/>
              </w:rPr>
              <w:t>Broj poduzetnika</w:t>
            </w:r>
          </w:p>
        </w:tc>
        <w:tc>
          <w:tcPr>
            <w:tcW w:w="1091" w:type="dxa"/>
            <w:tcBorders>
              <w:top w:val="nil"/>
              <w:left w:val="nil"/>
              <w:bottom w:val="single" w:sz="4" w:space="0" w:color="auto"/>
              <w:right w:val="single" w:sz="4" w:space="0" w:color="auto"/>
            </w:tcBorders>
            <w:shd w:val="clear" w:color="auto" w:fill="auto"/>
            <w:noWrap/>
            <w:vAlign w:val="center"/>
            <w:hideMark/>
          </w:tcPr>
          <w:p w14:paraId="7A7615C0" w14:textId="77777777" w:rsidR="00E34764" w:rsidRPr="002B257B" w:rsidRDefault="00E34764" w:rsidP="002B257B">
            <w:pPr>
              <w:pStyle w:val="tabletxt"/>
              <w:jc w:val="right"/>
              <w:rPr>
                <w:color w:val="000000"/>
                <w:szCs w:val="18"/>
              </w:rPr>
            </w:pPr>
            <w:r w:rsidRPr="002B257B">
              <w:rPr>
                <w:color w:val="000000"/>
                <w:szCs w:val="18"/>
              </w:rPr>
              <w:t>116</w:t>
            </w:r>
          </w:p>
        </w:tc>
        <w:tc>
          <w:tcPr>
            <w:tcW w:w="1092" w:type="dxa"/>
            <w:tcBorders>
              <w:top w:val="nil"/>
              <w:left w:val="nil"/>
              <w:bottom w:val="single" w:sz="4" w:space="0" w:color="auto"/>
              <w:right w:val="single" w:sz="4" w:space="0" w:color="auto"/>
            </w:tcBorders>
            <w:shd w:val="clear" w:color="auto" w:fill="auto"/>
            <w:noWrap/>
            <w:vAlign w:val="center"/>
            <w:hideMark/>
          </w:tcPr>
          <w:p w14:paraId="1F2D577B" w14:textId="77777777" w:rsidR="00E34764" w:rsidRPr="002B257B" w:rsidRDefault="00E34764" w:rsidP="002B257B">
            <w:pPr>
              <w:pStyle w:val="tabletxt"/>
              <w:jc w:val="right"/>
              <w:rPr>
                <w:color w:val="000000"/>
                <w:szCs w:val="18"/>
              </w:rPr>
            </w:pPr>
            <w:r w:rsidRPr="002B257B">
              <w:rPr>
                <w:color w:val="000000"/>
                <w:szCs w:val="18"/>
              </w:rPr>
              <w:t>114</w:t>
            </w:r>
          </w:p>
        </w:tc>
        <w:tc>
          <w:tcPr>
            <w:tcW w:w="1091" w:type="dxa"/>
            <w:tcBorders>
              <w:top w:val="nil"/>
              <w:left w:val="nil"/>
              <w:bottom w:val="single" w:sz="4" w:space="0" w:color="auto"/>
              <w:right w:val="single" w:sz="4" w:space="0" w:color="auto"/>
            </w:tcBorders>
            <w:shd w:val="clear" w:color="auto" w:fill="auto"/>
            <w:noWrap/>
            <w:vAlign w:val="center"/>
            <w:hideMark/>
          </w:tcPr>
          <w:p w14:paraId="2981DB22" w14:textId="77777777" w:rsidR="00E34764" w:rsidRPr="002B257B" w:rsidRDefault="00E34764" w:rsidP="002B257B">
            <w:pPr>
              <w:pStyle w:val="tabletxt"/>
              <w:jc w:val="right"/>
              <w:rPr>
                <w:color w:val="000000"/>
                <w:szCs w:val="18"/>
              </w:rPr>
            </w:pPr>
            <w:r w:rsidRPr="002B257B">
              <w:rPr>
                <w:color w:val="000000"/>
                <w:szCs w:val="18"/>
              </w:rPr>
              <w:t>113</w:t>
            </w:r>
          </w:p>
        </w:tc>
        <w:tc>
          <w:tcPr>
            <w:tcW w:w="1092" w:type="dxa"/>
            <w:tcBorders>
              <w:top w:val="nil"/>
              <w:left w:val="nil"/>
              <w:bottom w:val="single" w:sz="4" w:space="0" w:color="auto"/>
              <w:right w:val="single" w:sz="4" w:space="0" w:color="auto"/>
            </w:tcBorders>
            <w:shd w:val="clear" w:color="auto" w:fill="auto"/>
            <w:noWrap/>
            <w:vAlign w:val="center"/>
            <w:hideMark/>
          </w:tcPr>
          <w:p w14:paraId="75C06BD5" w14:textId="77777777" w:rsidR="00E34764" w:rsidRPr="002B257B" w:rsidRDefault="00E34764" w:rsidP="002B257B">
            <w:pPr>
              <w:pStyle w:val="tabletxt"/>
              <w:jc w:val="right"/>
              <w:rPr>
                <w:color w:val="000000"/>
                <w:szCs w:val="18"/>
              </w:rPr>
            </w:pPr>
            <w:r w:rsidRPr="002B257B">
              <w:rPr>
                <w:color w:val="000000"/>
                <w:szCs w:val="18"/>
              </w:rPr>
              <w:t>121</w:t>
            </w:r>
          </w:p>
        </w:tc>
        <w:tc>
          <w:tcPr>
            <w:tcW w:w="1091" w:type="dxa"/>
            <w:tcBorders>
              <w:top w:val="nil"/>
              <w:left w:val="nil"/>
              <w:bottom w:val="single" w:sz="4" w:space="0" w:color="auto"/>
              <w:right w:val="single" w:sz="4" w:space="0" w:color="auto"/>
            </w:tcBorders>
            <w:shd w:val="clear" w:color="auto" w:fill="auto"/>
            <w:noWrap/>
            <w:vAlign w:val="center"/>
            <w:hideMark/>
          </w:tcPr>
          <w:p w14:paraId="71F5CB54" w14:textId="77777777" w:rsidR="00E34764" w:rsidRPr="002B257B" w:rsidRDefault="00E34764" w:rsidP="002B257B">
            <w:pPr>
              <w:pStyle w:val="tabletxt"/>
              <w:jc w:val="right"/>
              <w:rPr>
                <w:color w:val="000000"/>
                <w:szCs w:val="18"/>
              </w:rPr>
            </w:pPr>
            <w:r w:rsidRPr="002B257B">
              <w:rPr>
                <w:color w:val="000000"/>
                <w:szCs w:val="18"/>
              </w:rPr>
              <w:t>126</w:t>
            </w:r>
          </w:p>
        </w:tc>
        <w:tc>
          <w:tcPr>
            <w:tcW w:w="1092" w:type="dxa"/>
            <w:tcBorders>
              <w:top w:val="nil"/>
              <w:left w:val="nil"/>
              <w:bottom w:val="single" w:sz="4" w:space="0" w:color="auto"/>
              <w:right w:val="single" w:sz="4" w:space="0" w:color="auto"/>
            </w:tcBorders>
            <w:shd w:val="clear" w:color="auto" w:fill="auto"/>
            <w:noWrap/>
            <w:vAlign w:val="center"/>
            <w:hideMark/>
          </w:tcPr>
          <w:p w14:paraId="7D864694" w14:textId="77777777" w:rsidR="00E34764" w:rsidRPr="002B257B" w:rsidRDefault="00E34764" w:rsidP="002B257B">
            <w:pPr>
              <w:pStyle w:val="tabletxt"/>
              <w:jc w:val="right"/>
              <w:rPr>
                <w:color w:val="000000"/>
                <w:szCs w:val="18"/>
              </w:rPr>
            </w:pPr>
            <w:r w:rsidRPr="002B257B">
              <w:rPr>
                <w:color w:val="000000"/>
                <w:szCs w:val="18"/>
              </w:rPr>
              <w:t>108,62%</w:t>
            </w:r>
          </w:p>
        </w:tc>
      </w:tr>
      <w:tr w:rsidR="00E34764" w:rsidRPr="002B257B" w14:paraId="4480AA48" w14:textId="77777777" w:rsidTr="002B257B">
        <w:trPr>
          <w:trHeight w:val="97"/>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1A520460" w14:textId="77777777" w:rsidR="00E34764" w:rsidRPr="002B257B" w:rsidRDefault="00E34764" w:rsidP="002B257B">
            <w:pPr>
              <w:pStyle w:val="tabletxt"/>
              <w:rPr>
                <w:color w:val="FFFFFF" w:themeColor="background1"/>
                <w:szCs w:val="18"/>
              </w:rPr>
            </w:pPr>
            <w:r w:rsidRPr="002B257B">
              <w:rPr>
                <w:color w:val="FFFFFF" w:themeColor="background1"/>
                <w:szCs w:val="18"/>
              </w:rPr>
              <w:t>Broj dobitaša</w:t>
            </w:r>
          </w:p>
        </w:tc>
        <w:tc>
          <w:tcPr>
            <w:tcW w:w="1091" w:type="dxa"/>
            <w:tcBorders>
              <w:top w:val="nil"/>
              <w:left w:val="nil"/>
              <w:bottom w:val="single" w:sz="4" w:space="0" w:color="auto"/>
              <w:right w:val="single" w:sz="4" w:space="0" w:color="auto"/>
            </w:tcBorders>
            <w:shd w:val="clear" w:color="auto" w:fill="auto"/>
            <w:noWrap/>
            <w:vAlign w:val="center"/>
            <w:hideMark/>
          </w:tcPr>
          <w:p w14:paraId="577EA8FF" w14:textId="77777777" w:rsidR="00E34764" w:rsidRPr="002B257B" w:rsidRDefault="00E34764" w:rsidP="002B257B">
            <w:pPr>
              <w:pStyle w:val="tabletxt"/>
              <w:jc w:val="right"/>
              <w:rPr>
                <w:color w:val="000000"/>
                <w:szCs w:val="18"/>
              </w:rPr>
            </w:pPr>
            <w:r w:rsidRPr="002B257B">
              <w:rPr>
                <w:color w:val="000000"/>
                <w:szCs w:val="18"/>
              </w:rPr>
              <w:t>66</w:t>
            </w:r>
          </w:p>
        </w:tc>
        <w:tc>
          <w:tcPr>
            <w:tcW w:w="1092" w:type="dxa"/>
            <w:tcBorders>
              <w:top w:val="nil"/>
              <w:left w:val="nil"/>
              <w:bottom w:val="single" w:sz="4" w:space="0" w:color="auto"/>
              <w:right w:val="single" w:sz="4" w:space="0" w:color="auto"/>
            </w:tcBorders>
            <w:shd w:val="clear" w:color="auto" w:fill="auto"/>
            <w:noWrap/>
            <w:vAlign w:val="center"/>
            <w:hideMark/>
          </w:tcPr>
          <w:p w14:paraId="31261B79" w14:textId="77777777" w:rsidR="00E34764" w:rsidRPr="002B257B" w:rsidRDefault="00E34764" w:rsidP="002B257B">
            <w:pPr>
              <w:pStyle w:val="tabletxt"/>
              <w:jc w:val="right"/>
              <w:rPr>
                <w:color w:val="000000"/>
                <w:szCs w:val="18"/>
              </w:rPr>
            </w:pPr>
            <w:r w:rsidRPr="002B257B">
              <w:rPr>
                <w:color w:val="000000"/>
                <w:szCs w:val="18"/>
              </w:rPr>
              <w:t>63</w:t>
            </w:r>
          </w:p>
        </w:tc>
        <w:tc>
          <w:tcPr>
            <w:tcW w:w="1091" w:type="dxa"/>
            <w:tcBorders>
              <w:top w:val="nil"/>
              <w:left w:val="nil"/>
              <w:bottom w:val="single" w:sz="4" w:space="0" w:color="auto"/>
              <w:right w:val="single" w:sz="4" w:space="0" w:color="auto"/>
            </w:tcBorders>
            <w:shd w:val="clear" w:color="auto" w:fill="auto"/>
            <w:noWrap/>
            <w:vAlign w:val="center"/>
            <w:hideMark/>
          </w:tcPr>
          <w:p w14:paraId="1DF8CCD2" w14:textId="77777777" w:rsidR="00E34764" w:rsidRPr="002B257B" w:rsidRDefault="00E34764" w:rsidP="002B257B">
            <w:pPr>
              <w:pStyle w:val="tabletxt"/>
              <w:jc w:val="right"/>
              <w:rPr>
                <w:color w:val="000000"/>
                <w:szCs w:val="18"/>
              </w:rPr>
            </w:pPr>
            <w:r w:rsidRPr="002B257B">
              <w:rPr>
                <w:color w:val="000000"/>
                <w:szCs w:val="18"/>
              </w:rPr>
              <w:t>71</w:t>
            </w:r>
          </w:p>
        </w:tc>
        <w:tc>
          <w:tcPr>
            <w:tcW w:w="1092" w:type="dxa"/>
            <w:tcBorders>
              <w:top w:val="nil"/>
              <w:left w:val="nil"/>
              <w:bottom w:val="single" w:sz="4" w:space="0" w:color="auto"/>
              <w:right w:val="single" w:sz="4" w:space="0" w:color="auto"/>
            </w:tcBorders>
            <w:shd w:val="clear" w:color="auto" w:fill="auto"/>
            <w:noWrap/>
            <w:vAlign w:val="center"/>
            <w:hideMark/>
          </w:tcPr>
          <w:p w14:paraId="6CD66249" w14:textId="77777777" w:rsidR="00E34764" w:rsidRPr="002B257B" w:rsidRDefault="00E34764" w:rsidP="002B257B">
            <w:pPr>
              <w:pStyle w:val="tabletxt"/>
              <w:jc w:val="right"/>
              <w:rPr>
                <w:color w:val="000000"/>
                <w:szCs w:val="18"/>
              </w:rPr>
            </w:pPr>
            <w:r w:rsidRPr="002B257B">
              <w:rPr>
                <w:color w:val="000000"/>
                <w:szCs w:val="18"/>
              </w:rPr>
              <w:t>86</w:t>
            </w:r>
          </w:p>
        </w:tc>
        <w:tc>
          <w:tcPr>
            <w:tcW w:w="1091" w:type="dxa"/>
            <w:tcBorders>
              <w:top w:val="nil"/>
              <w:left w:val="nil"/>
              <w:bottom w:val="single" w:sz="4" w:space="0" w:color="auto"/>
              <w:right w:val="single" w:sz="4" w:space="0" w:color="auto"/>
            </w:tcBorders>
            <w:shd w:val="clear" w:color="auto" w:fill="auto"/>
            <w:noWrap/>
            <w:vAlign w:val="center"/>
            <w:hideMark/>
          </w:tcPr>
          <w:p w14:paraId="77858E17" w14:textId="77777777" w:rsidR="00E34764" w:rsidRPr="002B257B" w:rsidRDefault="00E34764" w:rsidP="002B257B">
            <w:pPr>
              <w:pStyle w:val="tabletxt"/>
              <w:jc w:val="right"/>
              <w:rPr>
                <w:color w:val="000000"/>
                <w:szCs w:val="18"/>
              </w:rPr>
            </w:pPr>
            <w:r w:rsidRPr="002B257B">
              <w:rPr>
                <w:color w:val="000000"/>
                <w:szCs w:val="18"/>
              </w:rPr>
              <w:t>87</w:t>
            </w:r>
          </w:p>
        </w:tc>
        <w:tc>
          <w:tcPr>
            <w:tcW w:w="1092" w:type="dxa"/>
            <w:tcBorders>
              <w:top w:val="nil"/>
              <w:left w:val="nil"/>
              <w:bottom w:val="single" w:sz="4" w:space="0" w:color="auto"/>
              <w:right w:val="single" w:sz="4" w:space="0" w:color="auto"/>
            </w:tcBorders>
            <w:shd w:val="clear" w:color="auto" w:fill="auto"/>
            <w:noWrap/>
            <w:vAlign w:val="center"/>
            <w:hideMark/>
          </w:tcPr>
          <w:p w14:paraId="59A9070F" w14:textId="77777777" w:rsidR="00E34764" w:rsidRPr="002B257B" w:rsidRDefault="00E34764" w:rsidP="002B257B">
            <w:pPr>
              <w:pStyle w:val="tabletxt"/>
              <w:jc w:val="right"/>
              <w:rPr>
                <w:color w:val="000000"/>
                <w:szCs w:val="18"/>
              </w:rPr>
            </w:pPr>
            <w:r w:rsidRPr="002B257B">
              <w:rPr>
                <w:color w:val="000000"/>
                <w:szCs w:val="18"/>
              </w:rPr>
              <w:t>131,82%</w:t>
            </w:r>
          </w:p>
        </w:tc>
      </w:tr>
      <w:tr w:rsidR="00E34764" w:rsidRPr="002B257B" w14:paraId="1ADF2A93" w14:textId="77777777" w:rsidTr="002B257B">
        <w:trPr>
          <w:trHeight w:val="70"/>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17117236" w14:textId="77777777" w:rsidR="00E34764" w:rsidRPr="002B257B" w:rsidRDefault="00E34764" w:rsidP="002B257B">
            <w:pPr>
              <w:pStyle w:val="tabletxt"/>
              <w:rPr>
                <w:color w:val="FFFFFF" w:themeColor="background1"/>
                <w:szCs w:val="18"/>
              </w:rPr>
            </w:pPr>
            <w:r w:rsidRPr="002B257B">
              <w:rPr>
                <w:color w:val="FFFFFF" w:themeColor="background1"/>
                <w:szCs w:val="18"/>
              </w:rPr>
              <w:t>Broj gubitaša</w:t>
            </w:r>
          </w:p>
        </w:tc>
        <w:tc>
          <w:tcPr>
            <w:tcW w:w="1091" w:type="dxa"/>
            <w:tcBorders>
              <w:top w:val="nil"/>
              <w:left w:val="nil"/>
              <w:bottom w:val="single" w:sz="4" w:space="0" w:color="auto"/>
              <w:right w:val="single" w:sz="4" w:space="0" w:color="auto"/>
            </w:tcBorders>
            <w:shd w:val="clear" w:color="auto" w:fill="auto"/>
            <w:noWrap/>
            <w:vAlign w:val="center"/>
            <w:hideMark/>
          </w:tcPr>
          <w:p w14:paraId="1357443B" w14:textId="77777777" w:rsidR="00E34764" w:rsidRPr="002B257B" w:rsidRDefault="00E34764" w:rsidP="002B257B">
            <w:pPr>
              <w:pStyle w:val="tabletxt"/>
              <w:jc w:val="right"/>
              <w:rPr>
                <w:color w:val="000000"/>
                <w:szCs w:val="18"/>
              </w:rPr>
            </w:pPr>
            <w:r w:rsidRPr="002B257B">
              <w:rPr>
                <w:color w:val="000000"/>
                <w:szCs w:val="18"/>
              </w:rPr>
              <w:t>50</w:t>
            </w:r>
          </w:p>
        </w:tc>
        <w:tc>
          <w:tcPr>
            <w:tcW w:w="1092" w:type="dxa"/>
            <w:tcBorders>
              <w:top w:val="nil"/>
              <w:left w:val="nil"/>
              <w:bottom w:val="single" w:sz="4" w:space="0" w:color="auto"/>
              <w:right w:val="single" w:sz="4" w:space="0" w:color="auto"/>
            </w:tcBorders>
            <w:shd w:val="clear" w:color="auto" w:fill="auto"/>
            <w:noWrap/>
            <w:vAlign w:val="center"/>
            <w:hideMark/>
          </w:tcPr>
          <w:p w14:paraId="15E15145" w14:textId="77777777" w:rsidR="00E34764" w:rsidRPr="002B257B" w:rsidRDefault="00E34764" w:rsidP="002B257B">
            <w:pPr>
              <w:pStyle w:val="tabletxt"/>
              <w:jc w:val="right"/>
              <w:rPr>
                <w:color w:val="000000"/>
                <w:szCs w:val="18"/>
              </w:rPr>
            </w:pPr>
            <w:r w:rsidRPr="002B257B">
              <w:rPr>
                <w:color w:val="000000"/>
                <w:szCs w:val="18"/>
              </w:rPr>
              <w:t>51</w:t>
            </w:r>
          </w:p>
        </w:tc>
        <w:tc>
          <w:tcPr>
            <w:tcW w:w="1091" w:type="dxa"/>
            <w:tcBorders>
              <w:top w:val="nil"/>
              <w:left w:val="nil"/>
              <w:bottom w:val="single" w:sz="4" w:space="0" w:color="auto"/>
              <w:right w:val="single" w:sz="4" w:space="0" w:color="auto"/>
            </w:tcBorders>
            <w:shd w:val="clear" w:color="auto" w:fill="auto"/>
            <w:noWrap/>
            <w:vAlign w:val="center"/>
            <w:hideMark/>
          </w:tcPr>
          <w:p w14:paraId="7FF782A1" w14:textId="77777777" w:rsidR="00E34764" w:rsidRPr="002B257B" w:rsidRDefault="00E34764" w:rsidP="002B257B">
            <w:pPr>
              <w:pStyle w:val="tabletxt"/>
              <w:jc w:val="right"/>
              <w:rPr>
                <w:color w:val="000000"/>
                <w:szCs w:val="18"/>
              </w:rPr>
            </w:pPr>
            <w:r w:rsidRPr="002B257B">
              <w:rPr>
                <w:color w:val="000000"/>
                <w:szCs w:val="18"/>
              </w:rPr>
              <w:t>42</w:t>
            </w:r>
          </w:p>
        </w:tc>
        <w:tc>
          <w:tcPr>
            <w:tcW w:w="1092" w:type="dxa"/>
            <w:tcBorders>
              <w:top w:val="nil"/>
              <w:left w:val="nil"/>
              <w:bottom w:val="single" w:sz="4" w:space="0" w:color="auto"/>
              <w:right w:val="single" w:sz="4" w:space="0" w:color="auto"/>
            </w:tcBorders>
            <w:shd w:val="clear" w:color="auto" w:fill="auto"/>
            <w:noWrap/>
            <w:vAlign w:val="center"/>
            <w:hideMark/>
          </w:tcPr>
          <w:p w14:paraId="555B4E07" w14:textId="77777777" w:rsidR="00E34764" w:rsidRPr="002B257B" w:rsidRDefault="00E34764" w:rsidP="002B257B">
            <w:pPr>
              <w:pStyle w:val="tabletxt"/>
              <w:jc w:val="right"/>
              <w:rPr>
                <w:color w:val="000000"/>
                <w:szCs w:val="18"/>
              </w:rPr>
            </w:pPr>
            <w:r w:rsidRPr="002B257B">
              <w:rPr>
                <w:color w:val="000000"/>
                <w:szCs w:val="18"/>
              </w:rPr>
              <w:t>35</w:t>
            </w:r>
          </w:p>
        </w:tc>
        <w:tc>
          <w:tcPr>
            <w:tcW w:w="1091" w:type="dxa"/>
            <w:tcBorders>
              <w:top w:val="nil"/>
              <w:left w:val="nil"/>
              <w:bottom w:val="single" w:sz="4" w:space="0" w:color="auto"/>
              <w:right w:val="single" w:sz="4" w:space="0" w:color="auto"/>
            </w:tcBorders>
            <w:shd w:val="clear" w:color="auto" w:fill="auto"/>
            <w:noWrap/>
            <w:vAlign w:val="center"/>
            <w:hideMark/>
          </w:tcPr>
          <w:p w14:paraId="2ACD3FFB" w14:textId="77777777" w:rsidR="00E34764" w:rsidRPr="002B257B" w:rsidRDefault="00E34764" w:rsidP="002B257B">
            <w:pPr>
              <w:pStyle w:val="tabletxt"/>
              <w:jc w:val="right"/>
              <w:rPr>
                <w:color w:val="000000"/>
                <w:szCs w:val="18"/>
              </w:rPr>
            </w:pPr>
            <w:r w:rsidRPr="002B257B">
              <w:rPr>
                <w:color w:val="000000"/>
                <w:szCs w:val="18"/>
              </w:rPr>
              <w:t>39</w:t>
            </w:r>
          </w:p>
        </w:tc>
        <w:tc>
          <w:tcPr>
            <w:tcW w:w="1092" w:type="dxa"/>
            <w:tcBorders>
              <w:top w:val="nil"/>
              <w:left w:val="nil"/>
              <w:bottom w:val="single" w:sz="4" w:space="0" w:color="auto"/>
              <w:right w:val="single" w:sz="4" w:space="0" w:color="auto"/>
            </w:tcBorders>
            <w:shd w:val="clear" w:color="auto" w:fill="auto"/>
            <w:noWrap/>
            <w:vAlign w:val="center"/>
            <w:hideMark/>
          </w:tcPr>
          <w:p w14:paraId="1F1C4711" w14:textId="77777777" w:rsidR="00E34764" w:rsidRPr="002B257B" w:rsidRDefault="00E34764" w:rsidP="002B257B">
            <w:pPr>
              <w:pStyle w:val="tabletxt"/>
              <w:jc w:val="right"/>
              <w:rPr>
                <w:color w:val="000000"/>
                <w:szCs w:val="18"/>
              </w:rPr>
            </w:pPr>
            <w:r w:rsidRPr="002B257B">
              <w:rPr>
                <w:color w:val="000000"/>
                <w:szCs w:val="18"/>
              </w:rPr>
              <w:t>78,00%</w:t>
            </w:r>
          </w:p>
        </w:tc>
      </w:tr>
      <w:tr w:rsidR="00E34764" w:rsidRPr="002B257B" w14:paraId="4559084F" w14:textId="77777777" w:rsidTr="002B257B">
        <w:trPr>
          <w:trHeight w:val="45"/>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7E71033E" w14:textId="77777777" w:rsidR="00E34764" w:rsidRPr="002B257B" w:rsidRDefault="00E34764" w:rsidP="002B257B">
            <w:pPr>
              <w:pStyle w:val="tabletxt"/>
              <w:rPr>
                <w:color w:val="FFFFFF" w:themeColor="background1"/>
                <w:szCs w:val="18"/>
              </w:rPr>
            </w:pPr>
            <w:r w:rsidRPr="002B257B">
              <w:rPr>
                <w:color w:val="FFFFFF" w:themeColor="background1"/>
                <w:szCs w:val="18"/>
              </w:rPr>
              <w:t>Broj zaposlenih</w:t>
            </w:r>
          </w:p>
        </w:tc>
        <w:tc>
          <w:tcPr>
            <w:tcW w:w="1091" w:type="dxa"/>
            <w:tcBorders>
              <w:top w:val="nil"/>
              <w:left w:val="nil"/>
              <w:bottom w:val="single" w:sz="4" w:space="0" w:color="auto"/>
              <w:right w:val="single" w:sz="4" w:space="0" w:color="auto"/>
            </w:tcBorders>
            <w:shd w:val="clear" w:color="auto" w:fill="auto"/>
            <w:noWrap/>
            <w:vAlign w:val="center"/>
            <w:hideMark/>
          </w:tcPr>
          <w:p w14:paraId="50966A6B" w14:textId="77777777" w:rsidR="00E34764" w:rsidRPr="002B257B" w:rsidRDefault="00E34764" w:rsidP="002B257B">
            <w:pPr>
              <w:pStyle w:val="tabletxt"/>
              <w:jc w:val="right"/>
              <w:rPr>
                <w:color w:val="000000"/>
                <w:szCs w:val="18"/>
              </w:rPr>
            </w:pPr>
            <w:r w:rsidRPr="002B257B">
              <w:rPr>
                <w:color w:val="000000"/>
                <w:szCs w:val="18"/>
              </w:rPr>
              <w:t>700</w:t>
            </w:r>
          </w:p>
        </w:tc>
        <w:tc>
          <w:tcPr>
            <w:tcW w:w="1092" w:type="dxa"/>
            <w:tcBorders>
              <w:top w:val="nil"/>
              <w:left w:val="nil"/>
              <w:bottom w:val="single" w:sz="4" w:space="0" w:color="auto"/>
              <w:right w:val="single" w:sz="4" w:space="0" w:color="auto"/>
            </w:tcBorders>
            <w:shd w:val="clear" w:color="auto" w:fill="auto"/>
            <w:noWrap/>
            <w:vAlign w:val="center"/>
            <w:hideMark/>
          </w:tcPr>
          <w:p w14:paraId="357D5F51" w14:textId="77777777" w:rsidR="00E34764" w:rsidRPr="002B257B" w:rsidRDefault="00E34764" w:rsidP="002B257B">
            <w:pPr>
              <w:pStyle w:val="tabletxt"/>
              <w:jc w:val="right"/>
              <w:rPr>
                <w:color w:val="000000"/>
                <w:szCs w:val="18"/>
              </w:rPr>
            </w:pPr>
            <w:r w:rsidRPr="002B257B">
              <w:rPr>
                <w:color w:val="000000"/>
                <w:szCs w:val="18"/>
              </w:rPr>
              <w:t>727</w:t>
            </w:r>
          </w:p>
        </w:tc>
        <w:tc>
          <w:tcPr>
            <w:tcW w:w="1091" w:type="dxa"/>
            <w:tcBorders>
              <w:top w:val="nil"/>
              <w:left w:val="nil"/>
              <w:bottom w:val="single" w:sz="4" w:space="0" w:color="auto"/>
              <w:right w:val="single" w:sz="4" w:space="0" w:color="auto"/>
            </w:tcBorders>
            <w:shd w:val="clear" w:color="auto" w:fill="auto"/>
            <w:noWrap/>
            <w:vAlign w:val="center"/>
            <w:hideMark/>
          </w:tcPr>
          <w:p w14:paraId="25BE751A" w14:textId="77777777" w:rsidR="00E34764" w:rsidRPr="002B257B" w:rsidRDefault="00E34764" w:rsidP="002B257B">
            <w:pPr>
              <w:pStyle w:val="tabletxt"/>
              <w:jc w:val="right"/>
              <w:rPr>
                <w:color w:val="000000"/>
                <w:szCs w:val="18"/>
              </w:rPr>
            </w:pPr>
            <w:r w:rsidRPr="002B257B">
              <w:rPr>
                <w:color w:val="000000"/>
                <w:szCs w:val="18"/>
              </w:rPr>
              <w:t>723</w:t>
            </w:r>
          </w:p>
        </w:tc>
        <w:tc>
          <w:tcPr>
            <w:tcW w:w="1092" w:type="dxa"/>
            <w:tcBorders>
              <w:top w:val="nil"/>
              <w:left w:val="nil"/>
              <w:bottom w:val="single" w:sz="4" w:space="0" w:color="auto"/>
              <w:right w:val="single" w:sz="4" w:space="0" w:color="auto"/>
            </w:tcBorders>
            <w:shd w:val="clear" w:color="auto" w:fill="auto"/>
            <w:noWrap/>
            <w:vAlign w:val="center"/>
            <w:hideMark/>
          </w:tcPr>
          <w:p w14:paraId="169F35A6" w14:textId="77777777" w:rsidR="00E34764" w:rsidRPr="002B257B" w:rsidRDefault="00E34764" w:rsidP="002B257B">
            <w:pPr>
              <w:pStyle w:val="tabletxt"/>
              <w:jc w:val="right"/>
              <w:rPr>
                <w:color w:val="000000"/>
                <w:szCs w:val="18"/>
              </w:rPr>
            </w:pPr>
            <w:r w:rsidRPr="002B257B">
              <w:rPr>
                <w:color w:val="000000"/>
                <w:szCs w:val="18"/>
              </w:rPr>
              <w:t>791</w:t>
            </w:r>
          </w:p>
        </w:tc>
        <w:tc>
          <w:tcPr>
            <w:tcW w:w="1091" w:type="dxa"/>
            <w:tcBorders>
              <w:top w:val="nil"/>
              <w:left w:val="nil"/>
              <w:bottom w:val="single" w:sz="4" w:space="0" w:color="auto"/>
              <w:right w:val="single" w:sz="4" w:space="0" w:color="auto"/>
            </w:tcBorders>
            <w:shd w:val="clear" w:color="auto" w:fill="auto"/>
            <w:noWrap/>
            <w:vAlign w:val="center"/>
            <w:hideMark/>
          </w:tcPr>
          <w:p w14:paraId="74D9D48E" w14:textId="77777777" w:rsidR="00E34764" w:rsidRPr="002B257B" w:rsidRDefault="00E34764" w:rsidP="002B257B">
            <w:pPr>
              <w:pStyle w:val="tabletxt"/>
              <w:jc w:val="right"/>
              <w:rPr>
                <w:color w:val="000000"/>
                <w:szCs w:val="18"/>
              </w:rPr>
            </w:pPr>
            <w:r w:rsidRPr="002B257B">
              <w:rPr>
                <w:color w:val="000000"/>
                <w:szCs w:val="18"/>
              </w:rPr>
              <w:t>839</w:t>
            </w:r>
          </w:p>
        </w:tc>
        <w:tc>
          <w:tcPr>
            <w:tcW w:w="1092" w:type="dxa"/>
            <w:tcBorders>
              <w:top w:val="nil"/>
              <w:left w:val="nil"/>
              <w:bottom w:val="single" w:sz="4" w:space="0" w:color="auto"/>
              <w:right w:val="single" w:sz="4" w:space="0" w:color="auto"/>
            </w:tcBorders>
            <w:shd w:val="clear" w:color="auto" w:fill="auto"/>
            <w:noWrap/>
            <w:vAlign w:val="center"/>
            <w:hideMark/>
          </w:tcPr>
          <w:p w14:paraId="63BC2EB7" w14:textId="77777777" w:rsidR="00E34764" w:rsidRPr="002B257B" w:rsidRDefault="00E34764" w:rsidP="002B257B">
            <w:pPr>
              <w:pStyle w:val="tabletxt"/>
              <w:jc w:val="right"/>
              <w:rPr>
                <w:color w:val="000000"/>
                <w:szCs w:val="18"/>
              </w:rPr>
            </w:pPr>
            <w:r w:rsidRPr="002B257B">
              <w:rPr>
                <w:color w:val="000000"/>
                <w:szCs w:val="18"/>
              </w:rPr>
              <w:t>119,86%</w:t>
            </w:r>
          </w:p>
        </w:tc>
      </w:tr>
      <w:tr w:rsidR="00E34764" w:rsidRPr="002B257B" w14:paraId="007B2386" w14:textId="77777777" w:rsidTr="002B257B">
        <w:trPr>
          <w:trHeight w:val="133"/>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03A092C6" w14:textId="77777777" w:rsidR="00E34764" w:rsidRPr="002B257B" w:rsidRDefault="00E34764" w:rsidP="002B257B">
            <w:pPr>
              <w:pStyle w:val="tabletxt"/>
              <w:rPr>
                <w:color w:val="FFFFFF" w:themeColor="background1"/>
                <w:szCs w:val="18"/>
              </w:rPr>
            </w:pPr>
            <w:r w:rsidRPr="002B257B">
              <w:rPr>
                <w:color w:val="FFFFFF" w:themeColor="background1"/>
                <w:szCs w:val="18"/>
              </w:rPr>
              <w:t>Ukupni prihodi</w:t>
            </w:r>
          </w:p>
        </w:tc>
        <w:tc>
          <w:tcPr>
            <w:tcW w:w="1091" w:type="dxa"/>
            <w:tcBorders>
              <w:top w:val="nil"/>
              <w:left w:val="nil"/>
              <w:bottom w:val="single" w:sz="4" w:space="0" w:color="auto"/>
              <w:right w:val="single" w:sz="4" w:space="0" w:color="auto"/>
            </w:tcBorders>
            <w:shd w:val="clear" w:color="auto" w:fill="auto"/>
            <w:noWrap/>
            <w:vAlign w:val="center"/>
            <w:hideMark/>
          </w:tcPr>
          <w:p w14:paraId="422B61C3" w14:textId="77777777" w:rsidR="00E34764" w:rsidRPr="002B257B" w:rsidRDefault="00E34764" w:rsidP="002B257B">
            <w:pPr>
              <w:pStyle w:val="tabletxt"/>
              <w:jc w:val="right"/>
              <w:rPr>
                <w:color w:val="000000"/>
                <w:szCs w:val="18"/>
              </w:rPr>
            </w:pPr>
            <w:r w:rsidRPr="002B257B">
              <w:rPr>
                <w:color w:val="000000"/>
                <w:szCs w:val="18"/>
              </w:rPr>
              <w:t>275.888</w:t>
            </w:r>
          </w:p>
        </w:tc>
        <w:tc>
          <w:tcPr>
            <w:tcW w:w="1092" w:type="dxa"/>
            <w:tcBorders>
              <w:top w:val="nil"/>
              <w:left w:val="nil"/>
              <w:bottom w:val="single" w:sz="4" w:space="0" w:color="auto"/>
              <w:right w:val="single" w:sz="4" w:space="0" w:color="auto"/>
            </w:tcBorders>
            <w:shd w:val="clear" w:color="auto" w:fill="auto"/>
            <w:noWrap/>
            <w:vAlign w:val="center"/>
            <w:hideMark/>
          </w:tcPr>
          <w:p w14:paraId="155259A6" w14:textId="77777777" w:rsidR="00E34764" w:rsidRPr="002B257B" w:rsidRDefault="00E34764" w:rsidP="002B257B">
            <w:pPr>
              <w:pStyle w:val="tabletxt"/>
              <w:jc w:val="right"/>
              <w:rPr>
                <w:color w:val="000000"/>
                <w:szCs w:val="18"/>
              </w:rPr>
            </w:pPr>
            <w:r w:rsidRPr="002B257B">
              <w:rPr>
                <w:color w:val="000000"/>
                <w:szCs w:val="18"/>
              </w:rPr>
              <w:t>433.599</w:t>
            </w:r>
          </w:p>
        </w:tc>
        <w:tc>
          <w:tcPr>
            <w:tcW w:w="1091" w:type="dxa"/>
            <w:tcBorders>
              <w:top w:val="nil"/>
              <w:left w:val="nil"/>
              <w:bottom w:val="single" w:sz="4" w:space="0" w:color="auto"/>
              <w:right w:val="single" w:sz="4" w:space="0" w:color="auto"/>
            </w:tcBorders>
            <w:shd w:val="clear" w:color="auto" w:fill="auto"/>
            <w:noWrap/>
            <w:vAlign w:val="center"/>
            <w:hideMark/>
          </w:tcPr>
          <w:p w14:paraId="1345E6AF" w14:textId="77777777" w:rsidR="00E34764" w:rsidRPr="002B257B" w:rsidRDefault="00E34764" w:rsidP="002B257B">
            <w:pPr>
              <w:pStyle w:val="tabletxt"/>
              <w:jc w:val="right"/>
              <w:rPr>
                <w:color w:val="000000"/>
                <w:szCs w:val="18"/>
              </w:rPr>
            </w:pPr>
            <w:r w:rsidRPr="002B257B">
              <w:rPr>
                <w:color w:val="000000"/>
                <w:szCs w:val="18"/>
              </w:rPr>
              <w:t>359.826</w:t>
            </w:r>
          </w:p>
        </w:tc>
        <w:tc>
          <w:tcPr>
            <w:tcW w:w="1092" w:type="dxa"/>
            <w:tcBorders>
              <w:top w:val="nil"/>
              <w:left w:val="nil"/>
              <w:bottom w:val="single" w:sz="4" w:space="0" w:color="auto"/>
              <w:right w:val="single" w:sz="4" w:space="0" w:color="auto"/>
            </w:tcBorders>
            <w:shd w:val="clear" w:color="auto" w:fill="auto"/>
            <w:noWrap/>
            <w:vAlign w:val="center"/>
            <w:hideMark/>
          </w:tcPr>
          <w:p w14:paraId="7BAF95F2" w14:textId="77777777" w:rsidR="00E34764" w:rsidRPr="002B257B" w:rsidRDefault="00E34764" w:rsidP="002B257B">
            <w:pPr>
              <w:pStyle w:val="tabletxt"/>
              <w:jc w:val="right"/>
              <w:rPr>
                <w:color w:val="000000"/>
                <w:szCs w:val="18"/>
              </w:rPr>
            </w:pPr>
            <w:r w:rsidRPr="002B257B">
              <w:rPr>
                <w:color w:val="000000"/>
                <w:szCs w:val="18"/>
              </w:rPr>
              <w:t>421.898</w:t>
            </w:r>
          </w:p>
        </w:tc>
        <w:tc>
          <w:tcPr>
            <w:tcW w:w="1091" w:type="dxa"/>
            <w:tcBorders>
              <w:top w:val="nil"/>
              <w:left w:val="nil"/>
              <w:bottom w:val="single" w:sz="4" w:space="0" w:color="auto"/>
              <w:right w:val="single" w:sz="4" w:space="0" w:color="auto"/>
            </w:tcBorders>
            <w:shd w:val="clear" w:color="auto" w:fill="auto"/>
            <w:noWrap/>
            <w:vAlign w:val="center"/>
            <w:hideMark/>
          </w:tcPr>
          <w:p w14:paraId="1A1864F8" w14:textId="77777777" w:rsidR="00E34764" w:rsidRPr="002B257B" w:rsidRDefault="00E34764" w:rsidP="002B257B">
            <w:pPr>
              <w:pStyle w:val="tabletxt"/>
              <w:jc w:val="right"/>
              <w:rPr>
                <w:color w:val="000000"/>
                <w:szCs w:val="18"/>
              </w:rPr>
            </w:pPr>
            <w:r w:rsidRPr="002B257B">
              <w:rPr>
                <w:color w:val="000000"/>
                <w:szCs w:val="18"/>
              </w:rPr>
              <w:t>468.497</w:t>
            </w:r>
          </w:p>
        </w:tc>
        <w:tc>
          <w:tcPr>
            <w:tcW w:w="1092" w:type="dxa"/>
            <w:tcBorders>
              <w:top w:val="nil"/>
              <w:left w:val="nil"/>
              <w:bottom w:val="single" w:sz="4" w:space="0" w:color="auto"/>
              <w:right w:val="single" w:sz="4" w:space="0" w:color="auto"/>
            </w:tcBorders>
            <w:shd w:val="clear" w:color="auto" w:fill="auto"/>
            <w:noWrap/>
            <w:vAlign w:val="center"/>
            <w:hideMark/>
          </w:tcPr>
          <w:p w14:paraId="34E641E8" w14:textId="77777777" w:rsidR="00E34764" w:rsidRPr="002B257B" w:rsidRDefault="00E34764" w:rsidP="002B257B">
            <w:pPr>
              <w:pStyle w:val="tabletxt"/>
              <w:jc w:val="right"/>
              <w:rPr>
                <w:color w:val="000000"/>
                <w:szCs w:val="18"/>
              </w:rPr>
            </w:pPr>
            <w:r w:rsidRPr="002B257B">
              <w:rPr>
                <w:color w:val="000000"/>
                <w:szCs w:val="18"/>
              </w:rPr>
              <w:t>169,81%</w:t>
            </w:r>
          </w:p>
        </w:tc>
      </w:tr>
      <w:tr w:rsidR="00E34764" w:rsidRPr="002B257B" w14:paraId="7686E26D" w14:textId="77777777" w:rsidTr="002B257B">
        <w:trPr>
          <w:trHeight w:val="92"/>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0F0E6EAD" w14:textId="77777777" w:rsidR="00E34764" w:rsidRPr="002B257B" w:rsidRDefault="00E34764" w:rsidP="002B257B">
            <w:pPr>
              <w:pStyle w:val="tabletxt"/>
              <w:rPr>
                <w:color w:val="FFFFFF" w:themeColor="background1"/>
                <w:szCs w:val="18"/>
              </w:rPr>
            </w:pPr>
            <w:r w:rsidRPr="002B257B">
              <w:rPr>
                <w:color w:val="FFFFFF" w:themeColor="background1"/>
                <w:szCs w:val="18"/>
              </w:rPr>
              <w:lastRenderedPageBreak/>
              <w:t>Ukupni rashodi</w:t>
            </w:r>
          </w:p>
        </w:tc>
        <w:tc>
          <w:tcPr>
            <w:tcW w:w="1091" w:type="dxa"/>
            <w:tcBorders>
              <w:top w:val="nil"/>
              <w:left w:val="nil"/>
              <w:bottom w:val="single" w:sz="4" w:space="0" w:color="auto"/>
              <w:right w:val="single" w:sz="4" w:space="0" w:color="auto"/>
            </w:tcBorders>
            <w:shd w:val="clear" w:color="auto" w:fill="auto"/>
            <w:noWrap/>
            <w:vAlign w:val="center"/>
            <w:hideMark/>
          </w:tcPr>
          <w:p w14:paraId="37B88FA8" w14:textId="77777777" w:rsidR="00E34764" w:rsidRPr="002B257B" w:rsidRDefault="00E34764" w:rsidP="002B257B">
            <w:pPr>
              <w:pStyle w:val="tabletxt"/>
              <w:jc w:val="right"/>
              <w:rPr>
                <w:color w:val="000000"/>
                <w:szCs w:val="18"/>
              </w:rPr>
            </w:pPr>
            <w:r w:rsidRPr="002B257B">
              <w:rPr>
                <w:color w:val="000000"/>
                <w:szCs w:val="18"/>
              </w:rPr>
              <w:t>269.106</w:t>
            </w:r>
          </w:p>
        </w:tc>
        <w:tc>
          <w:tcPr>
            <w:tcW w:w="1092" w:type="dxa"/>
            <w:tcBorders>
              <w:top w:val="nil"/>
              <w:left w:val="nil"/>
              <w:bottom w:val="single" w:sz="4" w:space="0" w:color="auto"/>
              <w:right w:val="single" w:sz="4" w:space="0" w:color="auto"/>
            </w:tcBorders>
            <w:shd w:val="clear" w:color="auto" w:fill="auto"/>
            <w:noWrap/>
            <w:vAlign w:val="center"/>
            <w:hideMark/>
          </w:tcPr>
          <w:p w14:paraId="3E6BF6D6" w14:textId="77777777" w:rsidR="00E34764" w:rsidRPr="002B257B" w:rsidRDefault="00E34764" w:rsidP="002B257B">
            <w:pPr>
              <w:pStyle w:val="tabletxt"/>
              <w:jc w:val="right"/>
              <w:rPr>
                <w:color w:val="000000"/>
                <w:szCs w:val="18"/>
              </w:rPr>
            </w:pPr>
            <w:r w:rsidRPr="002B257B">
              <w:rPr>
                <w:color w:val="000000"/>
                <w:szCs w:val="18"/>
              </w:rPr>
              <w:t>430.578</w:t>
            </w:r>
          </w:p>
        </w:tc>
        <w:tc>
          <w:tcPr>
            <w:tcW w:w="1091" w:type="dxa"/>
            <w:tcBorders>
              <w:top w:val="nil"/>
              <w:left w:val="nil"/>
              <w:bottom w:val="single" w:sz="4" w:space="0" w:color="auto"/>
              <w:right w:val="single" w:sz="4" w:space="0" w:color="auto"/>
            </w:tcBorders>
            <w:shd w:val="clear" w:color="auto" w:fill="auto"/>
            <w:noWrap/>
            <w:vAlign w:val="center"/>
            <w:hideMark/>
          </w:tcPr>
          <w:p w14:paraId="4EE946F5" w14:textId="77777777" w:rsidR="00E34764" w:rsidRPr="002B257B" w:rsidRDefault="00E34764" w:rsidP="002B257B">
            <w:pPr>
              <w:pStyle w:val="tabletxt"/>
              <w:jc w:val="right"/>
              <w:rPr>
                <w:color w:val="000000"/>
                <w:szCs w:val="18"/>
              </w:rPr>
            </w:pPr>
            <w:r w:rsidRPr="002B257B">
              <w:rPr>
                <w:color w:val="000000"/>
                <w:szCs w:val="18"/>
              </w:rPr>
              <w:t>345.212</w:t>
            </w:r>
          </w:p>
        </w:tc>
        <w:tc>
          <w:tcPr>
            <w:tcW w:w="1092" w:type="dxa"/>
            <w:tcBorders>
              <w:top w:val="nil"/>
              <w:left w:val="nil"/>
              <w:bottom w:val="single" w:sz="4" w:space="0" w:color="auto"/>
              <w:right w:val="single" w:sz="4" w:space="0" w:color="auto"/>
            </w:tcBorders>
            <w:shd w:val="clear" w:color="auto" w:fill="auto"/>
            <w:noWrap/>
            <w:vAlign w:val="center"/>
            <w:hideMark/>
          </w:tcPr>
          <w:p w14:paraId="66540F53" w14:textId="77777777" w:rsidR="00E34764" w:rsidRPr="002B257B" w:rsidRDefault="00E34764" w:rsidP="002B257B">
            <w:pPr>
              <w:pStyle w:val="tabletxt"/>
              <w:jc w:val="right"/>
              <w:rPr>
                <w:color w:val="000000"/>
                <w:szCs w:val="18"/>
              </w:rPr>
            </w:pPr>
            <w:r w:rsidRPr="002B257B">
              <w:rPr>
                <w:color w:val="000000"/>
                <w:szCs w:val="18"/>
              </w:rPr>
              <w:t>399.314</w:t>
            </w:r>
          </w:p>
        </w:tc>
        <w:tc>
          <w:tcPr>
            <w:tcW w:w="1091" w:type="dxa"/>
            <w:tcBorders>
              <w:top w:val="nil"/>
              <w:left w:val="nil"/>
              <w:bottom w:val="single" w:sz="4" w:space="0" w:color="auto"/>
              <w:right w:val="single" w:sz="4" w:space="0" w:color="auto"/>
            </w:tcBorders>
            <w:shd w:val="clear" w:color="auto" w:fill="auto"/>
            <w:noWrap/>
            <w:vAlign w:val="center"/>
            <w:hideMark/>
          </w:tcPr>
          <w:p w14:paraId="41DCD9B0" w14:textId="77777777" w:rsidR="00E34764" w:rsidRPr="002B257B" w:rsidRDefault="00E34764" w:rsidP="002B257B">
            <w:pPr>
              <w:pStyle w:val="tabletxt"/>
              <w:jc w:val="right"/>
              <w:rPr>
                <w:color w:val="000000"/>
                <w:szCs w:val="18"/>
              </w:rPr>
            </w:pPr>
            <w:r w:rsidRPr="002B257B">
              <w:rPr>
                <w:color w:val="000000"/>
                <w:szCs w:val="18"/>
              </w:rPr>
              <w:t>452.735</w:t>
            </w:r>
          </w:p>
        </w:tc>
        <w:tc>
          <w:tcPr>
            <w:tcW w:w="1092" w:type="dxa"/>
            <w:tcBorders>
              <w:top w:val="nil"/>
              <w:left w:val="nil"/>
              <w:bottom w:val="single" w:sz="4" w:space="0" w:color="auto"/>
              <w:right w:val="single" w:sz="4" w:space="0" w:color="auto"/>
            </w:tcBorders>
            <w:shd w:val="clear" w:color="auto" w:fill="auto"/>
            <w:noWrap/>
            <w:vAlign w:val="center"/>
            <w:hideMark/>
          </w:tcPr>
          <w:p w14:paraId="50981C6A" w14:textId="77777777" w:rsidR="00E34764" w:rsidRPr="002B257B" w:rsidRDefault="00E34764" w:rsidP="002B257B">
            <w:pPr>
              <w:pStyle w:val="tabletxt"/>
              <w:jc w:val="right"/>
              <w:rPr>
                <w:color w:val="000000"/>
                <w:szCs w:val="18"/>
              </w:rPr>
            </w:pPr>
            <w:r w:rsidRPr="002B257B">
              <w:rPr>
                <w:color w:val="000000"/>
                <w:szCs w:val="18"/>
              </w:rPr>
              <w:t>168,24%</w:t>
            </w:r>
          </w:p>
        </w:tc>
      </w:tr>
      <w:tr w:rsidR="00E34764" w:rsidRPr="002B257B" w14:paraId="5148D286" w14:textId="77777777" w:rsidTr="002B257B">
        <w:trPr>
          <w:trHeight w:val="52"/>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2FA95A39" w14:textId="77777777" w:rsidR="00E34764" w:rsidRPr="002B257B" w:rsidRDefault="00E34764" w:rsidP="002B257B">
            <w:pPr>
              <w:pStyle w:val="tabletxt"/>
              <w:rPr>
                <w:color w:val="FFFFFF" w:themeColor="background1"/>
                <w:szCs w:val="18"/>
              </w:rPr>
            </w:pPr>
            <w:r w:rsidRPr="002B257B">
              <w:rPr>
                <w:color w:val="FFFFFF" w:themeColor="background1"/>
                <w:szCs w:val="18"/>
              </w:rPr>
              <w:t>Dobit razdoblja</w:t>
            </w:r>
          </w:p>
        </w:tc>
        <w:tc>
          <w:tcPr>
            <w:tcW w:w="1091" w:type="dxa"/>
            <w:tcBorders>
              <w:top w:val="nil"/>
              <w:left w:val="nil"/>
              <w:bottom w:val="single" w:sz="4" w:space="0" w:color="auto"/>
              <w:right w:val="single" w:sz="4" w:space="0" w:color="auto"/>
            </w:tcBorders>
            <w:shd w:val="clear" w:color="auto" w:fill="auto"/>
            <w:noWrap/>
            <w:vAlign w:val="center"/>
            <w:hideMark/>
          </w:tcPr>
          <w:p w14:paraId="0EF70278" w14:textId="77777777" w:rsidR="00E34764" w:rsidRPr="002B257B" w:rsidRDefault="00E34764" w:rsidP="002B257B">
            <w:pPr>
              <w:pStyle w:val="tabletxt"/>
              <w:jc w:val="right"/>
              <w:rPr>
                <w:color w:val="000000"/>
                <w:szCs w:val="18"/>
              </w:rPr>
            </w:pPr>
            <w:r w:rsidRPr="002B257B">
              <w:rPr>
                <w:color w:val="000000"/>
                <w:szCs w:val="18"/>
              </w:rPr>
              <w:t>12.337</w:t>
            </w:r>
          </w:p>
        </w:tc>
        <w:tc>
          <w:tcPr>
            <w:tcW w:w="1092" w:type="dxa"/>
            <w:tcBorders>
              <w:top w:val="nil"/>
              <w:left w:val="nil"/>
              <w:bottom w:val="single" w:sz="4" w:space="0" w:color="auto"/>
              <w:right w:val="single" w:sz="4" w:space="0" w:color="auto"/>
            </w:tcBorders>
            <w:shd w:val="clear" w:color="auto" w:fill="auto"/>
            <w:noWrap/>
            <w:vAlign w:val="center"/>
            <w:hideMark/>
          </w:tcPr>
          <w:p w14:paraId="35266D31" w14:textId="77777777" w:rsidR="00E34764" w:rsidRPr="002B257B" w:rsidRDefault="00E34764" w:rsidP="002B257B">
            <w:pPr>
              <w:pStyle w:val="tabletxt"/>
              <w:jc w:val="right"/>
              <w:rPr>
                <w:color w:val="000000"/>
                <w:szCs w:val="18"/>
              </w:rPr>
            </w:pPr>
            <w:r w:rsidRPr="002B257B">
              <w:rPr>
                <w:color w:val="000000"/>
                <w:szCs w:val="18"/>
              </w:rPr>
              <w:t>15.416</w:t>
            </w:r>
          </w:p>
        </w:tc>
        <w:tc>
          <w:tcPr>
            <w:tcW w:w="1091" w:type="dxa"/>
            <w:tcBorders>
              <w:top w:val="nil"/>
              <w:left w:val="nil"/>
              <w:bottom w:val="single" w:sz="4" w:space="0" w:color="auto"/>
              <w:right w:val="single" w:sz="4" w:space="0" w:color="auto"/>
            </w:tcBorders>
            <w:shd w:val="clear" w:color="auto" w:fill="auto"/>
            <w:noWrap/>
            <w:vAlign w:val="center"/>
            <w:hideMark/>
          </w:tcPr>
          <w:p w14:paraId="1E37C21A" w14:textId="77777777" w:rsidR="00E34764" w:rsidRPr="002B257B" w:rsidRDefault="00E34764" w:rsidP="002B257B">
            <w:pPr>
              <w:pStyle w:val="tabletxt"/>
              <w:jc w:val="right"/>
              <w:rPr>
                <w:color w:val="000000"/>
                <w:szCs w:val="18"/>
              </w:rPr>
            </w:pPr>
            <w:r w:rsidRPr="002B257B">
              <w:rPr>
                <w:color w:val="000000"/>
                <w:szCs w:val="18"/>
              </w:rPr>
              <w:t>19.642</w:t>
            </w:r>
          </w:p>
        </w:tc>
        <w:tc>
          <w:tcPr>
            <w:tcW w:w="1092" w:type="dxa"/>
            <w:tcBorders>
              <w:top w:val="nil"/>
              <w:left w:val="nil"/>
              <w:bottom w:val="single" w:sz="4" w:space="0" w:color="auto"/>
              <w:right w:val="single" w:sz="4" w:space="0" w:color="auto"/>
            </w:tcBorders>
            <w:shd w:val="clear" w:color="auto" w:fill="auto"/>
            <w:noWrap/>
            <w:vAlign w:val="center"/>
            <w:hideMark/>
          </w:tcPr>
          <w:p w14:paraId="5C1E15FE" w14:textId="77777777" w:rsidR="00E34764" w:rsidRPr="002B257B" w:rsidRDefault="00E34764" w:rsidP="002B257B">
            <w:pPr>
              <w:pStyle w:val="tabletxt"/>
              <w:jc w:val="right"/>
              <w:rPr>
                <w:color w:val="000000"/>
                <w:szCs w:val="18"/>
              </w:rPr>
            </w:pPr>
            <w:r w:rsidRPr="002B257B">
              <w:rPr>
                <w:color w:val="000000"/>
                <w:szCs w:val="18"/>
              </w:rPr>
              <w:t>28.838</w:t>
            </w:r>
          </w:p>
        </w:tc>
        <w:tc>
          <w:tcPr>
            <w:tcW w:w="1091" w:type="dxa"/>
            <w:tcBorders>
              <w:top w:val="nil"/>
              <w:left w:val="nil"/>
              <w:bottom w:val="single" w:sz="4" w:space="0" w:color="auto"/>
              <w:right w:val="single" w:sz="4" w:space="0" w:color="auto"/>
            </w:tcBorders>
            <w:shd w:val="clear" w:color="auto" w:fill="auto"/>
            <w:noWrap/>
            <w:vAlign w:val="center"/>
            <w:hideMark/>
          </w:tcPr>
          <w:p w14:paraId="093E941C" w14:textId="77777777" w:rsidR="00E34764" w:rsidRPr="002B257B" w:rsidRDefault="00E34764" w:rsidP="002B257B">
            <w:pPr>
              <w:pStyle w:val="tabletxt"/>
              <w:jc w:val="right"/>
              <w:rPr>
                <w:color w:val="000000"/>
                <w:szCs w:val="18"/>
              </w:rPr>
            </w:pPr>
            <w:r w:rsidRPr="002B257B">
              <w:rPr>
                <w:color w:val="000000"/>
                <w:szCs w:val="18"/>
              </w:rPr>
              <w:t>30.333</w:t>
            </w:r>
          </w:p>
        </w:tc>
        <w:tc>
          <w:tcPr>
            <w:tcW w:w="1092" w:type="dxa"/>
            <w:tcBorders>
              <w:top w:val="nil"/>
              <w:left w:val="nil"/>
              <w:bottom w:val="single" w:sz="4" w:space="0" w:color="auto"/>
              <w:right w:val="single" w:sz="4" w:space="0" w:color="auto"/>
            </w:tcBorders>
            <w:shd w:val="clear" w:color="auto" w:fill="auto"/>
            <w:noWrap/>
            <w:vAlign w:val="center"/>
            <w:hideMark/>
          </w:tcPr>
          <w:p w14:paraId="40C499B0" w14:textId="77777777" w:rsidR="00E34764" w:rsidRPr="002B257B" w:rsidRDefault="00E34764" w:rsidP="002B257B">
            <w:pPr>
              <w:pStyle w:val="tabletxt"/>
              <w:jc w:val="right"/>
              <w:rPr>
                <w:color w:val="000000"/>
                <w:szCs w:val="18"/>
              </w:rPr>
            </w:pPr>
            <w:r w:rsidRPr="002B257B">
              <w:rPr>
                <w:color w:val="000000"/>
                <w:szCs w:val="18"/>
              </w:rPr>
              <w:t>245,87%</w:t>
            </w:r>
          </w:p>
        </w:tc>
      </w:tr>
      <w:tr w:rsidR="00E34764" w:rsidRPr="002B257B" w14:paraId="704D4643" w14:textId="77777777" w:rsidTr="002B257B">
        <w:trPr>
          <w:trHeight w:val="45"/>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71C1337F" w14:textId="77777777" w:rsidR="00E34764" w:rsidRPr="002B257B" w:rsidRDefault="00E34764" w:rsidP="002B257B">
            <w:pPr>
              <w:pStyle w:val="tabletxt"/>
              <w:rPr>
                <w:color w:val="FFFFFF" w:themeColor="background1"/>
                <w:szCs w:val="18"/>
              </w:rPr>
            </w:pPr>
            <w:r w:rsidRPr="002B257B">
              <w:rPr>
                <w:color w:val="FFFFFF" w:themeColor="background1"/>
                <w:szCs w:val="18"/>
              </w:rPr>
              <w:t>Gubitak razdoblja</w:t>
            </w:r>
          </w:p>
        </w:tc>
        <w:tc>
          <w:tcPr>
            <w:tcW w:w="1091" w:type="dxa"/>
            <w:tcBorders>
              <w:top w:val="nil"/>
              <w:left w:val="nil"/>
              <w:bottom w:val="single" w:sz="4" w:space="0" w:color="auto"/>
              <w:right w:val="single" w:sz="4" w:space="0" w:color="auto"/>
            </w:tcBorders>
            <w:shd w:val="clear" w:color="auto" w:fill="auto"/>
            <w:noWrap/>
            <w:vAlign w:val="center"/>
            <w:hideMark/>
          </w:tcPr>
          <w:p w14:paraId="1BE180A8" w14:textId="77777777" w:rsidR="00E34764" w:rsidRPr="002B257B" w:rsidRDefault="00E34764" w:rsidP="002B257B">
            <w:pPr>
              <w:pStyle w:val="tabletxt"/>
              <w:jc w:val="right"/>
              <w:rPr>
                <w:color w:val="000000"/>
                <w:szCs w:val="18"/>
              </w:rPr>
            </w:pPr>
            <w:r w:rsidRPr="002B257B">
              <w:rPr>
                <w:color w:val="000000"/>
                <w:szCs w:val="18"/>
              </w:rPr>
              <w:t>8.135</w:t>
            </w:r>
          </w:p>
        </w:tc>
        <w:tc>
          <w:tcPr>
            <w:tcW w:w="1092" w:type="dxa"/>
            <w:tcBorders>
              <w:top w:val="nil"/>
              <w:left w:val="nil"/>
              <w:bottom w:val="single" w:sz="4" w:space="0" w:color="auto"/>
              <w:right w:val="single" w:sz="4" w:space="0" w:color="auto"/>
            </w:tcBorders>
            <w:shd w:val="clear" w:color="auto" w:fill="auto"/>
            <w:noWrap/>
            <w:vAlign w:val="center"/>
            <w:hideMark/>
          </w:tcPr>
          <w:p w14:paraId="351167B3" w14:textId="77777777" w:rsidR="00E34764" w:rsidRPr="002B257B" w:rsidRDefault="00E34764" w:rsidP="002B257B">
            <w:pPr>
              <w:pStyle w:val="tabletxt"/>
              <w:jc w:val="right"/>
              <w:rPr>
                <w:color w:val="000000"/>
                <w:szCs w:val="18"/>
              </w:rPr>
            </w:pPr>
            <w:r w:rsidRPr="002B257B">
              <w:rPr>
                <w:color w:val="000000"/>
                <w:szCs w:val="18"/>
              </w:rPr>
              <w:t>15.842</w:t>
            </w:r>
          </w:p>
        </w:tc>
        <w:tc>
          <w:tcPr>
            <w:tcW w:w="1091" w:type="dxa"/>
            <w:tcBorders>
              <w:top w:val="nil"/>
              <w:left w:val="nil"/>
              <w:bottom w:val="single" w:sz="4" w:space="0" w:color="auto"/>
              <w:right w:val="single" w:sz="4" w:space="0" w:color="auto"/>
            </w:tcBorders>
            <w:shd w:val="clear" w:color="auto" w:fill="auto"/>
            <w:noWrap/>
            <w:vAlign w:val="center"/>
            <w:hideMark/>
          </w:tcPr>
          <w:p w14:paraId="77C4207B" w14:textId="77777777" w:rsidR="00E34764" w:rsidRPr="002B257B" w:rsidRDefault="00E34764" w:rsidP="002B257B">
            <w:pPr>
              <w:pStyle w:val="tabletxt"/>
              <w:jc w:val="right"/>
              <w:rPr>
                <w:color w:val="000000"/>
                <w:szCs w:val="18"/>
              </w:rPr>
            </w:pPr>
            <w:r w:rsidRPr="002B257B">
              <w:rPr>
                <w:color w:val="000000"/>
                <w:szCs w:val="18"/>
              </w:rPr>
              <w:t>9.477</w:t>
            </w:r>
          </w:p>
        </w:tc>
        <w:tc>
          <w:tcPr>
            <w:tcW w:w="1092" w:type="dxa"/>
            <w:tcBorders>
              <w:top w:val="nil"/>
              <w:left w:val="nil"/>
              <w:bottom w:val="single" w:sz="4" w:space="0" w:color="auto"/>
              <w:right w:val="single" w:sz="4" w:space="0" w:color="auto"/>
            </w:tcBorders>
            <w:shd w:val="clear" w:color="auto" w:fill="auto"/>
            <w:noWrap/>
            <w:vAlign w:val="center"/>
            <w:hideMark/>
          </w:tcPr>
          <w:p w14:paraId="3A1F0273" w14:textId="77777777" w:rsidR="00E34764" w:rsidRPr="002B257B" w:rsidRDefault="00E34764" w:rsidP="002B257B">
            <w:pPr>
              <w:pStyle w:val="tabletxt"/>
              <w:jc w:val="right"/>
              <w:rPr>
                <w:color w:val="000000"/>
                <w:szCs w:val="18"/>
              </w:rPr>
            </w:pPr>
            <w:r w:rsidRPr="002B257B">
              <w:rPr>
                <w:color w:val="000000"/>
                <w:szCs w:val="18"/>
              </w:rPr>
              <w:t>12.533</w:t>
            </w:r>
          </w:p>
        </w:tc>
        <w:tc>
          <w:tcPr>
            <w:tcW w:w="1091" w:type="dxa"/>
            <w:tcBorders>
              <w:top w:val="nil"/>
              <w:left w:val="nil"/>
              <w:bottom w:val="single" w:sz="4" w:space="0" w:color="auto"/>
              <w:right w:val="single" w:sz="4" w:space="0" w:color="auto"/>
            </w:tcBorders>
            <w:shd w:val="clear" w:color="auto" w:fill="auto"/>
            <w:noWrap/>
            <w:vAlign w:val="center"/>
            <w:hideMark/>
          </w:tcPr>
          <w:p w14:paraId="52ADC1AE" w14:textId="77777777" w:rsidR="00E34764" w:rsidRPr="002B257B" w:rsidRDefault="00E34764" w:rsidP="002B257B">
            <w:pPr>
              <w:pStyle w:val="tabletxt"/>
              <w:jc w:val="right"/>
              <w:rPr>
                <w:color w:val="000000"/>
                <w:szCs w:val="18"/>
              </w:rPr>
            </w:pPr>
            <w:r w:rsidRPr="002B257B">
              <w:rPr>
                <w:color w:val="000000"/>
                <w:szCs w:val="18"/>
              </w:rPr>
              <w:t>21.221</w:t>
            </w:r>
          </w:p>
        </w:tc>
        <w:tc>
          <w:tcPr>
            <w:tcW w:w="1092" w:type="dxa"/>
            <w:tcBorders>
              <w:top w:val="nil"/>
              <w:left w:val="nil"/>
              <w:bottom w:val="single" w:sz="4" w:space="0" w:color="auto"/>
              <w:right w:val="single" w:sz="4" w:space="0" w:color="auto"/>
            </w:tcBorders>
            <w:shd w:val="clear" w:color="auto" w:fill="auto"/>
            <w:noWrap/>
            <w:vAlign w:val="center"/>
            <w:hideMark/>
          </w:tcPr>
          <w:p w14:paraId="6EEC0A1F" w14:textId="77777777" w:rsidR="00E34764" w:rsidRPr="002B257B" w:rsidRDefault="00E34764" w:rsidP="002B257B">
            <w:pPr>
              <w:pStyle w:val="tabletxt"/>
              <w:jc w:val="right"/>
              <w:rPr>
                <w:color w:val="000000"/>
                <w:szCs w:val="18"/>
              </w:rPr>
            </w:pPr>
            <w:r w:rsidRPr="002B257B">
              <w:rPr>
                <w:color w:val="000000"/>
                <w:szCs w:val="18"/>
              </w:rPr>
              <w:t>260,86%</w:t>
            </w:r>
          </w:p>
        </w:tc>
      </w:tr>
      <w:tr w:rsidR="00E34764" w:rsidRPr="002B257B" w14:paraId="44A62EBA" w14:textId="77777777" w:rsidTr="002B257B">
        <w:trPr>
          <w:trHeight w:val="45"/>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5F8D740B" w14:textId="77777777" w:rsidR="00E34764" w:rsidRPr="002B257B" w:rsidRDefault="00E34764" w:rsidP="002B257B">
            <w:pPr>
              <w:pStyle w:val="tabletxt"/>
              <w:rPr>
                <w:color w:val="FFFFFF" w:themeColor="background1"/>
                <w:szCs w:val="18"/>
              </w:rPr>
            </w:pPr>
            <w:r w:rsidRPr="002B257B">
              <w:rPr>
                <w:color w:val="FFFFFF" w:themeColor="background1"/>
                <w:szCs w:val="18"/>
              </w:rPr>
              <w:t>Dobit razdoblja (+) ili gubitak razdoblja (-)</w:t>
            </w:r>
          </w:p>
        </w:tc>
        <w:tc>
          <w:tcPr>
            <w:tcW w:w="1091" w:type="dxa"/>
            <w:tcBorders>
              <w:top w:val="nil"/>
              <w:left w:val="nil"/>
              <w:bottom w:val="single" w:sz="4" w:space="0" w:color="auto"/>
              <w:right w:val="single" w:sz="4" w:space="0" w:color="auto"/>
            </w:tcBorders>
            <w:shd w:val="clear" w:color="auto" w:fill="auto"/>
            <w:noWrap/>
            <w:vAlign w:val="center"/>
            <w:hideMark/>
          </w:tcPr>
          <w:p w14:paraId="50A9C600" w14:textId="77777777" w:rsidR="00E34764" w:rsidRPr="002B257B" w:rsidRDefault="00E34764" w:rsidP="002B257B">
            <w:pPr>
              <w:pStyle w:val="tabletxt"/>
              <w:jc w:val="right"/>
              <w:rPr>
                <w:color w:val="000000"/>
                <w:szCs w:val="18"/>
              </w:rPr>
            </w:pPr>
            <w:r w:rsidRPr="002B257B">
              <w:rPr>
                <w:color w:val="000000"/>
                <w:szCs w:val="18"/>
              </w:rPr>
              <w:t>4.202</w:t>
            </w:r>
          </w:p>
        </w:tc>
        <w:tc>
          <w:tcPr>
            <w:tcW w:w="1092" w:type="dxa"/>
            <w:tcBorders>
              <w:top w:val="nil"/>
              <w:left w:val="nil"/>
              <w:bottom w:val="single" w:sz="4" w:space="0" w:color="auto"/>
              <w:right w:val="single" w:sz="4" w:space="0" w:color="auto"/>
            </w:tcBorders>
            <w:shd w:val="clear" w:color="auto" w:fill="auto"/>
            <w:noWrap/>
            <w:vAlign w:val="center"/>
            <w:hideMark/>
          </w:tcPr>
          <w:p w14:paraId="1C1DDF72" w14:textId="77777777" w:rsidR="00E34764" w:rsidRPr="002B257B" w:rsidRDefault="00E34764" w:rsidP="002B257B">
            <w:pPr>
              <w:pStyle w:val="tabletxt"/>
              <w:jc w:val="right"/>
              <w:rPr>
                <w:color w:val="000000"/>
                <w:szCs w:val="18"/>
              </w:rPr>
            </w:pPr>
            <w:r w:rsidRPr="002B257B">
              <w:rPr>
                <w:color w:val="000000"/>
                <w:szCs w:val="18"/>
              </w:rPr>
              <w:t>-426</w:t>
            </w:r>
          </w:p>
        </w:tc>
        <w:tc>
          <w:tcPr>
            <w:tcW w:w="1091" w:type="dxa"/>
            <w:tcBorders>
              <w:top w:val="nil"/>
              <w:left w:val="nil"/>
              <w:bottom w:val="single" w:sz="4" w:space="0" w:color="auto"/>
              <w:right w:val="single" w:sz="4" w:space="0" w:color="auto"/>
            </w:tcBorders>
            <w:shd w:val="clear" w:color="auto" w:fill="auto"/>
            <w:noWrap/>
            <w:vAlign w:val="center"/>
            <w:hideMark/>
          </w:tcPr>
          <w:p w14:paraId="4111CC0A" w14:textId="77777777" w:rsidR="00E34764" w:rsidRPr="002B257B" w:rsidRDefault="00E34764" w:rsidP="002B257B">
            <w:pPr>
              <w:pStyle w:val="tabletxt"/>
              <w:jc w:val="right"/>
              <w:rPr>
                <w:color w:val="000000"/>
                <w:szCs w:val="18"/>
              </w:rPr>
            </w:pPr>
            <w:r w:rsidRPr="002B257B">
              <w:rPr>
                <w:color w:val="000000"/>
                <w:szCs w:val="18"/>
              </w:rPr>
              <w:t>10.165</w:t>
            </w:r>
          </w:p>
        </w:tc>
        <w:tc>
          <w:tcPr>
            <w:tcW w:w="1092" w:type="dxa"/>
            <w:tcBorders>
              <w:top w:val="nil"/>
              <w:left w:val="nil"/>
              <w:bottom w:val="single" w:sz="4" w:space="0" w:color="auto"/>
              <w:right w:val="single" w:sz="4" w:space="0" w:color="auto"/>
            </w:tcBorders>
            <w:shd w:val="clear" w:color="auto" w:fill="auto"/>
            <w:noWrap/>
            <w:vAlign w:val="center"/>
            <w:hideMark/>
          </w:tcPr>
          <w:p w14:paraId="62CD7B3D" w14:textId="77777777" w:rsidR="00E34764" w:rsidRPr="002B257B" w:rsidRDefault="00E34764" w:rsidP="002B257B">
            <w:pPr>
              <w:pStyle w:val="tabletxt"/>
              <w:jc w:val="right"/>
              <w:rPr>
                <w:color w:val="000000"/>
                <w:szCs w:val="18"/>
              </w:rPr>
            </w:pPr>
            <w:r w:rsidRPr="002B257B">
              <w:rPr>
                <w:color w:val="000000"/>
                <w:szCs w:val="18"/>
              </w:rPr>
              <w:t>16.305</w:t>
            </w:r>
          </w:p>
        </w:tc>
        <w:tc>
          <w:tcPr>
            <w:tcW w:w="1091" w:type="dxa"/>
            <w:tcBorders>
              <w:top w:val="nil"/>
              <w:left w:val="nil"/>
              <w:bottom w:val="single" w:sz="4" w:space="0" w:color="auto"/>
              <w:right w:val="single" w:sz="4" w:space="0" w:color="auto"/>
            </w:tcBorders>
            <w:shd w:val="clear" w:color="auto" w:fill="auto"/>
            <w:noWrap/>
            <w:vAlign w:val="center"/>
            <w:hideMark/>
          </w:tcPr>
          <w:p w14:paraId="7FFDCAAB" w14:textId="77777777" w:rsidR="00E34764" w:rsidRPr="002B257B" w:rsidRDefault="00E34764" w:rsidP="002B257B">
            <w:pPr>
              <w:pStyle w:val="tabletxt"/>
              <w:jc w:val="right"/>
              <w:rPr>
                <w:color w:val="000000"/>
                <w:szCs w:val="18"/>
              </w:rPr>
            </w:pPr>
            <w:r w:rsidRPr="002B257B">
              <w:rPr>
                <w:color w:val="000000"/>
                <w:szCs w:val="18"/>
              </w:rPr>
              <w:t>9.112</w:t>
            </w:r>
          </w:p>
        </w:tc>
        <w:tc>
          <w:tcPr>
            <w:tcW w:w="1092" w:type="dxa"/>
            <w:tcBorders>
              <w:top w:val="nil"/>
              <w:left w:val="nil"/>
              <w:bottom w:val="single" w:sz="4" w:space="0" w:color="auto"/>
              <w:right w:val="single" w:sz="4" w:space="0" w:color="auto"/>
            </w:tcBorders>
            <w:shd w:val="clear" w:color="auto" w:fill="auto"/>
            <w:noWrap/>
            <w:vAlign w:val="center"/>
            <w:hideMark/>
          </w:tcPr>
          <w:p w14:paraId="4654F775" w14:textId="77777777" w:rsidR="00E34764" w:rsidRPr="002B257B" w:rsidRDefault="00E34764" w:rsidP="002B257B">
            <w:pPr>
              <w:pStyle w:val="tabletxt"/>
              <w:jc w:val="right"/>
              <w:rPr>
                <w:color w:val="000000"/>
                <w:szCs w:val="18"/>
              </w:rPr>
            </w:pPr>
            <w:r w:rsidRPr="002B257B">
              <w:rPr>
                <w:color w:val="000000"/>
                <w:szCs w:val="18"/>
              </w:rPr>
              <w:t>216,86%</w:t>
            </w:r>
          </w:p>
        </w:tc>
      </w:tr>
      <w:tr w:rsidR="00E34764" w:rsidRPr="002B257B" w14:paraId="330DB9DE" w14:textId="77777777" w:rsidTr="002B257B">
        <w:trPr>
          <w:trHeight w:val="45"/>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365B6CA3" w14:textId="77777777" w:rsidR="00E34764" w:rsidRPr="002B257B" w:rsidRDefault="00E34764" w:rsidP="002B257B">
            <w:pPr>
              <w:pStyle w:val="tabletxt"/>
              <w:rPr>
                <w:color w:val="FFFFFF" w:themeColor="background1"/>
                <w:szCs w:val="18"/>
              </w:rPr>
            </w:pPr>
            <w:r w:rsidRPr="002B257B">
              <w:rPr>
                <w:color w:val="FFFFFF" w:themeColor="background1"/>
                <w:szCs w:val="18"/>
              </w:rPr>
              <w:t>Prosječna mjesečna neto plaća po zaposlenom</w:t>
            </w:r>
          </w:p>
        </w:tc>
        <w:tc>
          <w:tcPr>
            <w:tcW w:w="1091" w:type="dxa"/>
            <w:tcBorders>
              <w:top w:val="nil"/>
              <w:left w:val="nil"/>
              <w:bottom w:val="single" w:sz="4" w:space="0" w:color="auto"/>
              <w:right w:val="single" w:sz="4" w:space="0" w:color="auto"/>
            </w:tcBorders>
            <w:shd w:val="clear" w:color="auto" w:fill="auto"/>
            <w:noWrap/>
            <w:vAlign w:val="center"/>
            <w:hideMark/>
          </w:tcPr>
          <w:p w14:paraId="6C638599" w14:textId="77777777" w:rsidR="00E34764" w:rsidRPr="002B257B" w:rsidRDefault="00E34764" w:rsidP="002B257B">
            <w:pPr>
              <w:pStyle w:val="tabletxt"/>
              <w:jc w:val="right"/>
              <w:rPr>
                <w:color w:val="000000"/>
                <w:szCs w:val="18"/>
              </w:rPr>
            </w:pPr>
            <w:r w:rsidRPr="002B257B">
              <w:rPr>
                <w:color w:val="000000"/>
                <w:szCs w:val="18"/>
              </w:rPr>
              <w:t>3.901</w:t>
            </w:r>
          </w:p>
        </w:tc>
        <w:tc>
          <w:tcPr>
            <w:tcW w:w="1092" w:type="dxa"/>
            <w:tcBorders>
              <w:top w:val="nil"/>
              <w:left w:val="nil"/>
              <w:bottom w:val="single" w:sz="4" w:space="0" w:color="auto"/>
              <w:right w:val="single" w:sz="4" w:space="0" w:color="auto"/>
            </w:tcBorders>
            <w:shd w:val="clear" w:color="auto" w:fill="auto"/>
            <w:noWrap/>
            <w:vAlign w:val="center"/>
            <w:hideMark/>
          </w:tcPr>
          <w:p w14:paraId="41093D5C" w14:textId="77777777" w:rsidR="00E34764" w:rsidRPr="002B257B" w:rsidRDefault="00E34764" w:rsidP="002B257B">
            <w:pPr>
              <w:pStyle w:val="tabletxt"/>
              <w:jc w:val="right"/>
              <w:rPr>
                <w:color w:val="000000"/>
                <w:szCs w:val="18"/>
              </w:rPr>
            </w:pPr>
            <w:r w:rsidRPr="002B257B">
              <w:rPr>
                <w:color w:val="000000"/>
                <w:szCs w:val="18"/>
              </w:rPr>
              <w:t>4.164</w:t>
            </w:r>
          </w:p>
        </w:tc>
        <w:tc>
          <w:tcPr>
            <w:tcW w:w="1091" w:type="dxa"/>
            <w:tcBorders>
              <w:top w:val="nil"/>
              <w:left w:val="nil"/>
              <w:bottom w:val="single" w:sz="4" w:space="0" w:color="auto"/>
              <w:right w:val="single" w:sz="4" w:space="0" w:color="auto"/>
            </w:tcBorders>
            <w:shd w:val="clear" w:color="auto" w:fill="auto"/>
            <w:noWrap/>
            <w:vAlign w:val="center"/>
            <w:hideMark/>
          </w:tcPr>
          <w:p w14:paraId="1A83D927" w14:textId="77777777" w:rsidR="00E34764" w:rsidRPr="002B257B" w:rsidRDefault="00E34764" w:rsidP="002B257B">
            <w:pPr>
              <w:pStyle w:val="tabletxt"/>
              <w:jc w:val="right"/>
              <w:rPr>
                <w:color w:val="000000"/>
                <w:szCs w:val="18"/>
              </w:rPr>
            </w:pPr>
            <w:r w:rsidRPr="002B257B">
              <w:rPr>
                <w:color w:val="000000"/>
                <w:szCs w:val="18"/>
              </w:rPr>
              <w:t>4.266</w:t>
            </w:r>
          </w:p>
        </w:tc>
        <w:tc>
          <w:tcPr>
            <w:tcW w:w="1092" w:type="dxa"/>
            <w:tcBorders>
              <w:top w:val="nil"/>
              <w:left w:val="nil"/>
              <w:bottom w:val="single" w:sz="4" w:space="0" w:color="auto"/>
              <w:right w:val="single" w:sz="4" w:space="0" w:color="auto"/>
            </w:tcBorders>
            <w:shd w:val="clear" w:color="auto" w:fill="auto"/>
            <w:noWrap/>
            <w:vAlign w:val="center"/>
            <w:hideMark/>
          </w:tcPr>
          <w:p w14:paraId="4F2E61C4" w14:textId="77777777" w:rsidR="00E34764" w:rsidRPr="002B257B" w:rsidRDefault="00E34764" w:rsidP="002B257B">
            <w:pPr>
              <w:pStyle w:val="tabletxt"/>
              <w:jc w:val="right"/>
              <w:rPr>
                <w:color w:val="000000"/>
                <w:szCs w:val="18"/>
              </w:rPr>
            </w:pPr>
            <w:r w:rsidRPr="002B257B">
              <w:rPr>
                <w:color w:val="000000"/>
                <w:szCs w:val="18"/>
              </w:rPr>
              <w:t>4.355</w:t>
            </w:r>
          </w:p>
        </w:tc>
        <w:tc>
          <w:tcPr>
            <w:tcW w:w="1091" w:type="dxa"/>
            <w:tcBorders>
              <w:top w:val="nil"/>
              <w:left w:val="nil"/>
              <w:bottom w:val="single" w:sz="4" w:space="0" w:color="auto"/>
              <w:right w:val="single" w:sz="4" w:space="0" w:color="auto"/>
            </w:tcBorders>
            <w:shd w:val="clear" w:color="auto" w:fill="auto"/>
            <w:noWrap/>
            <w:vAlign w:val="center"/>
            <w:hideMark/>
          </w:tcPr>
          <w:p w14:paraId="416989AC" w14:textId="77777777" w:rsidR="00E34764" w:rsidRPr="002B257B" w:rsidRDefault="00E34764" w:rsidP="002B257B">
            <w:pPr>
              <w:pStyle w:val="tabletxt"/>
              <w:jc w:val="right"/>
              <w:rPr>
                <w:color w:val="000000"/>
                <w:szCs w:val="18"/>
              </w:rPr>
            </w:pPr>
            <w:r w:rsidRPr="002B257B">
              <w:rPr>
                <w:color w:val="000000"/>
                <w:szCs w:val="18"/>
              </w:rPr>
              <w:t>4.707</w:t>
            </w:r>
          </w:p>
        </w:tc>
        <w:tc>
          <w:tcPr>
            <w:tcW w:w="1092" w:type="dxa"/>
            <w:tcBorders>
              <w:top w:val="nil"/>
              <w:left w:val="nil"/>
              <w:bottom w:val="single" w:sz="4" w:space="0" w:color="auto"/>
              <w:right w:val="single" w:sz="4" w:space="0" w:color="auto"/>
            </w:tcBorders>
            <w:shd w:val="clear" w:color="auto" w:fill="auto"/>
            <w:noWrap/>
            <w:vAlign w:val="center"/>
            <w:hideMark/>
          </w:tcPr>
          <w:p w14:paraId="08D373CA" w14:textId="77777777" w:rsidR="00E34764" w:rsidRPr="002B257B" w:rsidRDefault="00E34764" w:rsidP="002B257B">
            <w:pPr>
              <w:pStyle w:val="tabletxt"/>
              <w:jc w:val="right"/>
              <w:rPr>
                <w:color w:val="000000"/>
                <w:szCs w:val="18"/>
              </w:rPr>
            </w:pPr>
            <w:r w:rsidRPr="002B257B">
              <w:rPr>
                <w:color w:val="000000"/>
                <w:szCs w:val="18"/>
              </w:rPr>
              <w:t>120,67%</w:t>
            </w:r>
          </w:p>
        </w:tc>
      </w:tr>
      <w:tr w:rsidR="00E34764" w:rsidRPr="002B257B" w14:paraId="61528E29" w14:textId="77777777" w:rsidTr="002B257B">
        <w:trPr>
          <w:trHeight w:val="45"/>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30A036F1" w14:textId="77777777" w:rsidR="00E34764" w:rsidRPr="002B257B" w:rsidRDefault="00E34764" w:rsidP="002B257B">
            <w:pPr>
              <w:pStyle w:val="tabletxt"/>
              <w:rPr>
                <w:color w:val="FFFFFF" w:themeColor="background1"/>
                <w:szCs w:val="18"/>
              </w:rPr>
            </w:pPr>
            <w:r w:rsidRPr="002B257B">
              <w:rPr>
                <w:color w:val="FFFFFF" w:themeColor="background1"/>
                <w:szCs w:val="18"/>
              </w:rPr>
              <w:t>Broj izvoznika</w:t>
            </w:r>
          </w:p>
        </w:tc>
        <w:tc>
          <w:tcPr>
            <w:tcW w:w="1091" w:type="dxa"/>
            <w:tcBorders>
              <w:top w:val="nil"/>
              <w:left w:val="nil"/>
              <w:bottom w:val="single" w:sz="4" w:space="0" w:color="auto"/>
              <w:right w:val="single" w:sz="4" w:space="0" w:color="auto"/>
            </w:tcBorders>
            <w:shd w:val="clear" w:color="auto" w:fill="auto"/>
            <w:noWrap/>
            <w:vAlign w:val="center"/>
            <w:hideMark/>
          </w:tcPr>
          <w:p w14:paraId="0D68855C" w14:textId="77777777" w:rsidR="00E34764" w:rsidRPr="002B257B" w:rsidRDefault="00E34764" w:rsidP="002B257B">
            <w:pPr>
              <w:pStyle w:val="tabletxt"/>
              <w:jc w:val="right"/>
              <w:rPr>
                <w:color w:val="000000"/>
                <w:szCs w:val="18"/>
              </w:rPr>
            </w:pPr>
            <w:r w:rsidRPr="002B257B">
              <w:rPr>
                <w:color w:val="000000"/>
                <w:szCs w:val="18"/>
              </w:rPr>
              <w:t>17</w:t>
            </w:r>
          </w:p>
        </w:tc>
        <w:tc>
          <w:tcPr>
            <w:tcW w:w="1092" w:type="dxa"/>
            <w:tcBorders>
              <w:top w:val="nil"/>
              <w:left w:val="nil"/>
              <w:bottom w:val="single" w:sz="4" w:space="0" w:color="auto"/>
              <w:right w:val="single" w:sz="4" w:space="0" w:color="auto"/>
            </w:tcBorders>
            <w:shd w:val="clear" w:color="auto" w:fill="auto"/>
            <w:noWrap/>
            <w:vAlign w:val="center"/>
            <w:hideMark/>
          </w:tcPr>
          <w:p w14:paraId="7DD0CAAC" w14:textId="77777777" w:rsidR="00E34764" w:rsidRPr="002B257B" w:rsidRDefault="00E34764" w:rsidP="002B257B">
            <w:pPr>
              <w:pStyle w:val="tabletxt"/>
              <w:jc w:val="right"/>
              <w:rPr>
                <w:color w:val="000000"/>
                <w:szCs w:val="18"/>
              </w:rPr>
            </w:pPr>
            <w:r w:rsidRPr="002B257B">
              <w:rPr>
                <w:color w:val="000000"/>
                <w:szCs w:val="18"/>
              </w:rPr>
              <w:t>20</w:t>
            </w:r>
          </w:p>
        </w:tc>
        <w:tc>
          <w:tcPr>
            <w:tcW w:w="1091" w:type="dxa"/>
            <w:tcBorders>
              <w:top w:val="nil"/>
              <w:left w:val="nil"/>
              <w:bottom w:val="single" w:sz="4" w:space="0" w:color="auto"/>
              <w:right w:val="single" w:sz="4" w:space="0" w:color="auto"/>
            </w:tcBorders>
            <w:shd w:val="clear" w:color="auto" w:fill="auto"/>
            <w:noWrap/>
            <w:vAlign w:val="center"/>
            <w:hideMark/>
          </w:tcPr>
          <w:p w14:paraId="4DFC27C9" w14:textId="77777777" w:rsidR="00E34764" w:rsidRPr="002B257B" w:rsidRDefault="00E34764" w:rsidP="002B257B">
            <w:pPr>
              <w:pStyle w:val="tabletxt"/>
              <w:jc w:val="right"/>
              <w:rPr>
                <w:color w:val="000000"/>
                <w:szCs w:val="18"/>
              </w:rPr>
            </w:pPr>
            <w:r w:rsidRPr="002B257B">
              <w:rPr>
                <w:color w:val="000000"/>
                <w:szCs w:val="18"/>
              </w:rPr>
              <w:t>22</w:t>
            </w:r>
          </w:p>
        </w:tc>
        <w:tc>
          <w:tcPr>
            <w:tcW w:w="1092" w:type="dxa"/>
            <w:tcBorders>
              <w:top w:val="nil"/>
              <w:left w:val="nil"/>
              <w:bottom w:val="single" w:sz="4" w:space="0" w:color="auto"/>
              <w:right w:val="single" w:sz="4" w:space="0" w:color="auto"/>
            </w:tcBorders>
            <w:shd w:val="clear" w:color="auto" w:fill="auto"/>
            <w:noWrap/>
            <w:vAlign w:val="center"/>
            <w:hideMark/>
          </w:tcPr>
          <w:p w14:paraId="5D8F3B3C" w14:textId="77777777" w:rsidR="00E34764" w:rsidRPr="002B257B" w:rsidRDefault="00E34764" w:rsidP="002B257B">
            <w:pPr>
              <w:pStyle w:val="tabletxt"/>
              <w:jc w:val="right"/>
              <w:rPr>
                <w:color w:val="000000"/>
                <w:szCs w:val="18"/>
              </w:rPr>
            </w:pPr>
            <w:r w:rsidRPr="002B257B">
              <w:rPr>
                <w:color w:val="000000"/>
                <w:szCs w:val="18"/>
              </w:rPr>
              <w:t>36</w:t>
            </w:r>
          </w:p>
        </w:tc>
        <w:tc>
          <w:tcPr>
            <w:tcW w:w="1091" w:type="dxa"/>
            <w:tcBorders>
              <w:top w:val="nil"/>
              <w:left w:val="nil"/>
              <w:bottom w:val="single" w:sz="4" w:space="0" w:color="auto"/>
              <w:right w:val="single" w:sz="4" w:space="0" w:color="auto"/>
            </w:tcBorders>
            <w:shd w:val="clear" w:color="auto" w:fill="auto"/>
            <w:noWrap/>
            <w:vAlign w:val="center"/>
            <w:hideMark/>
          </w:tcPr>
          <w:p w14:paraId="5AE0583E" w14:textId="77777777" w:rsidR="00E34764" w:rsidRPr="002B257B" w:rsidRDefault="00E34764" w:rsidP="002B257B">
            <w:pPr>
              <w:pStyle w:val="tabletxt"/>
              <w:jc w:val="right"/>
              <w:rPr>
                <w:color w:val="000000"/>
                <w:szCs w:val="18"/>
              </w:rPr>
            </w:pPr>
            <w:r w:rsidRPr="002B257B">
              <w:rPr>
                <w:color w:val="000000"/>
                <w:szCs w:val="18"/>
              </w:rPr>
              <w:t>33</w:t>
            </w:r>
          </w:p>
        </w:tc>
        <w:tc>
          <w:tcPr>
            <w:tcW w:w="1092" w:type="dxa"/>
            <w:tcBorders>
              <w:top w:val="nil"/>
              <w:left w:val="nil"/>
              <w:bottom w:val="single" w:sz="4" w:space="0" w:color="auto"/>
              <w:right w:val="single" w:sz="4" w:space="0" w:color="auto"/>
            </w:tcBorders>
            <w:shd w:val="clear" w:color="auto" w:fill="auto"/>
            <w:noWrap/>
            <w:vAlign w:val="center"/>
            <w:hideMark/>
          </w:tcPr>
          <w:p w14:paraId="6BA62E7E" w14:textId="77777777" w:rsidR="00E34764" w:rsidRPr="002B257B" w:rsidRDefault="00E34764" w:rsidP="002B257B">
            <w:pPr>
              <w:pStyle w:val="tabletxt"/>
              <w:jc w:val="right"/>
              <w:rPr>
                <w:color w:val="000000"/>
                <w:szCs w:val="18"/>
              </w:rPr>
            </w:pPr>
            <w:r w:rsidRPr="002B257B">
              <w:rPr>
                <w:color w:val="000000"/>
                <w:szCs w:val="18"/>
              </w:rPr>
              <w:t>194,12%</w:t>
            </w:r>
          </w:p>
        </w:tc>
      </w:tr>
      <w:tr w:rsidR="00E34764" w:rsidRPr="002B257B" w14:paraId="7797B135" w14:textId="77777777" w:rsidTr="002B257B">
        <w:trPr>
          <w:trHeight w:val="164"/>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3724946F" w14:textId="77777777" w:rsidR="00E34764" w:rsidRPr="002B257B" w:rsidRDefault="00E34764" w:rsidP="002B257B">
            <w:pPr>
              <w:pStyle w:val="tabletxt"/>
              <w:rPr>
                <w:color w:val="FFFFFF" w:themeColor="background1"/>
                <w:szCs w:val="18"/>
              </w:rPr>
            </w:pPr>
            <w:r w:rsidRPr="002B257B">
              <w:rPr>
                <w:color w:val="FFFFFF" w:themeColor="background1"/>
                <w:szCs w:val="18"/>
              </w:rPr>
              <w:t>Broj uvoznika</w:t>
            </w:r>
          </w:p>
        </w:tc>
        <w:tc>
          <w:tcPr>
            <w:tcW w:w="1091" w:type="dxa"/>
            <w:tcBorders>
              <w:top w:val="nil"/>
              <w:left w:val="nil"/>
              <w:bottom w:val="single" w:sz="4" w:space="0" w:color="auto"/>
              <w:right w:val="single" w:sz="4" w:space="0" w:color="auto"/>
            </w:tcBorders>
            <w:shd w:val="clear" w:color="auto" w:fill="auto"/>
            <w:noWrap/>
            <w:vAlign w:val="center"/>
            <w:hideMark/>
          </w:tcPr>
          <w:p w14:paraId="115F427D" w14:textId="77777777" w:rsidR="00E34764" w:rsidRPr="002B257B" w:rsidRDefault="00E34764" w:rsidP="002B257B">
            <w:pPr>
              <w:pStyle w:val="tabletxt"/>
              <w:jc w:val="right"/>
              <w:rPr>
                <w:color w:val="000000"/>
                <w:szCs w:val="18"/>
              </w:rPr>
            </w:pPr>
            <w:r w:rsidRPr="002B257B">
              <w:rPr>
                <w:color w:val="000000"/>
                <w:szCs w:val="18"/>
              </w:rPr>
              <w:t>18</w:t>
            </w:r>
          </w:p>
        </w:tc>
        <w:tc>
          <w:tcPr>
            <w:tcW w:w="1092" w:type="dxa"/>
            <w:tcBorders>
              <w:top w:val="nil"/>
              <w:left w:val="nil"/>
              <w:bottom w:val="single" w:sz="4" w:space="0" w:color="auto"/>
              <w:right w:val="single" w:sz="4" w:space="0" w:color="auto"/>
            </w:tcBorders>
            <w:shd w:val="clear" w:color="auto" w:fill="auto"/>
            <w:noWrap/>
            <w:vAlign w:val="center"/>
            <w:hideMark/>
          </w:tcPr>
          <w:p w14:paraId="0E8678ED" w14:textId="77777777" w:rsidR="00E34764" w:rsidRPr="002B257B" w:rsidRDefault="00E34764" w:rsidP="002B257B">
            <w:pPr>
              <w:pStyle w:val="tabletxt"/>
              <w:jc w:val="right"/>
              <w:rPr>
                <w:color w:val="000000"/>
                <w:szCs w:val="18"/>
              </w:rPr>
            </w:pPr>
            <w:r w:rsidRPr="002B257B">
              <w:rPr>
                <w:color w:val="000000"/>
                <w:szCs w:val="18"/>
              </w:rPr>
              <w:t>13</w:t>
            </w:r>
          </w:p>
        </w:tc>
        <w:tc>
          <w:tcPr>
            <w:tcW w:w="1091" w:type="dxa"/>
            <w:tcBorders>
              <w:top w:val="nil"/>
              <w:left w:val="nil"/>
              <w:bottom w:val="single" w:sz="4" w:space="0" w:color="auto"/>
              <w:right w:val="single" w:sz="4" w:space="0" w:color="auto"/>
            </w:tcBorders>
            <w:shd w:val="clear" w:color="auto" w:fill="auto"/>
            <w:noWrap/>
            <w:vAlign w:val="center"/>
            <w:hideMark/>
          </w:tcPr>
          <w:p w14:paraId="57D9C276" w14:textId="77777777" w:rsidR="00E34764" w:rsidRPr="002B257B" w:rsidRDefault="00E34764" w:rsidP="002B257B">
            <w:pPr>
              <w:pStyle w:val="tabletxt"/>
              <w:jc w:val="right"/>
              <w:rPr>
                <w:color w:val="000000"/>
                <w:szCs w:val="18"/>
              </w:rPr>
            </w:pPr>
            <w:r w:rsidRPr="002B257B">
              <w:rPr>
                <w:color w:val="000000"/>
                <w:szCs w:val="18"/>
              </w:rPr>
              <w:t>19</w:t>
            </w:r>
          </w:p>
        </w:tc>
        <w:tc>
          <w:tcPr>
            <w:tcW w:w="1092" w:type="dxa"/>
            <w:tcBorders>
              <w:top w:val="nil"/>
              <w:left w:val="nil"/>
              <w:bottom w:val="single" w:sz="4" w:space="0" w:color="auto"/>
              <w:right w:val="single" w:sz="4" w:space="0" w:color="auto"/>
            </w:tcBorders>
            <w:shd w:val="clear" w:color="auto" w:fill="auto"/>
            <w:noWrap/>
            <w:vAlign w:val="center"/>
            <w:hideMark/>
          </w:tcPr>
          <w:p w14:paraId="580602B4" w14:textId="77777777" w:rsidR="00E34764" w:rsidRPr="002B257B" w:rsidRDefault="00E34764" w:rsidP="002B257B">
            <w:pPr>
              <w:pStyle w:val="tabletxt"/>
              <w:jc w:val="right"/>
              <w:rPr>
                <w:color w:val="000000"/>
                <w:szCs w:val="18"/>
              </w:rPr>
            </w:pPr>
            <w:r w:rsidRPr="002B257B">
              <w:rPr>
                <w:color w:val="000000"/>
                <w:szCs w:val="18"/>
              </w:rPr>
              <w:t>15</w:t>
            </w:r>
          </w:p>
        </w:tc>
        <w:tc>
          <w:tcPr>
            <w:tcW w:w="1091" w:type="dxa"/>
            <w:tcBorders>
              <w:top w:val="nil"/>
              <w:left w:val="nil"/>
              <w:bottom w:val="single" w:sz="4" w:space="0" w:color="auto"/>
              <w:right w:val="single" w:sz="4" w:space="0" w:color="auto"/>
            </w:tcBorders>
            <w:shd w:val="clear" w:color="auto" w:fill="auto"/>
            <w:noWrap/>
            <w:vAlign w:val="center"/>
            <w:hideMark/>
          </w:tcPr>
          <w:p w14:paraId="79A2AB6C" w14:textId="77777777" w:rsidR="00E34764" w:rsidRPr="002B257B" w:rsidRDefault="00E34764" w:rsidP="002B257B">
            <w:pPr>
              <w:pStyle w:val="tabletxt"/>
              <w:jc w:val="right"/>
              <w:rPr>
                <w:color w:val="000000"/>
                <w:szCs w:val="18"/>
              </w:rPr>
            </w:pPr>
            <w:r w:rsidRPr="002B257B">
              <w:rPr>
                <w:color w:val="000000"/>
                <w:szCs w:val="18"/>
              </w:rPr>
              <w:t>16</w:t>
            </w:r>
          </w:p>
        </w:tc>
        <w:tc>
          <w:tcPr>
            <w:tcW w:w="1092" w:type="dxa"/>
            <w:tcBorders>
              <w:top w:val="nil"/>
              <w:left w:val="nil"/>
              <w:bottom w:val="single" w:sz="4" w:space="0" w:color="auto"/>
              <w:right w:val="single" w:sz="4" w:space="0" w:color="auto"/>
            </w:tcBorders>
            <w:shd w:val="clear" w:color="auto" w:fill="auto"/>
            <w:noWrap/>
            <w:vAlign w:val="center"/>
            <w:hideMark/>
          </w:tcPr>
          <w:p w14:paraId="70974DFC" w14:textId="77777777" w:rsidR="00E34764" w:rsidRPr="002B257B" w:rsidRDefault="00E34764" w:rsidP="002B257B">
            <w:pPr>
              <w:pStyle w:val="tabletxt"/>
              <w:jc w:val="right"/>
              <w:rPr>
                <w:color w:val="000000"/>
                <w:szCs w:val="18"/>
              </w:rPr>
            </w:pPr>
            <w:r w:rsidRPr="002B257B">
              <w:rPr>
                <w:color w:val="000000"/>
                <w:szCs w:val="18"/>
              </w:rPr>
              <w:t>88,89%</w:t>
            </w:r>
          </w:p>
        </w:tc>
      </w:tr>
      <w:tr w:rsidR="00E34764" w:rsidRPr="002B257B" w14:paraId="28BCA963" w14:textId="77777777" w:rsidTr="002B257B">
        <w:trPr>
          <w:trHeight w:val="110"/>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1176376B" w14:textId="77777777" w:rsidR="00E34764" w:rsidRPr="002B257B" w:rsidRDefault="00E34764" w:rsidP="002B257B">
            <w:pPr>
              <w:pStyle w:val="tabletxt"/>
              <w:rPr>
                <w:color w:val="FFFFFF" w:themeColor="background1"/>
                <w:szCs w:val="18"/>
              </w:rPr>
            </w:pPr>
            <w:r w:rsidRPr="002B257B">
              <w:rPr>
                <w:color w:val="FFFFFF" w:themeColor="background1"/>
                <w:szCs w:val="18"/>
              </w:rPr>
              <w:t>Izvoz</w:t>
            </w:r>
          </w:p>
        </w:tc>
        <w:tc>
          <w:tcPr>
            <w:tcW w:w="1091" w:type="dxa"/>
            <w:tcBorders>
              <w:top w:val="nil"/>
              <w:left w:val="nil"/>
              <w:bottom w:val="single" w:sz="4" w:space="0" w:color="auto"/>
              <w:right w:val="single" w:sz="4" w:space="0" w:color="auto"/>
            </w:tcBorders>
            <w:shd w:val="clear" w:color="auto" w:fill="auto"/>
            <w:noWrap/>
            <w:vAlign w:val="center"/>
            <w:hideMark/>
          </w:tcPr>
          <w:p w14:paraId="7F38AC67" w14:textId="77777777" w:rsidR="00E34764" w:rsidRPr="002B257B" w:rsidRDefault="00E34764" w:rsidP="002B257B">
            <w:pPr>
              <w:pStyle w:val="tabletxt"/>
              <w:jc w:val="right"/>
              <w:rPr>
                <w:color w:val="000000"/>
                <w:szCs w:val="18"/>
              </w:rPr>
            </w:pPr>
            <w:r w:rsidRPr="002B257B">
              <w:rPr>
                <w:color w:val="000000"/>
                <w:szCs w:val="18"/>
              </w:rPr>
              <w:t>36.621</w:t>
            </w:r>
          </w:p>
        </w:tc>
        <w:tc>
          <w:tcPr>
            <w:tcW w:w="1092" w:type="dxa"/>
            <w:tcBorders>
              <w:top w:val="nil"/>
              <w:left w:val="nil"/>
              <w:bottom w:val="single" w:sz="4" w:space="0" w:color="auto"/>
              <w:right w:val="single" w:sz="4" w:space="0" w:color="auto"/>
            </w:tcBorders>
            <w:shd w:val="clear" w:color="auto" w:fill="auto"/>
            <w:noWrap/>
            <w:vAlign w:val="center"/>
            <w:hideMark/>
          </w:tcPr>
          <w:p w14:paraId="3C3AF5E3" w14:textId="77777777" w:rsidR="00E34764" w:rsidRPr="002B257B" w:rsidRDefault="00E34764" w:rsidP="002B257B">
            <w:pPr>
              <w:pStyle w:val="tabletxt"/>
              <w:jc w:val="right"/>
              <w:rPr>
                <w:color w:val="000000"/>
                <w:szCs w:val="18"/>
              </w:rPr>
            </w:pPr>
            <w:r w:rsidRPr="002B257B">
              <w:rPr>
                <w:color w:val="000000"/>
                <w:szCs w:val="18"/>
              </w:rPr>
              <w:t>37.751</w:t>
            </w:r>
          </w:p>
        </w:tc>
        <w:tc>
          <w:tcPr>
            <w:tcW w:w="1091" w:type="dxa"/>
            <w:tcBorders>
              <w:top w:val="nil"/>
              <w:left w:val="nil"/>
              <w:bottom w:val="single" w:sz="4" w:space="0" w:color="auto"/>
              <w:right w:val="single" w:sz="4" w:space="0" w:color="auto"/>
            </w:tcBorders>
            <w:shd w:val="clear" w:color="auto" w:fill="auto"/>
            <w:noWrap/>
            <w:vAlign w:val="center"/>
            <w:hideMark/>
          </w:tcPr>
          <w:p w14:paraId="3CF7D2B7" w14:textId="77777777" w:rsidR="00E34764" w:rsidRPr="002B257B" w:rsidRDefault="00E34764" w:rsidP="002B257B">
            <w:pPr>
              <w:pStyle w:val="tabletxt"/>
              <w:jc w:val="right"/>
              <w:rPr>
                <w:color w:val="000000"/>
                <w:szCs w:val="18"/>
              </w:rPr>
            </w:pPr>
            <w:r w:rsidRPr="002B257B">
              <w:rPr>
                <w:color w:val="000000"/>
                <w:szCs w:val="18"/>
              </w:rPr>
              <w:t>64.522</w:t>
            </w:r>
          </w:p>
        </w:tc>
        <w:tc>
          <w:tcPr>
            <w:tcW w:w="1092" w:type="dxa"/>
            <w:tcBorders>
              <w:top w:val="nil"/>
              <w:left w:val="nil"/>
              <w:bottom w:val="single" w:sz="4" w:space="0" w:color="auto"/>
              <w:right w:val="single" w:sz="4" w:space="0" w:color="auto"/>
            </w:tcBorders>
            <w:shd w:val="clear" w:color="auto" w:fill="auto"/>
            <w:noWrap/>
            <w:vAlign w:val="center"/>
            <w:hideMark/>
          </w:tcPr>
          <w:p w14:paraId="0A5B9ABD" w14:textId="77777777" w:rsidR="00E34764" w:rsidRPr="002B257B" w:rsidRDefault="00E34764" w:rsidP="002B257B">
            <w:pPr>
              <w:pStyle w:val="tabletxt"/>
              <w:jc w:val="right"/>
              <w:rPr>
                <w:color w:val="000000"/>
                <w:szCs w:val="18"/>
              </w:rPr>
            </w:pPr>
            <w:r w:rsidRPr="002B257B">
              <w:rPr>
                <w:color w:val="000000"/>
                <w:szCs w:val="18"/>
              </w:rPr>
              <w:t>71.085</w:t>
            </w:r>
          </w:p>
        </w:tc>
        <w:tc>
          <w:tcPr>
            <w:tcW w:w="1091" w:type="dxa"/>
            <w:tcBorders>
              <w:top w:val="nil"/>
              <w:left w:val="nil"/>
              <w:bottom w:val="single" w:sz="4" w:space="0" w:color="auto"/>
              <w:right w:val="single" w:sz="4" w:space="0" w:color="auto"/>
            </w:tcBorders>
            <w:shd w:val="clear" w:color="auto" w:fill="auto"/>
            <w:noWrap/>
            <w:vAlign w:val="center"/>
            <w:hideMark/>
          </w:tcPr>
          <w:p w14:paraId="774BF97B" w14:textId="77777777" w:rsidR="00E34764" w:rsidRPr="002B257B" w:rsidRDefault="00E34764" w:rsidP="002B257B">
            <w:pPr>
              <w:pStyle w:val="tabletxt"/>
              <w:jc w:val="right"/>
              <w:rPr>
                <w:color w:val="000000"/>
                <w:szCs w:val="18"/>
              </w:rPr>
            </w:pPr>
            <w:r w:rsidRPr="002B257B">
              <w:rPr>
                <w:color w:val="000000"/>
                <w:szCs w:val="18"/>
              </w:rPr>
              <w:t>80.831</w:t>
            </w:r>
          </w:p>
        </w:tc>
        <w:tc>
          <w:tcPr>
            <w:tcW w:w="1092" w:type="dxa"/>
            <w:tcBorders>
              <w:top w:val="nil"/>
              <w:left w:val="nil"/>
              <w:bottom w:val="single" w:sz="4" w:space="0" w:color="auto"/>
              <w:right w:val="single" w:sz="4" w:space="0" w:color="auto"/>
            </w:tcBorders>
            <w:shd w:val="clear" w:color="auto" w:fill="auto"/>
            <w:noWrap/>
            <w:vAlign w:val="center"/>
            <w:hideMark/>
          </w:tcPr>
          <w:p w14:paraId="38AEE60F" w14:textId="77777777" w:rsidR="00E34764" w:rsidRPr="002B257B" w:rsidRDefault="00E34764" w:rsidP="002B257B">
            <w:pPr>
              <w:pStyle w:val="tabletxt"/>
              <w:jc w:val="right"/>
              <w:rPr>
                <w:color w:val="000000"/>
                <w:szCs w:val="18"/>
              </w:rPr>
            </w:pPr>
            <w:r w:rsidRPr="002B257B">
              <w:rPr>
                <w:color w:val="000000"/>
                <w:szCs w:val="18"/>
              </w:rPr>
              <w:t>220,72%</w:t>
            </w:r>
          </w:p>
        </w:tc>
      </w:tr>
      <w:tr w:rsidR="00E34764" w:rsidRPr="002B257B" w14:paraId="0472C86B" w14:textId="77777777" w:rsidTr="002B257B">
        <w:trPr>
          <w:trHeight w:val="45"/>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68BB0FEE" w14:textId="77777777" w:rsidR="00E34764" w:rsidRPr="002B257B" w:rsidRDefault="00E34764" w:rsidP="002B257B">
            <w:pPr>
              <w:pStyle w:val="tabletxt"/>
              <w:rPr>
                <w:color w:val="FFFFFF" w:themeColor="background1"/>
                <w:szCs w:val="18"/>
              </w:rPr>
            </w:pPr>
            <w:r w:rsidRPr="002B257B">
              <w:rPr>
                <w:color w:val="FFFFFF" w:themeColor="background1"/>
                <w:szCs w:val="18"/>
              </w:rPr>
              <w:t>Uvoz</w:t>
            </w:r>
          </w:p>
        </w:tc>
        <w:tc>
          <w:tcPr>
            <w:tcW w:w="1091" w:type="dxa"/>
            <w:tcBorders>
              <w:top w:val="nil"/>
              <w:left w:val="nil"/>
              <w:bottom w:val="single" w:sz="4" w:space="0" w:color="auto"/>
              <w:right w:val="single" w:sz="4" w:space="0" w:color="auto"/>
            </w:tcBorders>
            <w:shd w:val="clear" w:color="auto" w:fill="auto"/>
            <w:noWrap/>
            <w:vAlign w:val="center"/>
            <w:hideMark/>
          </w:tcPr>
          <w:p w14:paraId="6B5F1CE9" w14:textId="77777777" w:rsidR="00E34764" w:rsidRPr="002B257B" w:rsidRDefault="00E34764" w:rsidP="002B257B">
            <w:pPr>
              <w:pStyle w:val="tabletxt"/>
              <w:jc w:val="right"/>
              <w:rPr>
                <w:color w:val="000000"/>
                <w:szCs w:val="18"/>
              </w:rPr>
            </w:pPr>
            <w:r w:rsidRPr="002B257B">
              <w:rPr>
                <w:color w:val="000000"/>
                <w:szCs w:val="18"/>
              </w:rPr>
              <w:t>13.759</w:t>
            </w:r>
          </w:p>
        </w:tc>
        <w:tc>
          <w:tcPr>
            <w:tcW w:w="1092" w:type="dxa"/>
            <w:tcBorders>
              <w:top w:val="nil"/>
              <w:left w:val="nil"/>
              <w:bottom w:val="single" w:sz="4" w:space="0" w:color="auto"/>
              <w:right w:val="single" w:sz="4" w:space="0" w:color="auto"/>
            </w:tcBorders>
            <w:shd w:val="clear" w:color="auto" w:fill="auto"/>
            <w:noWrap/>
            <w:vAlign w:val="center"/>
            <w:hideMark/>
          </w:tcPr>
          <w:p w14:paraId="3AE515B9" w14:textId="77777777" w:rsidR="00E34764" w:rsidRPr="002B257B" w:rsidRDefault="00E34764" w:rsidP="002B257B">
            <w:pPr>
              <w:pStyle w:val="tabletxt"/>
              <w:jc w:val="right"/>
              <w:rPr>
                <w:color w:val="000000"/>
                <w:szCs w:val="18"/>
              </w:rPr>
            </w:pPr>
            <w:r w:rsidRPr="002B257B">
              <w:rPr>
                <w:color w:val="000000"/>
                <w:szCs w:val="18"/>
              </w:rPr>
              <w:t>12.147</w:t>
            </w:r>
          </w:p>
        </w:tc>
        <w:tc>
          <w:tcPr>
            <w:tcW w:w="1091" w:type="dxa"/>
            <w:tcBorders>
              <w:top w:val="nil"/>
              <w:left w:val="nil"/>
              <w:bottom w:val="single" w:sz="4" w:space="0" w:color="auto"/>
              <w:right w:val="single" w:sz="4" w:space="0" w:color="auto"/>
            </w:tcBorders>
            <w:shd w:val="clear" w:color="auto" w:fill="auto"/>
            <w:noWrap/>
            <w:vAlign w:val="center"/>
            <w:hideMark/>
          </w:tcPr>
          <w:p w14:paraId="017F3673" w14:textId="77777777" w:rsidR="00E34764" w:rsidRPr="002B257B" w:rsidRDefault="00E34764" w:rsidP="002B257B">
            <w:pPr>
              <w:pStyle w:val="tabletxt"/>
              <w:jc w:val="right"/>
              <w:rPr>
                <w:color w:val="000000"/>
                <w:szCs w:val="18"/>
              </w:rPr>
            </w:pPr>
            <w:r w:rsidRPr="002B257B">
              <w:rPr>
                <w:color w:val="000000"/>
                <w:szCs w:val="18"/>
              </w:rPr>
              <w:t>14.597</w:t>
            </w:r>
          </w:p>
        </w:tc>
        <w:tc>
          <w:tcPr>
            <w:tcW w:w="1092" w:type="dxa"/>
            <w:tcBorders>
              <w:top w:val="nil"/>
              <w:left w:val="nil"/>
              <w:bottom w:val="single" w:sz="4" w:space="0" w:color="auto"/>
              <w:right w:val="single" w:sz="4" w:space="0" w:color="auto"/>
            </w:tcBorders>
            <w:shd w:val="clear" w:color="auto" w:fill="auto"/>
            <w:noWrap/>
            <w:vAlign w:val="center"/>
            <w:hideMark/>
          </w:tcPr>
          <w:p w14:paraId="08587DE6" w14:textId="77777777" w:rsidR="00E34764" w:rsidRPr="002B257B" w:rsidRDefault="00E34764" w:rsidP="002B257B">
            <w:pPr>
              <w:pStyle w:val="tabletxt"/>
              <w:jc w:val="right"/>
              <w:rPr>
                <w:color w:val="000000"/>
                <w:szCs w:val="18"/>
              </w:rPr>
            </w:pPr>
            <w:r w:rsidRPr="002B257B">
              <w:rPr>
                <w:color w:val="000000"/>
                <w:szCs w:val="18"/>
              </w:rPr>
              <w:t>14.004</w:t>
            </w:r>
          </w:p>
        </w:tc>
        <w:tc>
          <w:tcPr>
            <w:tcW w:w="1091" w:type="dxa"/>
            <w:tcBorders>
              <w:top w:val="nil"/>
              <w:left w:val="nil"/>
              <w:bottom w:val="single" w:sz="4" w:space="0" w:color="auto"/>
              <w:right w:val="single" w:sz="4" w:space="0" w:color="auto"/>
            </w:tcBorders>
            <w:shd w:val="clear" w:color="auto" w:fill="auto"/>
            <w:noWrap/>
            <w:vAlign w:val="center"/>
            <w:hideMark/>
          </w:tcPr>
          <w:p w14:paraId="45E282CC" w14:textId="77777777" w:rsidR="00E34764" w:rsidRPr="002B257B" w:rsidRDefault="00E34764" w:rsidP="002B257B">
            <w:pPr>
              <w:pStyle w:val="tabletxt"/>
              <w:jc w:val="right"/>
              <w:rPr>
                <w:color w:val="000000"/>
                <w:szCs w:val="18"/>
              </w:rPr>
            </w:pPr>
            <w:r w:rsidRPr="002B257B">
              <w:rPr>
                <w:color w:val="000000"/>
                <w:szCs w:val="18"/>
              </w:rPr>
              <w:t>21.619</w:t>
            </w:r>
          </w:p>
        </w:tc>
        <w:tc>
          <w:tcPr>
            <w:tcW w:w="1092" w:type="dxa"/>
            <w:tcBorders>
              <w:top w:val="nil"/>
              <w:left w:val="nil"/>
              <w:bottom w:val="single" w:sz="4" w:space="0" w:color="auto"/>
              <w:right w:val="single" w:sz="4" w:space="0" w:color="auto"/>
            </w:tcBorders>
            <w:shd w:val="clear" w:color="auto" w:fill="auto"/>
            <w:noWrap/>
            <w:vAlign w:val="center"/>
            <w:hideMark/>
          </w:tcPr>
          <w:p w14:paraId="1DC0B1D4" w14:textId="77777777" w:rsidR="00E34764" w:rsidRPr="002B257B" w:rsidRDefault="00E34764" w:rsidP="002B257B">
            <w:pPr>
              <w:pStyle w:val="tabletxt"/>
              <w:jc w:val="right"/>
              <w:rPr>
                <w:color w:val="000000"/>
                <w:szCs w:val="18"/>
              </w:rPr>
            </w:pPr>
            <w:r w:rsidRPr="002B257B">
              <w:rPr>
                <w:color w:val="000000"/>
                <w:szCs w:val="18"/>
              </w:rPr>
              <w:t>157,13%</w:t>
            </w:r>
          </w:p>
        </w:tc>
      </w:tr>
      <w:tr w:rsidR="00E34764" w:rsidRPr="002B257B" w14:paraId="31D04AC8" w14:textId="77777777" w:rsidTr="002B257B">
        <w:trPr>
          <w:trHeight w:val="45"/>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427F5F67" w14:textId="77777777" w:rsidR="00E34764" w:rsidRPr="002B257B" w:rsidRDefault="00E34764" w:rsidP="002B257B">
            <w:pPr>
              <w:pStyle w:val="tabletxt"/>
              <w:rPr>
                <w:color w:val="FFFFFF" w:themeColor="background1"/>
                <w:szCs w:val="18"/>
              </w:rPr>
            </w:pPr>
            <w:r w:rsidRPr="002B257B">
              <w:rPr>
                <w:color w:val="FFFFFF" w:themeColor="background1"/>
                <w:szCs w:val="18"/>
              </w:rPr>
              <w:t>Trgovinski saldo</w:t>
            </w:r>
          </w:p>
        </w:tc>
        <w:tc>
          <w:tcPr>
            <w:tcW w:w="1091" w:type="dxa"/>
            <w:tcBorders>
              <w:top w:val="nil"/>
              <w:left w:val="nil"/>
              <w:bottom w:val="single" w:sz="4" w:space="0" w:color="auto"/>
              <w:right w:val="single" w:sz="4" w:space="0" w:color="auto"/>
            </w:tcBorders>
            <w:shd w:val="clear" w:color="auto" w:fill="auto"/>
            <w:noWrap/>
            <w:vAlign w:val="center"/>
            <w:hideMark/>
          </w:tcPr>
          <w:p w14:paraId="2B7BC48A" w14:textId="77777777" w:rsidR="00E34764" w:rsidRPr="002B257B" w:rsidRDefault="00E34764" w:rsidP="002B257B">
            <w:pPr>
              <w:pStyle w:val="tabletxt"/>
              <w:jc w:val="right"/>
              <w:rPr>
                <w:color w:val="000000"/>
                <w:szCs w:val="18"/>
              </w:rPr>
            </w:pPr>
            <w:r w:rsidRPr="002B257B">
              <w:rPr>
                <w:color w:val="000000"/>
                <w:szCs w:val="18"/>
              </w:rPr>
              <w:t>22.863</w:t>
            </w:r>
          </w:p>
        </w:tc>
        <w:tc>
          <w:tcPr>
            <w:tcW w:w="1092" w:type="dxa"/>
            <w:tcBorders>
              <w:top w:val="nil"/>
              <w:left w:val="nil"/>
              <w:bottom w:val="single" w:sz="4" w:space="0" w:color="auto"/>
              <w:right w:val="single" w:sz="4" w:space="0" w:color="auto"/>
            </w:tcBorders>
            <w:shd w:val="clear" w:color="auto" w:fill="auto"/>
            <w:noWrap/>
            <w:vAlign w:val="center"/>
            <w:hideMark/>
          </w:tcPr>
          <w:p w14:paraId="462FBEF8" w14:textId="77777777" w:rsidR="00E34764" w:rsidRPr="002B257B" w:rsidRDefault="00E34764" w:rsidP="002B257B">
            <w:pPr>
              <w:pStyle w:val="tabletxt"/>
              <w:jc w:val="right"/>
              <w:rPr>
                <w:color w:val="000000"/>
                <w:szCs w:val="18"/>
              </w:rPr>
            </w:pPr>
            <w:r w:rsidRPr="002B257B">
              <w:rPr>
                <w:color w:val="000000"/>
                <w:szCs w:val="18"/>
              </w:rPr>
              <w:t>25.604</w:t>
            </w:r>
          </w:p>
        </w:tc>
        <w:tc>
          <w:tcPr>
            <w:tcW w:w="1091" w:type="dxa"/>
            <w:tcBorders>
              <w:top w:val="nil"/>
              <w:left w:val="nil"/>
              <w:bottom w:val="single" w:sz="4" w:space="0" w:color="auto"/>
              <w:right w:val="single" w:sz="4" w:space="0" w:color="auto"/>
            </w:tcBorders>
            <w:shd w:val="clear" w:color="auto" w:fill="auto"/>
            <w:noWrap/>
            <w:vAlign w:val="center"/>
            <w:hideMark/>
          </w:tcPr>
          <w:p w14:paraId="30BE0BF5" w14:textId="77777777" w:rsidR="00E34764" w:rsidRPr="002B257B" w:rsidRDefault="00E34764" w:rsidP="002B257B">
            <w:pPr>
              <w:pStyle w:val="tabletxt"/>
              <w:jc w:val="right"/>
              <w:rPr>
                <w:color w:val="000000"/>
                <w:szCs w:val="18"/>
              </w:rPr>
            </w:pPr>
            <w:r w:rsidRPr="002B257B">
              <w:rPr>
                <w:color w:val="000000"/>
                <w:szCs w:val="18"/>
              </w:rPr>
              <w:t>49.925</w:t>
            </w:r>
          </w:p>
        </w:tc>
        <w:tc>
          <w:tcPr>
            <w:tcW w:w="1092" w:type="dxa"/>
            <w:tcBorders>
              <w:top w:val="nil"/>
              <w:left w:val="nil"/>
              <w:bottom w:val="single" w:sz="4" w:space="0" w:color="auto"/>
              <w:right w:val="single" w:sz="4" w:space="0" w:color="auto"/>
            </w:tcBorders>
            <w:shd w:val="clear" w:color="auto" w:fill="auto"/>
            <w:noWrap/>
            <w:vAlign w:val="center"/>
            <w:hideMark/>
          </w:tcPr>
          <w:p w14:paraId="05DD8402" w14:textId="77777777" w:rsidR="00E34764" w:rsidRPr="002B257B" w:rsidRDefault="00E34764" w:rsidP="002B257B">
            <w:pPr>
              <w:pStyle w:val="tabletxt"/>
              <w:jc w:val="right"/>
              <w:rPr>
                <w:color w:val="000000"/>
                <w:szCs w:val="18"/>
              </w:rPr>
            </w:pPr>
            <w:r w:rsidRPr="002B257B">
              <w:rPr>
                <w:color w:val="000000"/>
                <w:szCs w:val="18"/>
              </w:rPr>
              <w:t>57.081</w:t>
            </w:r>
          </w:p>
        </w:tc>
        <w:tc>
          <w:tcPr>
            <w:tcW w:w="1091" w:type="dxa"/>
            <w:tcBorders>
              <w:top w:val="nil"/>
              <w:left w:val="nil"/>
              <w:bottom w:val="single" w:sz="4" w:space="0" w:color="auto"/>
              <w:right w:val="single" w:sz="4" w:space="0" w:color="auto"/>
            </w:tcBorders>
            <w:shd w:val="clear" w:color="auto" w:fill="auto"/>
            <w:noWrap/>
            <w:vAlign w:val="center"/>
            <w:hideMark/>
          </w:tcPr>
          <w:p w14:paraId="1E1DF794" w14:textId="77777777" w:rsidR="00E34764" w:rsidRPr="002B257B" w:rsidRDefault="00E34764" w:rsidP="002B257B">
            <w:pPr>
              <w:pStyle w:val="tabletxt"/>
              <w:jc w:val="right"/>
              <w:rPr>
                <w:color w:val="000000"/>
                <w:szCs w:val="18"/>
              </w:rPr>
            </w:pPr>
            <w:r w:rsidRPr="002B257B">
              <w:rPr>
                <w:color w:val="000000"/>
                <w:szCs w:val="18"/>
              </w:rPr>
              <w:t>59.212</w:t>
            </w:r>
          </w:p>
        </w:tc>
        <w:tc>
          <w:tcPr>
            <w:tcW w:w="1092" w:type="dxa"/>
            <w:tcBorders>
              <w:top w:val="nil"/>
              <w:left w:val="nil"/>
              <w:bottom w:val="single" w:sz="4" w:space="0" w:color="auto"/>
              <w:right w:val="single" w:sz="4" w:space="0" w:color="auto"/>
            </w:tcBorders>
            <w:shd w:val="clear" w:color="auto" w:fill="auto"/>
            <w:noWrap/>
            <w:vAlign w:val="center"/>
            <w:hideMark/>
          </w:tcPr>
          <w:p w14:paraId="7EAF9ABD" w14:textId="77777777" w:rsidR="00E34764" w:rsidRPr="002B257B" w:rsidRDefault="00E34764" w:rsidP="002B257B">
            <w:pPr>
              <w:pStyle w:val="tabletxt"/>
              <w:jc w:val="right"/>
              <w:rPr>
                <w:color w:val="000000"/>
                <w:szCs w:val="18"/>
              </w:rPr>
            </w:pPr>
            <w:r w:rsidRPr="002B257B">
              <w:rPr>
                <w:color w:val="000000"/>
                <w:szCs w:val="18"/>
              </w:rPr>
              <w:t>258,99%</w:t>
            </w:r>
          </w:p>
        </w:tc>
      </w:tr>
      <w:tr w:rsidR="00E34764" w:rsidRPr="002B257B" w14:paraId="5160A6A8" w14:textId="77777777" w:rsidTr="002B257B">
        <w:trPr>
          <w:trHeight w:val="45"/>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1ED1B9E4" w14:textId="77777777" w:rsidR="00E34764" w:rsidRPr="002B257B" w:rsidRDefault="00E34764" w:rsidP="002B257B">
            <w:pPr>
              <w:pStyle w:val="tabletxt"/>
              <w:rPr>
                <w:color w:val="FFFFFF" w:themeColor="background1"/>
                <w:szCs w:val="18"/>
              </w:rPr>
            </w:pPr>
            <w:r w:rsidRPr="002B257B">
              <w:rPr>
                <w:color w:val="FFFFFF" w:themeColor="background1"/>
                <w:szCs w:val="18"/>
              </w:rPr>
              <w:t>Broj investitora</w:t>
            </w:r>
          </w:p>
        </w:tc>
        <w:tc>
          <w:tcPr>
            <w:tcW w:w="1091" w:type="dxa"/>
            <w:tcBorders>
              <w:top w:val="nil"/>
              <w:left w:val="nil"/>
              <w:bottom w:val="single" w:sz="4" w:space="0" w:color="auto"/>
              <w:right w:val="single" w:sz="4" w:space="0" w:color="auto"/>
            </w:tcBorders>
            <w:shd w:val="clear" w:color="auto" w:fill="auto"/>
            <w:noWrap/>
            <w:vAlign w:val="center"/>
            <w:hideMark/>
          </w:tcPr>
          <w:p w14:paraId="6ED5347F" w14:textId="77777777" w:rsidR="00E34764" w:rsidRPr="002B257B" w:rsidRDefault="00E34764" w:rsidP="002B257B">
            <w:pPr>
              <w:pStyle w:val="tabletxt"/>
              <w:jc w:val="right"/>
              <w:rPr>
                <w:color w:val="000000"/>
                <w:szCs w:val="18"/>
              </w:rPr>
            </w:pPr>
            <w:r w:rsidRPr="002B257B">
              <w:rPr>
                <w:color w:val="000000"/>
                <w:szCs w:val="18"/>
              </w:rPr>
              <w:t>36</w:t>
            </w:r>
          </w:p>
        </w:tc>
        <w:tc>
          <w:tcPr>
            <w:tcW w:w="1092" w:type="dxa"/>
            <w:tcBorders>
              <w:top w:val="nil"/>
              <w:left w:val="nil"/>
              <w:bottom w:val="single" w:sz="4" w:space="0" w:color="auto"/>
              <w:right w:val="single" w:sz="4" w:space="0" w:color="auto"/>
            </w:tcBorders>
            <w:shd w:val="clear" w:color="auto" w:fill="auto"/>
            <w:noWrap/>
            <w:vAlign w:val="center"/>
            <w:hideMark/>
          </w:tcPr>
          <w:p w14:paraId="044BCFB8" w14:textId="77777777" w:rsidR="00E34764" w:rsidRPr="002B257B" w:rsidRDefault="00E34764" w:rsidP="002B257B">
            <w:pPr>
              <w:pStyle w:val="tabletxt"/>
              <w:jc w:val="right"/>
              <w:rPr>
                <w:color w:val="000000"/>
                <w:szCs w:val="18"/>
              </w:rPr>
            </w:pPr>
            <w:r w:rsidRPr="002B257B">
              <w:rPr>
                <w:color w:val="000000"/>
                <w:szCs w:val="18"/>
              </w:rPr>
              <w:t>32</w:t>
            </w:r>
          </w:p>
        </w:tc>
        <w:tc>
          <w:tcPr>
            <w:tcW w:w="1091" w:type="dxa"/>
            <w:tcBorders>
              <w:top w:val="nil"/>
              <w:left w:val="nil"/>
              <w:bottom w:val="single" w:sz="4" w:space="0" w:color="auto"/>
              <w:right w:val="single" w:sz="4" w:space="0" w:color="auto"/>
            </w:tcBorders>
            <w:shd w:val="clear" w:color="auto" w:fill="auto"/>
            <w:noWrap/>
            <w:vAlign w:val="center"/>
            <w:hideMark/>
          </w:tcPr>
          <w:p w14:paraId="6B6C88C1" w14:textId="77777777" w:rsidR="00E34764" w:rsidRPr="002B257B" w:rsidRDefault="00E34764" w:rsidP="002B257B">
            <w:pPr>
              <w:pStyle w:val="tabletxt"/>
              <w:jc w:val="right"/>
              <w:rPr>
                <w:color w:val="000000"/>
                <w:szCs w:val="18"/>
              </w:rPr>
            </w:pPr>
            <w:r w:rsidRPr="002B257B">
              <w:rPr>
                <w:color w:val="000000"/>
                <w:szCs w:val="18"/>
              </w:rPr>
              <w:t>37</w:t>
            </w:r>
          </w:p>
        </w:tc>
        <w:tc>
          <w:tcPr>
            <w:tcW w:w="1092" w:type="dxa"/>
            <w:tcBorders>
              <w:top w:val="nil"/>
              <w:left w:val="nil"/>
              <w:bottom w:val="single" w:sz="4" w:space="0" w:color="auto"/>
              <w:right w:val="single" w:sz="4" w:space="0" w:color="auto"/>
            </w:tcBorders>
            <w:shd w:val="clear" w:color="auto" w:fill="auto"/>
            <w:noWrap/>
            <w:vAlign w:val="center"/>
            <w:hideMark/>
          </w:tcPr>
          <w:p w14:paraId="3DC735D2" w14:textId="77777777" w:rsidR="00E34764" w:rsidRPr="002B257B" w:rsidRDefault="00E34764" w:rsidP="002B257B">
            <w:pPr>
              <w:pStyle w:val="tabletxt"/>
              <w:jc w:val="right"/>
              <w:rPr>
                <w:color w:val="000000"/>
                <w:szCs w:val="18"/>
              </w:rPr>
            </w:pPr>
            <w:r w:rsidRPr="002B257B">
              <w:rPr>
                <w:color w:val="000000"/>
                <w:szCs w:val="18"/>
              </w:rPr>
              <w:t>22</w:t>
            </w:r>
          </w:p>
        </w:tc>
        <w:tc>
          <w:tcPr>
            <w:tcW w:w="1091" w:type="dxa"/>
            <w:tcBorders>
              <w:top w:val="nil"/>
              <w:left w:val="nil"/>
              <w:bottom w:val="single" w:sz="4" w:space="0" w:color="auto"/>
              <w:right w:val="single" w:sz="4" w:space="0" w:color="auto"/>
            </w:tcBorders>
            <w:shd w:val="clear" w:color="auto" w:fill="auto"/>
            <w:noWrap/>
            <w:vAlign w:val="center"/>
            <w:hideMark/>
          </w:tcPr>
          <w:p w14:paraId="1E688DBC" w14:textId="77777777" w:rsidR="00E34764" w:rsidRPr="002B257B" w:rsidRDefault="00E34764" w:rsidP="002B257B">
            <w:pPr>
              <w:pStyle w:val="tabletxt"/>
              <w:jc w:val="right"/>
              <w:rPr>
                <w:color w:val="000000"/>
                <w:szCs w:val="18"/>
              </w:rPr>
            </w:pPr>
            <w:r w:rsidRPr="002B257B">
              <w:rPr>
                <w:color w:val="000000"/>
                <w:szCs w:val="18"/>
              </w:rPr>
              <w:t>24</w:t>
            </w:r>
          </w:p>
        </w:tc>
        <w:tc>
          <w:tcPr>
            <w:tcW w:w="1092" w:type="dxa"/>
            <w:tcBorders>
              <w:top w:val="nil"/>
              <w:left w:val="nil"/>
              <w:bottom w:val="single" w:sz="4" w:space="0" w:color="auto"/>
              <w:right w:val="single" w:sz="4" w:space="0" w:color="auto"/>
            </w:tcBorders>
            <w:shd w:val="clear" w:color="auto" w:fill="auto"/>
            <w:noWrap/>
            <w:vAlign w:val="center"/>
            <w:hideMark/>
          </w:tcPr>
          <w:p w14:paraId="2C1233F9" w14:textId="77777777" w:rsidR="00E34764" w:rsidRPr="002B257B" w:rsidRDefault="00E34764" w:rsidP="002B257B">
            <w:pPr>
              <w:pStyle w:val="tabletxt"/>
              <w:jc w:val="right"/>
              <w:rPr>
                <w:color w:val="000000"/>
                <w:szCs w:val="18"/>
              </w:rPr>
            </w:pPr>
            <w:r w:rsidRPr="002B257B">
              <w:rPr>
                <w:color w:val="000000"/>
                <w:szCs w:val="18"/>
              </w:rPr>
              <w:t>66,67%</w:t>
            </w:r>
          </w:p>
        </w:tc>
      </w:tr>
      <w:tr w:rsidR="00E34764" w:rsidRPr="002B257B" w14:paraId="0556EDEF" w14:textId="77777777" w:rsidTr="002B257B">
        <w:trPr>
          <w:trHeight w:val="45"/>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03E654A6" w14:textId="77777777" w:rsidR="00E34764" w:rsidRPr="002B257B" w:rsidRDefault="00E34764" w:rsidP="002B257B">
            <w:pPr>
              <w:pStyle w:val="tabletxt"/>
              <w:rPr>
                <w:color w:val="FFFFFF" w:themeColor="background1"/>
                <w:szCs w:val="18"/>
              </w:rPr>
            </w:pPr>
            <w:r w:rsidRPr="002B257B">
              <w:rPr>
                <w:color w:val="FFFFFF" w:themeColor="background1"/>
                <w:szCs w:val="18"/>
              </w:rPr>
              <w:t>Broj poduzetnika bez investicija</w:t>
            </w:r>
          </w:p>
        </w:tc>
        <w:tc>
          <w:tcPr>
            <w:tcW w:w="1091" w:type="dxa"/>
            <w:tcBorders>
              <w:top w:val="nil"/>
              <w:left w:val="nil"/>
              <w:bottom w:val="single" w:sz="4" w:space="0" w:color="auto"/>
              <w:right w:val="single" w:sz="4" w:space="0" w:color="auto"/>
            </w:tcBorders>
            <w:shd w:val="clear" w:color="auto" w:fill="auto"/>
            <w:noWrap/>
            <w:vAlign w:val="center"/>
            <w:hideMark/>
          </w:tcPr>
          <w:p w14:paraId="364A2113" w14:textId="77777777" w:rsidR="00E34764" w:rsidRPr="002B257B" w:rsidRDefault="00E34764" w:rsidP="002B257B">
            <w:pPr>
              <w:pStyle w:val="tabletxt"/>
              <w:jc w:val="right"/>
              <w:rPr>
                <w:color w:val="000000"/>
                <w:szCs w:val="18"/>
              </w:rPr>
            </w:pPr>
            <w:r w:rsidRPr="002B257B">
              <w:rPr>
                <w:color w:val="000000"/>
                <w:szCs w:val="18"/>
              </w:rPr>
              <w:t>80</w:t>
            </w:r>
          </w:p>
        </w:tc>
        <w:tc>
          <w:tcPr>
            <w:tcW w:w="1092" w:type="dxa"/>
            <w:tcBorders>
              <w:top w:val="nil"/>
              <w:left w:val="nil"/>
              <w:bottom w:val="single" w:sz="4" w:space="0" w:color="auto"/>
              <w:right w:val="single" w:sz="4" w:space="0" w:color="auto"/>
            </w:tcBorders>
            <w:shd w:val="clear" w:color="auto" w:fill="auto"/>
            <w:noWrap/>
            <w:vAlign w:val="center"/>
            <w:hideMark/>
          </w:tcPr>
          <w:p w14:paraId="54E3954A" w14:textId="77777777" w:rsidR="00E34764" w:rsidRPr="002B257B" w:rsidRDefault="00E34764" w:rsidP="002B257B">
            <w:pPr>
              <w:pStyle w:val="tabletxt"/>
              <w:jc w:val="right"/>
              <w:rPr>
                <w:color w:val="000000"/>
                <w:szCs w:val="18"/>
              </w:rPr>
            </w:pPr>
            <w:r w:rsidRPr="002B257B">
              <w:rPr>
                <w:color w:val="000000"/>
                <w:szCs w:val="18"/>
              </w:rPr>
              <w:t>82</w:t>
            </w:r>
          </w:p>
        </w:tc>
        <w:tc>
          <w:tcPr>
            <w:tcW w:w="1091" w:type="dxa"/>
            <w:tcBorders>
              <w:top w:val="nil"/>
              <w:left w:val="nil"/>
              <w:bottom w:val="single" w:sz="4" w:space="0" w:color="auto"/>
              <w:right w:val="single" w:sz="4" w:space="0" w:color="auto"/>
            </w:tcBorders>
            <w:shd w:val="clear" w:color="auto" w:fill="auto"/>
            <w:noWrap/>
            <w:vAlign w:val="center"/>
            <w:hideMark/>
          </w:tcPr>
          <w:p w14:paraId="39E32B59" w14:textId="77777777" w:rsidR="00E34764" w:rsidRPr="002B257B" w:rsidRDefault="00E34764" w:rsidP="002B257B">
            <w:pPr>
              <w:pStyle w:val="tabletxt"/>
              <w:jc w:val="right"/>
              <w:rPr>
                <w:color w:val="000000"/>
                <w:szCs w:val="18"/>
              </w:rPr>
            </w:pPr>
            <w:r w:rsidRPr="002B257B">
              <w:rPr>
                <w:color w:val="000000"/>
                <w:szCs w:val="18"/>
              </w:rPr>
              <w:t>76</w:t>
            </w:r>
          </w:p>
        </w:tc>
        <w:tc>
          <w:tcPr>
            <w:tcW w:w="1092" w:type="dxa"/>
            <w:tcBorders>
              <w:top w:val="nil"/>
              <w:left w:val="nil"/>
              <w:bottom w:val="single" w:sz="4" w:space="0" w:color="auto"/>
              <w:right w:val="single" w:sz="4" w:space="0" w:color="auto"/>
            </w:tcBorders>
            <w:shd w:val="clear" w:color="auto" w:fill="auto"/>
            <w:noWrap/>
            <w:vAlign w:val="center"/>
            <w:hideMark/>
          </w:tcPr>
          <w:p w14:paraId="5B02CBA6" w14:textId="77777777" w:rsidR="00E34764" w:rsidRPr="002B257B" w:rsidRDefault="00E34764" w:rsidP="002B257B">
            <w:pPr>
              <w:pStyle w:val="tabletxt"/>
              <w:jc w:val="right"/>
              <w:rPr>
                <w:color w:val="000000"/>
                <w:szCs w:val="18"/>
              </w:rPr>
            </w:pPr>
            <w:r w:rsidRPr="002B257B">
              <w:rPr>
                <w:color w:val="000000"/>
                <w:szCs w:val="18"/>
              </w:rPr>
              <w:t>99</w:t>
            </w:r>
          </w:p>
        </w:tc>
        <w:tc>
          <w:tcPr>
            <w:tcW w:w="1091" w:type="dxa"/>
            <w:tcBorders>
              <w:top w:val="nil"/>
              <w:left w:val="nil"/>
              <w:bottom w:val="single" w:sz="4" w:space="0" w:color="auto"/>
              <w:right w:val="single" w:sz="4" w:space="0" w:color="auto"/>
            </w:tcBorders>
            <w:shd w:val="clear" w:color="auto" w:fill="auto"/>
            <w:noWrap/>
            <w:vAlign w:val="center"/>
            <w:hideMark/>
          </w:tcPr>
          <w:p w14:paraId="154B82BD" w14:textId="77777777" w:rsidR="00E34764" w:rsidRPr="002B257B" w:rsidRDefault="00E34764" w:rsidP="002B257B">
            <w:pPr>
              <w:pStyle w:val="tabletxt"/>
              <w:jc w:val="right"/>
              <w:rPr>
                <w:color w:val="000000"/>
                <w:szCs w:val="18"/>
              </w:rPr>
            </w:pPr>
            <w:r w:rsidRPr="002B257B">
              <w:rPr>
                <w:color w:val="000000"/>
                <w:szCs w:val="18"/>
              </w:rPr>
              <w:t>102</w:t>
            </w:r>
          </w:p>
        </w:tc>
        <w:tc>
          <w:tcPr>
            <w:tcW w:w="1092" w:type="dxa"/>
            <w:tcBorders>
              <w:top w:val="nil"/>
              <w:left w:val="nil"/>
              <w:bottom w:val="single" w:sz="4" w:space="0" w:color="auto"/>
              <w:right w:val="single" w:sz="4" w:space="0" w:color="auto"/>
            </w:tcBorders>
            <w:shd w:val="clear" w:color="auto" w:fill="auto"/>
            <w:noWrap/>
            <w:vAlign w:val="center"/>
            <w:hideMark/>
          </w:tcPr>
          <w:p w14:paraId="0CE34190" w14:textId="77777777" w:rsidR="00E34764" w:rsidRPr="002B257B" w:rsidRDefault="00E34764" w:rsidP="002B257B">
            <w:pPr>
              <w:pStyle w:val="tabletxt"/>
              <w:jc w:val="right"/>
              <w:rPr>
                <w:color w:val="000000"/>
                <w:szCs w:val="18"/>
              </w:rPr>
            </w:pPr>
            <w:r w:rsidRPr="002B257B">
              <w:rPr>
                <w:color w:val="000000"/>
                <w:szCs w:val="18"/>
              </w:rPr>
              <w:t>127,50%</w:t>
            </w:r>
          </w:p>
        </w:tc>
      </w:tr>
      <w:tr w:rsidR="00E34764" w:rsidRPr="002B257B" w14:paraId="06397E1D" w14:textId="77777777" w:rsidTr="002B257B">
        <w:trPr>
          <w:trHeight w:val="45"/>
        </w:trPr>
        <w:tc>
          <w:tcPr>
            <w:tcW w:w="2518" w:type="dxa"/>
            <w:tcBorders>
              <w:top w:val="nil"/>
              <w:left w:val="single" w:sz="4" w:space="0" w:color="auto"/>
              <w:bottom w:val="single" w:sz="4" w:space="0" w:color="auto"/>
              <w:right w:val="single" w:sz="4" w:space="0" w:color="auto"/>
            </w:tcBorders>
            <w:shd w:val="clear" w:color="000000" w:fill="39617A"/>
            <w:noWrap/>
            <w:vAlign w:val="center"/>
            <w:hideMark/>
          </w:tcPr>
          <w:p w14:paraId="72F29B46" w14:textId="77777777" w:rsidR="00E34764" w:rsidRPr="002B257B" w:rsidRDefault="00E34764" w:rsidP="002B257B">
            <w:pPr>
              <w:pStyle w:val="tabletxt"/>
              <w:rPr>
                <w:color w:val="FFFFFF" w:themeColor="background1"/>
                <w:szCs w:val="18"/>
              </w:rPr>
            </w:pPr>
            <w:r w:rsidRPr="002B257B">
              <w:rPr>
                <w:color w:val="FFFFFF" w:themeColor="background1"/>
                <w:szCs w:val="18"/>
              </w:rPr>
              <w:t>Investicije u novu dugotrajnu imovinu</w:t>
            </w:r>
          </w:p>
        </w:tc>
        <w:tc>
          <w:tcPr>
            <w:tcW w:w="1091" w:type="dxa"/>
            <w:tcBorders>
              <w:top w:val="nil"/>
              <w:left w:val="nil"/>
              <w:bottom w:val="single" w:sz="4" w:space="0" w:color="auto"/>
              <w:right w:val="single" w:sz="4" w:space="0" w:color="auto"/>
            </w:tcBorders>
            <w:shd w:val="clear" w:color="auto" w:fill="auto"/>
            <w:noWrap/>
            <w:vAlign w:val="center"/>
            <w:hideMark/>
          </w:tcPr>
          <w:p w14:paraId="603BC822" w14:textId="77777777" w:rsidR="00E34764" w:rsidRPr="002B257B" w:rsidRDefault="00E34764" w:rsidP="002B257B">
            <w:pPr>
              <w:pStyle w:val="tabletxt"/>
              <w:jc w:val="right"/>
              <w:rPr>
                <w:color w:val="000000"/>
                <w:szCs w:val="18"/>
              </w:rPr>
            </w:pPr>
            <w:r w:rsidRPr="002B257B">
              <w:rPr>
                <w:color w:val="000000"/>
                <w:szCs w:val="18"/>
              </w:rPr>
              <w:t>12.879</w:t>
            </w:r>
          </w:p>
        </w:tc>
        <w:tc>
          <w:tcPr>
            <w:tcW w:w="1092" w:type="dxa"/>
            <w:tcBorders>
              <w:top w:val="nil"/>
              <w:left w:val="nil"/>
              <w:bottom w:val="single" w:sz="4" w:space="0" w:color="auto"/>
              <w:right w:val="single" w:sz="4" w:space="0" w:color="auto"/>
            </w:tcBorders>
            <w:shd w:val="clear" w:color="auto" w:fill="auto"/>
            <w:noWrap/>
            <w:vAlign w:val="center"/>
            <w:hideMark/>
          </w:tcPr>
          <w:p w14:paraId="7079BC5B" w14:textId="77777777" w:rsidR="00E34764" w:rsidRPr="002B257B" w:rsidRDefault="00E34764" w:rsidP="002B257B">
            <w:pPr>
              <w:pStyle w:val="tabletxt"/>
              <w:jc w:val="right"/>
              <w:rPr>
                <w:color w:val="000000"/>
                <w:szCs w:val="18"/>
              </w:rPr>
            </w:pPr>
            <w:r w:rsidRPr="002B257B">
              <w:rPr>
                <w:color w:val="000000"/>
                <w:szCs w:val="18"/>
              </w:rPr>
              <w:t>8.976</w:t>
            </w:r>
          </w:p>
        </w:tc>
        <w:tc>
          <w:tcPr>
            <w:tcW w:w="1091" w:type="dxa"/>
            <w:tcBorders>
              <w:top w:val="nil"/>
              <w:left w:val="nil"/>
              <w:bottom w:val="single" w:sz="4" w:space="0" w:color="auto"/>
              <w:right w:val="single" w:sz="4" w:space="0" w:color="auto"/>
            </w:tcBorders>
            <w:shd w:val="clear" w:color="auto" w:fill="auto"/>
            <w:noWrap/>
            <w:vAlign w:val="center"/>
            <w:hideMark/>
          </w:tcPr>
          <w:p w14:paraId="093BE081" w14:textId="77777777" w:rsidR="00E34764" w:rsidRPr="002B257B" w:rsidRDefault="00E34764" w:rsidP="002B257B">
            <w:pPr>
              <w:pStyle w:val="tabletxt"/>
              <w:jc w:val="right"/>
              <w:rPr>
                <w:color w:val="000000"/>
                <w:szCs w:val="18"/>
              </w:rPr>
            </w:pPr>
            <w:r w:rsidRPr="002B257B">
              <w:rPr>
                <w:color w:val="000000"/>
                <w:szCs w:val="18"/>
              </w:rPr>
              <w:t>12.755</w:t>
            </w:r>
          </w:p>
        </w:tc>
        <w:tc>
          <w:tcPr>
            <w:tcW w:w="1092" w:type="dxa"/>
            <w:tcBorders>
              <w:top w:val="nil"/>
              <w:left w:val="nil"/>
              <w:bottom w:val="single" w:sz="4" w:space="0" w:color="auto"/>
              <w:right w:val="single" w:sz="4" w:space="0" w:color="auto"/>
            </w:tcBorders>
            <w:shd w:val="clear" w:color="auto" w:fill="auto"/>
            <w:noWrap/>
            <w:vAlign w:val="center"/>
            <w:hideMark/>
          </w:tcPr>
          <w:p w14:paraId="592068A3" w14:textId="77777777" w:rsidR="00E34764" w:rsidRPr="002B257B" w:rsidRDefault="00E34764" w:rsidP="002B257B">
            <w:pPr>
              <w:pStyle w:val="tabletxt"/>
              <w:jc w:val="right"/>
              <w:rPr>
                <w:color w:val="000000"/>
                <w:szCs w:val="18"/>
              </w:rPr>
            </w:pPr>
            <w:r w:rsidRPr="002B257B">
              <w:rPr>
                <w:color w:val="000000"/>
                <w:szCs w:val="18"/>
              </w:rPr>
              <w:t>6.102</w:t>
            </w:r>
          </w:p>
        </w:tc>
        <w:tc>
          <w:tcPr>
            <w:tcW w:w="1091" w:type="dxa"/>
            <w:tcBorders>
              <w:top w:val="nil"/>
              <w:left w:val="nil"/>
              <w:bottom w:val="single" w:sz="4" w:space="0" w:color="auto"/>
              <w:right w:val="single" w:sz="4" w:space="0" w:color="auto"/>
            </w:tcBorders>
            <w:shd w:val="clear" w:color="auto" w:fill="auto"/>
            <w:noWrap/>
            <w:vAlign w:val="center"/>
            <w:hideMark/>
          </w:tcPr>
          <w:p w14:paraId="4B5B22C2" w14:textId="77777777" w:rsidR="00E34764" w:rsidRPr="002B257B" w:rsidRDefault="00E34764" w:rsidP="002B257B">
            <w:pPr>
              <w:pStyle w:val="tabletxt"/>
              <w:jc w:val="right"/>
              <w:rPr>
                <w:color w:val="000000"/>
                <w:szCs w:val="18"/>
              </w:rPr>
            </w:pPr>
            <w:r w:rsidRPr="002B257B">
              <w:rPr>
                <w:color w:val="000000"/>
                <w:szCs w:val="18"/>
              </w:rPr>
              <w:t>10.302</w:t>
            </w:r>
          </w:p>
        </w:tc>
        <w:tc>
          <w:tcPr>
            <w:tcW w:w="1092" w:type="dxa"/>
            <w:tcBorders>
              <w:top w:val="nil"/>
              <w:left w:val="nil"/>
              <w:bottom w:val="single" w:sz="4" w:space="0" w:color="auto"/>
              <w:right w:val="single" w:sz="4" w:space="0" w:color="auto"/>
            </w:tcBorders>
            <w:shd w:val="clear" w:color="auto" w:fill="auto"/>
            <w:noWrap/>
            <w:vAlign w:val="center"/>
            <w:hideMark/>
          </w:tcPr>
          <w:p w14:paraId="02515BC0" w14:textId="77777777" w:rsidR="00E34764" w:rsidRPr="002B257B" w:rsidRDefault="00E34764" w:rsidP="002B257B">
            <w:pPr>
              <w:pStyle w:val="tabletxt"/>
              <w:jc w:val="right"/>
              <w:rPr>
                <w:color w:val="000000"/>
                <w:szCs w:val="18"/>
              </w:rPr>
            </w:pPr>
            <w:r w:rsidRPr="002B257B">
              <w:rPr>
                <w:color w:val="000000"/>
                <w:szCs w:val="18"/>
              </w:rPr>
              <w:t>79,99%</w:t>
            </w:r>
          </w:p>
        </w:tc>
      </w:tr>
    </w:tbl>
    <w:p w14:paraId="66A7DC34" w14:textId="77777777" w:rsidR="00E34764" w:rsidRPr="00FD510D" w:rsidRDefault="00E34764" w:rsidP="00E34764">
      <w:pPr>
        <w:rPr>
          <w:bCs/>
          <w:color w:val="44697D"/>
          <w:sz w:val="18"/>
          <w:szCs w:val="18"/>
        </w:rPr>
      </w:pPr>
      <w:r w:rsidRPr="00FD510D">
        <w:rPr>
          <w:bCs/>
          <w:color w:val="44697D"/>
          <w:sz w:val="18"/>
          <w:szCs w:val="18"/>
        </w:rPr>
        <w:t>Izvor: statistika FINA</w:t>
      </w:r>
    </w:p>
    <w:p w14:paraId="18BEC8F6" w14:textId="3049C690" w:rsidR="008B7334" w:rsidRPr="008B7334" w:rsidRDefault="008B7334" w:rsidP="008B7334">
      <w:r>
        <w:t>Struktura gospodarstva VUPKA je homogena, s očekivanom koncentracijom stručnih djelatnosti u Karlovcu. Tako je n</w:t>
      </w:r>
      <w:r w:rsidR="00E34764" w:rsidRPr="00FD510D">
        <w:t>a području grada Karlovca tokom 2017. godine najveći broj poduzetnika</w:t>
      </w:r>
      <w:r w:rsidR="002B257B">
        <w:t xml:space="preserve"> (58%)</w:t>
      </w:r>
      <w:r w:rsidR="00E34764" w:rsidRPr="00FD510D">
        <w:t xml:space="preserve"> poslovao u sektoru trgovine na veliko i na malo; popravak motornih vozila i motocikala (25,98%) zatim u sektoru stručnih, znanstvenih i tehničkih djelatnosti (16,93%) i u sektoru prerađivačke industrije (15,00%). </w:t>
      </w:r>
      <w:r w:rsidR="002B257B">
        <w:t xml:space="preserve">U Dugoj Resi </w:t>
      </w:r>
      <w:r w:rsidR="009816D3">
        <w:t>i Ozlju situacija je slična te</w:t>
      </w:r>
      <w:r>
        <w:t xml:space="preserve"> dominiraju djelatnosti trgovine, industrije i građevinarstva: </w:t>
      </w:r>
      <w:r w:rsidR="009816D3">
        <w:t>više od polovice</w:t>
      </w:r>
      <w:r w:rsidR="002B257B">
        <w:t xml:space="preserve"> poduzetnika (57%) Duge Rese je tijekom 2017. g. </w:t>
      </w:r>
      <w:r w:rsidR="002B257B" w:rsidRPr="00FD510D">
        <w:t>poslovao u sektoru trgovine (24,71%)</w:t>
      </w:r>
      <w:r w:rsidR="009816D3">
        <w:t>,</w:t>
      </w:r>
      <w:r w:rsidR="002B257B" w:rsidRPr="00FD510D">
        <w:t xml:space="preserve"> zatim u sektoru prerađivačke industrije (19,54%) te u sektoru građevinarstva (12,64%)</w:t>
      </w:r>
      <w:r>
        <w:t>, a n</w:t>
      </w:r>
      <w:r w:rsidRPr="008B7334">
        <w:t xml:space="preserve">a području grada Ozlja </w:t>
      </w:r>
      <w:r>
        <w:t xml:space="preserve">dominira prerađivačka industrija (23,81%), trgovina </w:t>
      </w:r>
      <w:r w:rsidRPr="008B7334">
        <w:t>(22,22%) te gra</w:t>
      </w:r>
      <w:r>
        <w:t>đevinarstvo</w:t>
      </w:r>
      <w:r w:rsidRPr="008B7334">
        <w:t xml:space="preserve"> (18,25%). </w:t>
      </w:r>
      <w:r w:rsidR="00B622E0">
        <w:t xml:space="preserve">Očekivano </w:t>
      </w:r>
      <w:r>
        <w:t xml:space="preserve">najveći broj zaposlenih </w:t>
      </w:r>
      <w:r w:rsidR="00B622E0">
        <w:t xml:space="preserve">u sve tri JLS </w:t>
      </w:r>
      <w:r>
        <w:t>radi u sektoru prerađivačke industrije (56% u Karlovcu, 32% u Dugoj Resi i 39% u Ozlju).</w:t>
      </w:r>
    </w:p>
    <w:p w14:paraId="09DF391F" w14:textId="394746C4" w:rsidR="00E34764" w:rsidRPr="00FD510D" w:rsidRDefault="00E34764" w:rsidP="00E34764">
      <w:pPr>
        <w:rPr>
          <w:rFonts w:cs="Tahoma"/>
          <w:sz w:val="20"/>
        </w:rPr>
      </w:pPr>
      <w:r w:rsidRPr="00FD510D">
        <w:t xml:space="preserve">Najveća prosječna mjesečna plaća </w:t>
      </w:r>
      <w:r w:rsidR="005B6EDE">
        <w:t>je u sva tri grada ostvarena</w:t>
      </w:r>
      <w:r w:rsidRPr="00FD510D">
        <w:t xml:space="preserve"> u sektoru opskrbe vodom; uklanjanje otpadnih voda, gospodarenje otpadom te djelatnostima sanacije okoliša</w:t>
      </w:r>
      <w:r w:rsidR="005B6EDE">
        <w:t xml:space="preserve">, pri čemu </w:t>
      </w:r>
      <w:r w:rsidR="00B622E0">
        <w:t>je iznosila</w:t>
      </w:r>
      <w:r w:rsidRPr="00FD510D">
        <w:t xml:space="preserve"> </w:t>
      </w:r>
      <w:r w:rsidR="005B6EDE">
        <w:t xml:space="preserve">27,8% više od prosjeka u gradu Karlovcu, 24,8% više od prosjeka u gradu Duga Resa te 65.9% više od prosjeka u gradu Ozlju. </w:t>
      </w:r>
    </w:p>
    <w:p w14:paraId="0F1792D0" w14:textId="77777777" w:rsidR="00E8302E" w:rsidRPr="00FD510D" w:rsidRDefault="00E8302E" w:rsidP="008A380E">
      <w:pPr>
        <w:rPr>
          <w:rFonts w:cs="Tahoma"/>
          <w:sz w:val="20"/>
        </w:rPr>
      </w:pPr>
    </w:p>
    <w:p w14:paraId="734F6FA0" w14:textId="75854940" w:rsidR="00576C2E" w:rsidRDefault="008A380E" w:rsidP="00676D8C">
      <w:pPr>
        <w:pStyle w:val="Heading3"/>
      </w:pPr>
      <w:bookmarkStart w:id="58" w:name="_Toc437390583"/>
      <w:r w:rsidRPr="008A380E">
        <w:t>Tržište rada</w:t>
      </w:r>
      <w:bookmarkEnd w:id="58"/>
    </w:p>
    <w:p w14:paraId="3C05C9D9" w14:textId="4781275D" w:rsidR="006F23FA" w:rsidRDefault="006F23FA" w:rsidP="00676D8C">
      <w:r w:rsidRPr="00676D8C">
        <w:t xml:space="preserve">Što se </w:t>
      </w:r>
      <w:r w:rsidR="00676D8C">
        <w:t>tiče tržišta rada, kretanja zaposlenosti i nezaposlenosti</w:t>
      </w:r>
      <w:r w:rsidR="00B622E0">
        <w:t>,</w:t>
      </w:r>
      <w:r w:rsidR="00676D8C">
        <w:t xml:space="preserve"> </w:t>
      </w:r>
      <w:r w:rsidR="00B622E0">
        <w:t>područje</w:t>
      </w:r>
      <w:r w:rsidR="00576C2E">
        <w:t xml:space="preserve"> VUP</w:t>
      </w:r>
      <w:r w:rsidR="00B622E0">
        <w:t>-a</w:t>
      </w:r>
      <w:r w:rsidR="00576C2E">
        <w:t xml:space="preserve"> Karlovac </w:t>
      </w:r>
      <w:r w:rsidR="00B622E0">
        <w:t>prati</w:t>
      </w:r>
      <w:r w:rsidR="00676D8C">
        <w:t xml:space="preserve"> nacionalne trendove. Tako se u razdoblju</w:t>
      </w:r>
      <w:r w:rsidRPr="00676D8C">
        <w:t xml:space="preserve"> od 2008. – 2018. godine </w:t>
      </w:r>
      <w:r w:rsidR="00576C2E">
        <w:t xml:space="preserve">bilježi </w:t>
      </w:r>
      <w:r w:rsidR="00576C2E" w:rsidRPr="00576C2E">
        <w:rPr>
          <w:b/>
        </w:rPr>
        <w:t xml:space="preserve">konstantno nominalno smanjenje </w:t>
      </w:r>
      <w:r w:rsidRPr="00576C2E">
        <w:rPr>
          <w:b/>
        </w:rPr>
        <w:t>broja nezaposlenih osoba</w:t>
      </w:r>
      <w:r w:rsidRPr="00676D8C">
        <w:t xml:space="preserve"> </w:t>
      </w:r>
      <w:r w:rsidR="00576C2E">
        <w:t>koji je sa 6,172 u 2008. pao n</w:t>
      </w:r>
      <w:r w:rsidR="00014FEF">
        <w:t>a 2,051</w:t>
      </w:r>
      <w:r w:rsidR="00B622E0">
        <w:t xml:space="preserve"> osoba u 2018. godini</w:t>
      </w:r>
      <w:r w:rsidR="00014FEF">
        <w:t>, odnosno smanjen je za dvije trećine</w:t>
      </w:r>
      <w:r w:rsidR="00576C2E">
        <w:t xml:space="preserve">.  </w:t>
      </w:r>
    </w:p>
    <w:p w14:paraId="70F887EE" w14:textId="150930D8" w:rsidR="00C13E8C" w:rsidRDefault="00C13E8C" w:rsidP="00C13E8C">
      <w:pPr>
        <w:pStyle w:val="Caption"/>
      </w:pPr>
      <w:r>
        <w:t xml:space="preserve">Grafikon </w:t>
      </w:r>
      <w:r>
        <w:fldChar w:fldCharType="begin"/>
      </w:r>
      <w:r>
        <w:instrText xml:space="preserve"> SEQ Grafikon \* ARABIC </w:instrText>
      </w:r>
      <w:r>
        <w:fldChar w:fldCharType="separate"/>
      </w:r>
      <w:r w:rsidR="001358A9">
        <w:rPr>
          <w:noProof/>
        </w:rPr>
        <w:t>3</w:t>
      </w:r>
      <w:r>
        <w:fldChar w:fldCharType="end"/>
      </w:r>
      <w:r>
        <w:t xml:space="preserve"> Nezaposlenost na području VUPKA, 2008.- 2018.</w:t>
      </w:r>
    </w:p>
    <w:p w14:paraId="717AF4AB" w14:textId="034880C3" w:rsidR="00C13E8C" w:rsidRPr="00C13E8C" w:rsidRDefault="00C13E8C" w:rsidP="00C13E8C">
      <w:r>
        <w:rPr>
          <w:noProof/>
          <w:lang w:val="en-US"/>
        </w:rPr>
        <w:lastRenderedPageBreak/>
        <w:drawing>
          <wp:inline distT="0" distB="0" distL="0" distR="0" wp14:anchorId="0F806EDE" wp14:editId="292A9C5C">
            <wp:extent cx="4572000" cy="2743200"/>
            <wp:effectExtent l="0" t="0" r="25400" b="2540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646C4B9" w14:textId="77777777" w:rsidR="00C13E8C" w:rsidRPr="00FD510D" w:rsidRDefault="00C13E8C" w:rsidP="00C13E8C">
      <w:pPr>
        <w:rPr>
          <w:bCs/>
          <w:color w:val="44697D"/>
          <w:sz w:val="18"/>
          <w:szCs w:val="18"/>
        </w:rPr>
      </w:pPr>
      <w:r w:rsidRPr="00FD510D">
        <w:rPr>
          <w:bCs/>
          <w:color w:val="44697D"/>
          <w:sz w:val="18"/>
          <w:szCs w:val="18"/>
        </w:rPr>
        <w:t>Izvor: statistika HZZO</w:t>
      </w:r>
    </w:p>
    <w:p w14:paraId="0533C3D1" w14:textId="1D9E8287" w:rsidR="009D5F01" w:rsidRPr="00576C2E" w:rsidRDefault="00B622E0" w:rsidP="00576C2E">
      <w:r>
        <w:t>Po</w:t>
      </w:r>
      <w:r w:rsidR="009D5F01" w:rsidRPr="00576C2E">
        <w:t xml:space="preserve"> strukturi nezaposlenosti</w:t>
      </w:r>
      <w:r>
        <w:t>,</w:t>
      </w:r>
      <w:r w:rsidR="009D5F01" w:rsidRPr="00576C2E">
        <w:t xml:space="preserve"> </w:t>
      </w:r>
      <w:r>
        <w:t xml:space="preserve">u ukupnom </w:t>
      </w:r>
      <w:r>
        <w:rPr>
          <w:b/>
        </w:rPr>
        <w:t>broju nezaposlenih</w:t>
      </w:r>
      <w:r w:rsidR="009D5F01" w:rsidRPr="00576C2E">
        <w:rPr>
          <w:b/>
        </w:rPr>
        <w:t xml:space="preserve"> osoba </w:t>
      </w:r>
      <w:r w:rsidRPr="00576C2E">
        <w:rPr>
          <w:b/>
        </w:rPr>
        <w:t xml:space="preserve">u sva tri grada </w:t>
      </w:r>
      <w:r w:rsidR="009D5F01" w:rsidRPr="00576C2E">
        <w:rPr>
          <w:b/>
        </w:rPr>
        <w:t>dominiraju žene.</w:t>
      </w:r>
      <w:r w:rsidR="009D5F01" w:rsidRPr="00576C2E">
        <w:t xml:space="preserve"> Od ukupno 1.546 nezaposlenih osoba u 2018. </w:t>
      </w:r>
      <w:r w:rsidRPr="00576C2E">
        <w:t>G</w:t>
      </w:r>
      <w:r w:rsidR="009D5F01" w:rsidRPr="00576C2E">
        <w:t>odini</w:t>
      </w:r>
      <w:r>
        <w:t>,</w:t>
      </w:r>
      <w:r w:rsidR="009D5F01" w:rsidRPr="00576C2E">
        <w:t xml:space="preserve"> u gradu Karlovcu</w:t>
      </w:r>
      <w:r w:rsidR="00576C2E">
        <w:t xml:space="preserve"> njih 877 (56,74%) bile su žene, što u </w:t>
      </w:r>
      <w:r w:rsidR="009D5F01" w:rsidRPr="00576C2E">
        <w:t>apsolutnom smislu iznosi 208 nezaposlenih žena više nego muškaraca odnosno 31%. Što se grada Duge Rese tiče</w:t>
      </w:r>
      <w:r>
        <w:t>,</w:t>
      </w:r>
      <w:r w:rsidR="009D5F01" w:rsidRPr="00576C2E">
        <w:t xml:space="preserve"> u 2018. godini ukupno je bilo 376 </w:t>
      </w:r>
      <w:r w:rsidRPr="00576C2E">
        <w:t>nezaposlen</w:t>
      </w:r>
      <w:r>
        <w:t>ih</w:t>
      </w:r>
      <w:r w:rsidRPr="00576C2E">
        <w:t xml:space="preserve"> </w:t>
      </w:r>
      <w:r w:rsidR="009D5F01" w:rsidRPr="00576C2E">
        <w:t>osoba</w:t>
      </w:r>
      <w:r>
        <w:t>,</w:t>
      </w:r>
      <w:r w:rsidR="009D5F01" w:rsidRPr="00576C2E">
        <w:t xml:space="preserve"> od</w:t>
      </w:r>
      <w:r w:rsidR="00576C2E">
        <w:t xml:space="preserve"> čega su 253 (67,27%) bile žene, a u </w:t>
      </w:r>
      <w:r w:rsidR="009D5F01" w:rsidRPr="00576C2E">
        <w:t xml:space="preserve">gradu Ozlju </w:t>
      </w:r>
      <w:r w:rsidR="00576C2E">
        <w:t>je od</w:t>
      </w:r>
      <w:r w:rsidR="009D5F01" w:rsidRPr="00576C2E">
        <w:t xml:space="preserve"> ukupno 130 nezaposlenih osoba u 2018. godini </w:t>
      </w:r>
      <w:r>
        <w:t>bilo</w:t>
      </w:r>
      <w:r w:rsidR="009D5F01" w:rsidRPr="00576C2E">
        <w:t xml:space="preserve"> 91 (69,77%) </w:t>
      </w:r>
      <w:r w:rsidR="00576C2E">
        <w:t>žena.</w:t>
      </w:r>
    </w:p>
    <w:p w14:paraId="131BD007" w14:textId="170A2338" w:rsidR="000D5C8D" w:rsidRDefault="00E34764" w:rsidP="00E34764">
      <w:r w:rsidRPr="006F43EE">
        <w:t xml:space="preserve">U </w:t>
      </w:r>
      <w:r w:rsidR="00B622E0">
        <w:t>razdoblju</w:t>
      </w:r>
      <w:r w:rsidRPr="006F43EE">
        <w:t xml:space="preserve"> od 2009. – 2014. </w:t>
      </w:r>
      <w:r w:rsidR="006F43EE">
        <w:t>godine, usl</w:t>
      </w:r>
      <w:r w:rsidR="00192EA4">
        <w:t>i</w:t>
      </w:r>
      <w:r w:rsidR="006F43EE">
        <w:t xml:space="preserve">jed ekonomske recesije </w:t>
      </w:r>
      <w:r w:rsidR="009333C4">
        <w:t>hrvatskog gospodarstva, opada</w:t>
      </w:r>
      <w:r w:rsidRPr="006F43EE">
        <w:t xml:space="preserve"> broj zaposlenih osoba u pravnim subjektima</w:t>
      </w:r>
      <w:r w:rsidR="009333C4">
        <w:t>. N</w:t>
      </w:r>
      <w:r w:rsidR="00B622E0">
        <w:t>a području grada Duge Rese</w:t>
      </w:r>
      <w:r w:rsidRPr="006F43EE">
        <w:t xml:space="preserve"> </w:t>
      </w:r>
      <w:r w:rsidR="009333C4">
        <w:t xml:space="preserve">do 2014. broj zaposlenih se </w:t>
      </w:r>
      <w:r w:rsidRPr="006F43EE">
        <w:t>smanjio za 74 (4,09%)</w:t>
      </w:r>
      <w:r w:rsidR="009333C4">
        <w:t>, a u</w:t>
      </w:r>
      <w:r w:rsidRPr="006F43EE">
        <w:t xml:space="preserve"> gradu Karlovcu trend </w:t>
      </w:r>
      <w:r w:rsidR="009333C4">
        <w:t>je trajao</w:t>
      </w:r>
      <w:r w:rsidRPr="006F43EE">
        <w:t xml:space="preserve"> godinu dana duže te je do 2015. godine broj zaposlenih pao za 1.579 (8,82%). </w:t>
      </w:r>
      <w:r w:rsidR="009333C4">
        <w:t>U gradu Ozlju trend je bio izraženiji, ali kraći</w:t>
      </w:r>
      <w:r w:rsidR="00B622E0">
        <w:t>,</w:t>
      </w:r>
      <w:r w:rsidR="009333C4">
        <w:t xml:space="preserve"> pa je tako u razdoblju od 2010. do</w:t>
      </w:r>
      <w:r w:rsidRPr="006F43EE">
        <w:t xml:space="preserve"> 2013. godine </w:t>
      </w:r>
      <w:r w:rsidR="009333C4">
        <w:t>bilo zabilježeno</w:t>
      </w:r>
      <w:r w:rsidRPr="006F43EE">
        <w:t xml:space="preserve"> 375</w:t>
      </w:r>
      <w:r w:rsidR="009333C4">
        <w:t xml:space="preserve"> </w:t>
      </w:r>
      <w:r w:rsidR="00B622E0">
        <w:t xml:space="preserve">zaposlenih </w:t>
      </w:r>
      <w:r w:rsidR="009333C4">
        <w:t xml:space="preserve">manje, </w:t>
      </w:r>
      <w:r w:rsidR="00B622E0">
        <w:t>što je</w:t>
      </w:r>
      <w:r w:rsidR="009333C4">
        <w:t xml:space="preserve"> pad od </w:t>
      </w:r>
      <w:r w:rsidRPr="006F43EE">
        <w:t xml:space="preserve">28,74%. </w:t>
      </w:r>
      <w:r w:rsidR="009333C4">
        <w:t xml:space="preserve">U narednim godinama trend se preokrenuo, no zamjećuje se da </w:t>
      </w:r>
      <w:r w:rsidR="004A1843">
        <w:t>zaposlenost niti</w:t>
      </w:r>
      <w:r w:rsidRPr="006F43EE">
        <w:t xml:space="preserve"> do 2017. godine </w:t>
      </w:r>
      <w:r w:rsidR="004A1843">
        <w:t xml:space="preserve">nije dostigla razinu iz 2009., što se može </w:t>
      </w:r>
      <w:r w:rsidRPr="006F43EE">
        <w:t xml:space="preserve">pripisati migracijama odnosno </w:t>
      </w:r>
      <w:r w:rsidR="00B622E0">
        <w:t xml:space="preserve">općenitom </w:t>
      </w:r>
      <w:r w:rsidRPr="006F43EE">
        <w:t xml:space="preserve">smanjenju broja stanovnika u gradu. </w:t>
      </w:r>
      <w:r w:rsidR="003D2D8B">
        <w:t>Ukupan broj zaposlenih na području VUPKA krajem 2017. g</w:t>
      </w:r>
      <w:r w:rsidR="00B622E0">
        <w:t>odine</w:t>
      </w:r>
      <w:r w:rsidR="003D2D8B">
        <w:t xml:space="preserve"> </w:t>
      </w:r>
      <w:r w:rsidR="0077403B">
        <w:t>iznosi</w:t>
      </w:r>
      <w:r w:rsidR="00B622E0">
        <w:t>o je 20.082 osobe</w:t>
      </w:r>
      <w:r w:rsidR="003D2D8B">
        <w:t>.</w:t>
      </w:r>
    </w:p>
    <w:p w14:paraId="2D085245" w14:textId="154AB1E7" w:rsidR="000D5C8D" w:rsidRDefault="00F513A8" w:rsidP="00F513A8">
      <w:pPr>
        <w:pStyle w:val="Caption"/>
      </w:pPr>
      <w:r>
        <w:t xml:space="preserve">Grafikon </w:t>
      </w:r>
      <w:r>
        <w:fldChar w:fldCharType="begin"/>
      </w:r>
      <w:r>
        <w:instrText xml:space="preserve"> SEQ Grafikon \* ARABIC </w:instrText>
      </w:r>
      <w:r>
        <w:fldChar w:fldCharType="separate"/>
      </w:r>
      <w:r w:rsidR="001358A9">
        <w:rPr>
          <w:noProof/>
        </w:rPr>
        <w:t>4</w:t>
      </w:r>
      <w:r>
        <w:fldChar w:fldCharType="end"/>
      </w:r>
      <w:r>
        <w:t xml:space="preserve"> Zaposlenost na području VUPKA, 2008. -2017.</w:t>
      </w:r>
    </w:p>
    <w:p w14:paraId="68F18A12" w14:textId="2B95455C" w:rsidR="00F513A8" w:rsidRPr="00F513A8" w:rsidRDefault="00F513A8" w:rsidP="00F513A8">
      <w:r>
        <w:rPr>
          <w:noProof/>
          <w:lang w:val="en-US"/>
        </w:rPr>
        <w:drawing>
          <wp:inline distT="0" distB="0" distL="0" distR="0" wp14:anchorId="1892B457" wp14:editId="62BD3FF9">
            <wp:extent cx="4572000" cy="2743200"/>
            <wp:effectExtent l="0" t="0" r="25400" b="2540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2086229" w14:textId="77777777" w:rsidR="00F513A8" w:rsidRPr="00FD510D" w:rsidRDefault="00F513A8" w:rsidP="00F513A8">
      <w:pPr>
        <w:rPr>
          <w:bCs/>
          <w:color w:val="44697D"/>
          <w:sz w:val="18"/>
          <w:szCs w:val="18"/>
        </w:rPr>
      </w:pPr>
      <w:r w:rsidRPr="00FD510D">
        <w:rPr>
          <w:bCs/>
          <w:color w:val="44697D"/>
          <w:sz w:val="18"/>
          <w:szCs w:val="18"/>
        </w:rPr>
        <w:t>Izvor: statistika HZZO</w:t>
      </w:r>
    </w:p>
    <w:p w14:paraId="3452A81E" w14:textId="77777777" w:rsidR="00F513A8" w:rsidRDefault="00F513A8" w:rsidP="004A1843"/>
    <w:p w14:paraId="57779EFC" w14:textId="7F591764" w:rsidR="00E34764" w:rsidRDefault="00E34764" w:rsidP="004A1843">
      <w:r w:rsidRPr="004A1843">
        <w:lastRenderedPageBreak/>
        <w:t xml:space="preserve">Što se tiče broja zaposlenih žena, u </w:t>
      </w:r>
      <w:r w:rsidR="00B622E0">
        <w:t>razdoblju</w:t>
      </w:r>
      <w:r w:rsidRPr="004A1843">
        <w:t xml:space="preserve"> od 2009. – 2017. godine generalno je zabilježen isti trend osim u gradu Ozlju. Br</w:t>
      </w:r>
      <w:r w:rsidR="00B622E0">
        <w:t>oja zaposlenih žena u gradu Dugoj Resi</w:t>
      </w:r>
      <w:r w:rsidRPr="004A1843">
        <w:t xml:space="preserve"> smanjio se sa 807 na 772. U gradu Karlovcu nominalno smanjenje broja zaposlenih žena iznosilo je 277. Grad Ozalj bilježi pozitivnu tendenciju kod broja zaposlenih žena odnosno u </w:t>
      </w:r>
      <w:r w:rsidR="00B622E0">
        <w:t>razdoblju</w:t>
      </w:r>
      <w:r w:rsidRPr="004A1843">
        <w:t xml:space="preserve"> od 2009. – 2017. godine broj zaposlenih žena se povećao sa 473 na 482. </w:t>
      </w:r>
    </w:p>
    <w:p w14:paraId="6F6B5C8C" w14:textId="77777777" w:rsidR="002233FF" w:rsidRPr="004A1843" w:rsidRDefault="002233FF" w:rsidP="004A1843"/>
    <w:p w14:paraId="076B2659" w14:textId="77777777" w:rsidR="000D5C8D" w:rsidRDefault="000D5C8D" w:rsidP="000D5C8D">
      <w:pPr>
        <w:pStyle w:val="Heading3"/>
      </w:pPr>
      <w:bookmarkStart w:id="59" w:name="_Toc437390584"/>
      <w:r>
        <w:t>Poduzetnička potporna infrastruktura</w:t>
      </w:r>
      <w:bookmarkEnd w:id="59"/>
    </w:p>
    <w:p w14:paraId="17A7A313" w14:textId="77777777" w:rsidR="000D5C8D" w:rsidRPr="000D5C8D" w:rsidRDefault="000D5C8D" w:rsidP="000D5C8D">
      <w:r w:rsidRPr="000D5C8D">
        <w:t>Na razini Karlovačke županije postoje značajni kapaciteti koji se odnose na infrastrukturu poslovne potpore. U nastavku se nalazi tablica s popisom poduzetničkih potpornih institucija.</w:t>
      </w:r>
    </w:p>
    <w:p w14:paraId="1527CDF2" w14:textId="18A66436" w:rsidR="000D5C8D" w:rsidRPr="00FD510D" w:rsidRDefault="000D5C8D" w:rsidP="000D5C8D">
      <w:pPr>
        <w:pStyle w:val="Caption"/>
        <w:rPr>
          <w:rFonts w:cs="Tahoma"/>
          <w:sz w:val="20"/>
        </w:rPr>
      </w:pPr>
      <w:bookmarkStart w:id="60" w:name="_Toc420581465"/>
      <w:bookmarkStart w:id="61" w:name="_Toc437387500"/>
      <w:r w:rsidRPr="00FD510D">
        <w:t xml:space="preserve">Tablica </w:t>
      </w:r>
      <w:r>
        <w:fldChar w:fldCharType="begin"/>
      </w:r>
      <w:r>
        <w:instrText xml:space="preserve"> SEQ Tablica \* ARABIC </w:instrText>
      </w:r>
      <w:r>
        <w:fldChar w:fldCharType="separate"/>
      </w:r>
      <w:r w:rsidR="001358A9">
        <w:rPr>
          <w:noProof/>
        </w:rPr>
        <w:t>27</w:t>
      </w:r>
      <w:r>
        <w:rPr>
          <w:noProof/>
        </w:rPr>
        <w:fldChar w:fldCharType="end"/>
      </w:r>
      <w:r w:rsidRPr="00FD510D">
        <w:t>. Poduzetnička infrastruk</w:t>
      </w:r>
      <w:r w:rsidR="00192EA4">
        <w:t>t</w:t>
      </w:r>
      <w:r w:rsidRPr="00FD510D">
        <w:t>ura i potporne institucije na području Karlovačke županije</w:t>
      </w:r>
      <w:bookmarkEnd w:id="60"/>
      <w:bookmarkEnd w:id="61"/>
    </w:p>
    <w:tbl>
      <w:tblPr>
        <w:tblStyle w:val="TableGrid"/>
        <w:tblW w:w="0" w:type="auto"/>
        <w:tblLook w:val="04A0" w:firstRow="1" w:lastRow="0" w:firstColumn="1" w:lastColumn="0" w:noHBand="0" w:noVBand="1"/>
      </w:tblPr>
      <w:tblGrid>
        <w:gridCol w:w="2547"/>
        <w:gridCol w:w="3685"/>
        <w:gridCol w:w="1789"/>
        <w:gridCol w:w="1064"/>
      </w:tblGrid>
      <w:tr w:rsidR="000D5C8D" w:rsidRPr="00FD510D" w14:paraId="73E7EB9C" w14:textId="77777777" w:rsidTr="000D5C8D">
        <w:trPr>
          <w:tblHeader/>
        </w:trPr>
        <w:tc>
          <w:tcPr>
            <w:tcW w:w="2547" w:type="dxa"/>
            <w:shd w:val="clear" w:color="auto" w:fill="39617A"/>
            <w:vAlign w:val="center"/>
          </w:tcPr>
          <w:p w14:paraId="33147FAD" w14:textId="77777777" w:rsidR="000D5C8D" w:rsidRPr="00FD510D" w:rsidRDefault="000D5C8D" w:rsidP="000D5C8D">
            <w:pPr>
              <w:jc w:val="center"/>
              <w:rPr>
                <w:rFonts w:eastAsia="Times New Roman" w:cs="Tahoma"/>
                <w:color w:val="FFFFFF"/>
                <w:sz w:val="18"/>
                <w:szCs w:val="18"/>
              </w:rPr>
            </w:pPr>
            <w:r w:rsidRPr="00FD510D">
              <w:rPr>
                <w:rFonts w:eastAsia="Times New Roman" w:cs="Tahoma"/>
                <w:color w:val="FFFFFF"/>
                <w:sz w:val="18"/>
                <w:szCs w:val="18"/>
              </w:rPr>
              <w:t>OSNIVAČ</w:t>
            </w:r>
          </w:p>
        </w:tc>
        <w:tc>
          <w:tcPr>
            <w:tcW w:w="3685" w:type="dxa"/>
            <w:shd w:val="clear" w:color="auto" w:fill="39617A"/>
            <w:vAlign w:val="center"/>
          </w:tcPr>
          <w:p w14:paraId="3472E39E" w14:textId="77777777" w:rsidR="000D5C8D" w:rsidRPr="00FD510D" w:rsidRDefault="000D5C8D" w:rsidP="000D5C8D">
            <w:pPr>
              <w:jc w:val="center"/>
              <w:rPr>
                <w:rFonts w:eastAsia="Times New Roman" w:cs="Tahoma"/>
                <w:color w:val="FFFFFF"/>
                <w:sz w:val="18"/>
                <w:szCs w:val="18"/>
              </w:rPr>
            </w:pPr>
            <w:r w:rsidRPr="00FD510D">
              <w:rPr>
                <w:rFonts w:eastAsia="Times New Roman" w:cs="Tahoma"/>
                <w:color w:val="FFFFFF"/>
                <w:sz w:val="18"/>
                <w:szCs w:val="18"/>
              </w:rPr>
              <w:t>NAZIV</w:t>
            </w:r>
          </w:p>
        </w:tc>
        <w:tc>
          <w:tcPr>
            <w:tcW w:w="1789" w:type="dxa"/>
            <w:shd w:val="clear" w:color="auto" w:fill="39617A"/>
            <w:vAlign w:val="center"/>
          </w:tcPr>
          <w:p w14:paraId="36930116" w14:textId="77777777" w:rsidR="000D5C8D" w:rsidRPr="00FD510D" w:rsidRDefault="000D5C8D" w:rsidP="000D5C8D">
            <w:pPr>
              <w:jc w:val="center"/>
              <w:rPr>
                <w:rFonts w:eastAsia="Times New Roman" w:cs="Tahoma"/>
                <w:color w:val="FFFFFF"/>
                <w:sz w:val="18"/>
                <w:szCs w:val="18"/>
              </w:rPr>
            </w:pPr>
            <w:r w:rsidRPr="00FD510D">
              <w:rPr>
                <w:rFonts w:eastAsia="Times New Roman" w:cs="Tahoma"/>
                <w:color w:val="FFFFFF"/>
                <w:sz w:val="18"/>
                <w:szCs w:val="18"/>
              </w:rPr>
              <w:t>TIP</w:t>
            </w:r>
          </w:p>
        </w:tc>
        <w:tc>
          <w:tcPr>
            <w:tcW w:w="1046" w:type="dxa"/>
            <w:shd w:val="clear" w:color="auto" w:fill="39617A"/>
            <w:vAlign w:val="center"/>
          </w:tcPr>
          <w:p w14:paraId="409D76EB" w14:textId="77777777" w:rsidR="000D5C8D" w:rsidRPr="00FD510D" w:rsidRDefault="000D5C8D" w:rsidP="000D5C8D">
            <w:pPr>
              <w:jc w:val="center"/>
              <w:rPr>
                <w:rFonts w:eastAsia="Times New Roman" w:cs="Tahoma"/>
                <w:color w:val="FFFFFF"/>
                <w:sz w:val="18"/>
                <w:szCs w:val="18"/>
              </w:rPr>
            </w:pPr>
            <w:r w:rsidRPr="00FD510D">
              <w:rPr>
                <w:rFonts w:eastAsia="Times New Roman" w:cs="Tahoma"/>
                <w:color w:val="FFFFFF"/>
                <w:sz w:val="18"/>
                <w:szCs w:val="18"/>
              </w:rPr>
              <w:t>GODINA OSNIVANJA</w:t>
            </w:r>
          </w:p>
        </w:tc>
      </w:tr>
      <w:tr w:rsidR="000D5C8D" w:rsidRPr="00FD510D" w14:paraId="3EE5E6A3" w14:textId="77777777" w:rsidTr="000D5C8D">
        <w:tc>
          <w:tcPr>
            <w:tcW w:w="2547" w:type="dxa"/>
            <w:shd w:val="clear" w:color="auto" w:fill="D9D9D9" w:themeFill="background1" w:themeFillShade="D9"/>
          </w:tcPr>
          <w:p w14:paraId="2346C280"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Grad Duga Resa</w:t>
            </w:r>
          </w:p>
        </w:tc>
        <w:tc>
          <w:tcPr>
            <w:tcW w:w="3685" w:type="dxa"/>
            <w:shd w:val="clear" w:color="auto" w:fill="D9D9D9" w:themeFill="background1" w:themeFillShade="D9"/>
          </w:tcPr>
          <w:p w14:paraId="6CA061AB"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 Šeketino Brdo</w:t>
            </w:r>
          </w:p>
        </w:tc>
        <w:tc>
          <w:tcPr>
            <w:tcW w:w="1789" w:type="dxa"/>
            <w:shd w:val="clear" w:color="auto" w:fill="D9D9D9" w:themeFill="background1" w:themeFillShade="D9"/>
          </w:tcPr>
          <w:p w14:paraId="5FCFCDA9"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shd w:val="clear" w:color="auto" w:fill="D9D9D9" w:themeFill="background1" w:themeFillShade="D9"/>
          </w:tcPr>
          <w:p w14:paraId="4211C601"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2007.</w:t>
            </w:r>
          </w:p>
        </w:tc>
      </w:tr>
      <w:tr w:rsidR="000D5C8D" w:rsidRPr="00FD510D" w14:paraId="7E274597" w14:textId="77777777" w:rsidTr="000D5C8D">
        <w:tc>
          <w:tcPr>
            <w:tcW w:w="2547" w:type="dxa"/>
            <w:shd w:val="clear" w:color="auto" w:fill="D9D9D9" w:themeFill="background1" w:themeFillShade="D9"/>
          </w:tcPr>
          <w:p w14:paraId="14CDBFA1"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Grad Duga Resa</w:t>
            </w:r>
          </w:p>
        </w:tc>
        <w:tc>
          <w:tcPr>
            <w:tcW w:w="3685" w:type="dxa"/>
            <w:shd w:val="clear" w:color="auto" w:fill="D9D9D9" w:themeFill="background1" w:themeFillShade="D9"/>
          </w:tcPr>
          <w:p w14:paraId="343D30BF"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 Gornje Mrzlo Polje Mrežničko</w:t>
            </w:r>
          </w:p>
        </w:tc>
        <w:tc>
          <w:tcPr>
            <w:tcW w:w="1789" w:type="dxa"/>
            <w:shd w:val="clear" w:color="auto" w:fill="D9D9D9" w:themeFill="background1" w:themeFillShade="D9"/>
          </w:tcPr>
          <w:p w14:paraId="2A83DE23"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shd w:val="clear" w:color="auto" w:fill="D9D9D9" w:themeFill="background1" w:themeFillShade="D9"/>
          </w:tcPr>
          <w:p w14:paraId="1FEDBAE2"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2007.</w:t>
            </w:r>
          </w:p>
        </w:tc>
      </w:tr>
      <w:tr w:rsidR="000D5C8D" w:rsidRPr="00FD510D" w14:paraId="0DAB3C9F" w14:textId="77777777" w:rsidTr="000D5C8D">
        <w:tc>
          <w:tcPr>
            <w:tcW w:w="2547" w:type="dxa"/>
            <w:shd w:val="clear" w:color="auto" w:fill="D9D9D9" w:themeFill="background1" w:themeFillShade="D9"/>
          </w:tcPr>
          <w:p w14:paraId="43A5BBB9"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Grad Karlovac</w:t>
            </w:r>
          </w:p>
        </w:tc>
        <w:tc>
          <w:tcPr>
            <w:tcW w:w="3685" w:type="dxa"/>
            <w:shd w:val="clear" w:color="auto" w:fill="D9D9D9" w:themeFill="background1" w:themeFillShade="D9"/>
          </w:tcPr>
          <w:p w14:paraId="481F8A70"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 Mrzlo Polje</w:t>
            </w:r>
          </w:p>
        </w:tc>
        <w:tc>
          <w:tcPr>
            <w:tcW w:w="1789" w:type="dxa"/>
            <w:shd w:val="clear" w:color="auto" w:fill="D9D9D9" w:themeFill="background1" w:themeFillShade="D9"/>
          </w:tcPr>
          <w:p w14:paraId="7D0EC98B"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shd w:val="clear" w:color="auto" w:fill="D9D9D9" w:themeFill="background1" w:themeFillShade="D9"/>
          </w:tcPr>
          <w:p w14:paraId="3B56D80D"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2016.</w:t>
            </w:r>
          </w:p>
        </w:tc>
      </w:tr>
      <w:tr w:rsidR="000D5C8D" w:rsidRPr="00FD510D" w14:paraId="6912E41F" w14:textId="77777777" w:rsidTr="000D5C8D">
        <w:tc>
          <w:tcPr>
            <w:tcW w:w="2547" w:type="dxa"/>
            <w:shd w:val="clear" w:color="auto" w:fill="D9D9D9" w:themeFill="background1" w:themeFillShade="D9"/>
          </w:tcPr>
          <w:p w14:paraId="7D4167B1"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Grad Karlovac</w:t>
            </w:r>
          </w:p>
        </w:tc>
        <w:tc>
          <w:tcPr>
            <w:tcW w:w="3685" w:type="dxa"/>
            <w:shd w:val="clear" w:color="auto" w:fill="D9D9D9" w:themeFill="background1" w:themeFillShade="D9"/>
          </w:tcPr>
          <w:p w14:paraId="5133D986"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 Mala Švarča</w:t>
            </w:r>
          </w:p>
        </w:tc>
        <w:tc>
          <w:tcPr>
            <w:tcW w:w="1789" w:type="dxa"/>
            <w:shd w:val="clear" w:color="auto" w:fill="D9D9D9" w:themeFill="background1" w:themeFillShade="D9"/>
          </w:tcPr>
          <w:p w14:paraId="4D2CDCFE"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shd w:val="clear" w:color="auto" w:fill="D9D9D9" w:themeFill="background1" w:themeFillShade="D9"/>
          </w:tcPr>
          <w:p w14:paraId="4D26EB04"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2016.</w:t>
            </w:r>
          </w:p>
        </w:tc>
      </w:tr>
      <w:tr w:rsidR="000D5C8D" w:rsidRPr="00FD510D" w14:paraId="3F43EC2C" w14:textId="77777777" w:rsidTr="000D5C8D">
        <w:tc>
          <w:tcPr>
            <w:tcW w:w="2547" w:type="dxa"/>
            <w:shd w:val="clear" w:color="auto" w:fill="D9D9D9" w:themeFill="background1" w:themeFillShade="D9"/>
          </w:tcPr>
          <w:p w14:paraId="14C67A24"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Grad Karlovac</w:t>
            </w:r>
          </w:p>
        </w:tc>
        <w:tc>
          <w:tcPr>
            <w:tcW w:w="3685" w:type="dxa"/>
            <w:shd w:val="clear" w:color="auto" w:fill="D9D9D9" w:themeFill="background1" w:themeFillShade="D9"/>
          </w:tcPr>
          <w:p w14:paraId="1D487ABE"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 "Gornje Mekušje"</w:t>
            </w:r>
          </w:p>
        </w:tc>
        <w:tc>
          <w:tcPr>
            <w:tcW w:w="1789" w:type="dxa"/>
            <w:shd w:val="clear" w:color="auto" w:fill="D9D9D9" w:themeFill="background1" w:themeFillShade="D9"/>
          </w:tcPr>
          <w:p w14:paraId="00997F54"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shd w:val="clear" w:color="auto" w:fill="D9D9D9" w:themeFill="background1" w:themeFillShade="D9"/>
          </w:tcPr>
          <w:p w14:paraId="1BB664C0"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2007.</w:t>
            </w:r>
          </w:p>
        </w:tc>
      </w:tr>
      <w:tr w:rsidR="000D5C8D" w:rsidRPr="00FD510D" w14:paraId="7954C74D" w14:textId="77777777" w:rsidTr="000D5C8D">
        <w:tc>
          <w:tcPr>
            <w:tcW w:w="2547" w:type="dxa"/>
          </w:tcPr>
          <w:p w14:paraId="2BC831D5"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Grad Ogulin</w:t>
            </w:r>
          </w:p>
        </w:tc>
        <w:tc>
          <w:tcPr>
            <w:tcW w:w="3685" w:type="dxa"/>
          </w:tcPr>
          <w:p w14:paraId="3A2C9272"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 Ogulin</w:t>
            </w:r>
          </w:p>
        </w:tc>
        <w:tc>
          <w:tcPr>
            <w:tcW w:w="1789" w:type="dxa"/>
          </w:tcPr>
          <w:p w14:paraId="5AFADFA0"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tcPr>
          <w:p w14:paraId="6561F083"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2002.</w:t>
            </w:r>
          </w:p>
        </w:tc>
      </w:tr>
      <w:tr w:rsidR="000D5C8D" w:rsidRPr="00FD510D" w14:paraId="0C994B72" w14:textId="77777777" w:rsidTr="000D5C8D">
        <w:tc>
          <w:tcPr>
            <w:tcW w:w="2547" w:type="dxa"/>
            <w:shd w:val="clear" w:color="auto" w:fill="D9D9D9" w:themeFill="background1" w:themeFillShade="D9"/>
          </w:tcPr>
          <w:p w14:paraId="446EBC86"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Grad Ozalj</w:t>
            </w:r>
          </w:p>
        </w:tc>
        <w:tc>
          <w:tcPr>
            <w:tcW w:w="3685" w:type="dxa"/>
            <w:shd w:val="clear" w:color="auto" w:fill="D9D9D9" w:themeFill="background1" w:themeFillShade="D9"/>
          </w:tcPr>
          <w:p w14:paraId="67433BB7"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 Lug</w:t>
            </w:r>
          </w:p>
        </w:tc>
        <w:tc>
          <w:tcPr>
            <w:tcW w:w="1789" w:type="dxa"/>
            <w:shd w:val="clear" w:color="auto" w:fill="D9D9D9" w:themeFill="background1" w:themeFillShade="D9"/>
          </w:tcPr>
          <w:p w14:paraId="1956CFEC"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shd w:val="clear" w:color="auto" w:fill="D9D9D9" w:themeFill="background1" w:themeFillShade="D9"/>
          </w:tcPr>
          <w:p w14:paraId="32734E8D"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2002.</w:t>
            </w:r>
          </w:p>
        </w:tc>
      </w:tr>
      <w:tr w:rsidR="000D5C8D" w:rsidRPr="00FD510D" w14:paraId="6E4AFAC3" w14:textId="77777777" w:rsidTr="000D5C8D">
        <w:tc>
          <w:tcPr>
            <w:tcW w:w="2547" w:type="dxa"/>
          </w:tcPr>
          <w:p w14:paraId="6FF00E2E"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Grad Slunj</w:t>
            </w:r>
          </w:p>
        </w:tc>
        <w:tc>
          <w:tcPr>
            <w:tcW w:w="3685" w:type="dxa"/>
          </w:tcPr>
          <w:p w14:paraId="675CFCA2"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Industrijska zona Gornje Taborište</w:t>
            </w:r>
          </w:p>
        </w:tc>
        <w:tc>
          <w:tcPr>
            <w:tcW w:w="1789" w:type="dxa"/>
          </w:tcPr>
          <w:p w14:paraId="7554D1DA"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tcPr>
          <w:p w14:paraId="520393D4"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1962.</w:t>
            </w:r>
          </w:p>
        </w:tc>
      </w:tr>
      <w:tr w:rsidR="000D5C8D" w:rsidRPr="00FD510D" w14:paraId="52712701" w14:textId="77777777" w:rsidTr="000D5C8D">
        <w:tc>
          <w:tcPr>
            <w:tcW w:w="2547" w:type="dxa"/>
          </w:tcPr>
          <w:p w14:paraId="4D83075F"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Karlovačka županija</w:t>
            </w:r>
          </w:p>
        </w:tc>
        <w:tc>
          <w:tcPr>
            <w:tcW w:w="3685" w:type="dxa"/>
          </w:tcPr>
          <w:p w14:paraId="36BE9D28"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 Logorište</w:t>
            </w:r>
          </w:p>
        </w:tc>
        <w:tc>
          <w:tcPr>
            <w:tcW w:w="1789" w:type="dxa"/>
          </w:tcPr>
          <w:p w14:paraId="499FD29C"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tcPr>
          <w:p w14:paraId="135F84AA"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2005.</w:t>
            </w:r>
          </w:p>
        </w:tc>
      </w:tr>
      <w:tr w:rsidR="000D5C8D" w:rsidRPr="00FD510D" w14:paraId="5E09E959" w14:textId="77777777" w:rsidTr="000D5C8D">
        <w:tc>
          <w:tcPr>
            <w:tcW w:w="2547" w:type="dxa"/>
          </w:tcPr>
          <w:p w14:paraId="59F22282"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Općina Bosiljevo</w:t>
            </w:r>
          </w:p>
        </w:tc>
        <w:tc>
          <w:tcPr>
            <w:tcW w:w="3685" w:type="dxa"/>
          </w:tcPr>
          <w:p w14:paraId="3922CA91"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PZ Bosiljevo</w:t>
            </w:r>
          </w:p>
        </w:tc>
        <w:tc>
          <w:tcPr>
            <w:tcW w:w="1789" w:type="dxa"/>
          </w:tcPr>
          <w:p w14:paraId="06C1E164"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tcPr>
          <w:p w14:paraId="56F05C18"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2002.</w:t>
            </w:r>
          </w:p>
        </w:tc>
      </w:tr>
      <w:tr w:rsidR="000D5C8D" w:rsidRPr="00FD510D" w14:paraId="79A7A5EA" w14:textId="77777777" w:rsidTr="000D5C8D">
        <w:tc>
          <w:tcPr>
            <w:tcW w:w="2547" w:type="dxa"/>
          </w:tcPr>
          <w:p w14:paraId="3D49D300"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Općina Josipdol</w:t>
            </w:r>
          </w:p>
        </w:tc>
        <w:tc>
          <w:tcPr>
            <w:tcW w:w="3685" w:type="dxa"/>
          </w:tcPr>
          <w:p w14:paraId="54306E68"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PZ Vojarna II</w:t>
            </w:r>
          </w:p>
        </w:tc>
        <w:tc>
          <w:tcPr>
            <w:tcW w:w="1789" w:type="dxa"/>
          </w:tcPr>
          <w:p w14:paraId="61086997"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tcPr>
          <w:p w14:paraId="1AC7AF95"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2005.</w:t>
            </w:r>
          </w:p>
        </w:tc>
      </w:tr>
      <w:tr w:rsidR="000D5C8D" w:rsidRPr="00FD510D" w14:paraId="3B07B194" w14:textId="77777777" w:rsidTr="000D5C8D">
        <w:tc>
          <w:tcPr>
            <w:tcW w:w="2547" w:type="dxa"/>
          </w:tcPr>
          <w:p w14:paraId="2F950A74"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Općina Rakovica</w:t>
            </w:r>
          </w:p>
        </w:tc>
        <w:tc>
          <w:tcPr>
            <w:tcW w:w="3685" w:type="dxa"/>
          </w:tcPr>
          <w:p w14:paraId="03BED524"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PZ Grabovac</w:t>
            </w:r>
          </w:p>
        </w:tc>
        <w:tc>
          <w:tcPr>
            <w:tcW w:w="1789" w:type="dxa"/>
          </w:tcPr>
          <w:p w14:paraId="4B03871E"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tcPr>
          <w:p w14:paraId="616356D9"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2002.</w:t>
            </w:r>
          </w:p>
        </w:tc>
      </w:tr>
      <w:tr w:rsidR="000D5C8D" w:rsidRPr="00FD510D" w14:paraId="2AD13B23" w14:textId="77777777" w:rsidTr="000D5C8D">
        <w:tc>
          <w:tcPr>
            <w:tcW w:w="2547" w:type="dxa"/>
          </w:tcPr>
          <w:p w14:paraId="31344013"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Općina Žakanje</w:t>
            </w:r>
          </w:p>
        </w:tc>
        <w:tc>
          <w:tcPr>
            <w:tcW w:w="3685" w:type="dxa"/>
          </w:tcPr>
          <w:p w14:paraId="3C8AF36B"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PZ Žakanje</w:t>
            </w:r>
          </w:p>
        </w:tc>
        <w:tc>
          <w:tcPr>
            <w:tcW w:w="1789" w:type="dxa"/>
          </w:tcPr>
          <w:p w14:paraId="39A91388"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tcPr>
          <w:p w14:paraId="265F2312"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2002.</w:t>
            </w:r>
          </w:p>
        </w:tc>
      </w:tr>
      <w:tr w:rsidR="000D5C8D" w:rsidRPr="00FD510D" w14:paraId="7F8FD218" w14:textId="77777777" w:rsidTr="000D5C8D">
        <w:tc>
          <w:tcPr>
            <w:tcW w:w="2547" w:type="dxa"/>
          </w:tcPr>
          <w:p w14:paraId="37D68023"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Općina Draganić</w:t>
            </w:r>
          </w:p>
        </w:tc>
        <w:tc>
          <w:tcPr>
            <w:tcW w:w="3685" w:type="dxa"/>
          </w:tcPr>
          <w:p w14:paraId="3AFE9110"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 Draganić 1</w:t>
            </w:r>
          </w:p>
        </w:tc>
        <w:tc>
          <w:tcPr>
            <w:tcW w:w="1789" w:type="dxa"/>
          </w:tcPr>
          <w:p w14:paraId="530FDE31"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Poduzetnička zona</w:t>
            </w:r>
          </w:p>
        </w:tc>
        <w:tc>
          <w:tcPr>
            <w:tcW w:w="1046" w:type="dxa"/>
          </w:tcPr>
          <w:p w14:paraId="22CBCD4D"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1993.</w:t>
            </w:r>
          </w:p>
        </w:tc>
      </w:tr>
      <w:tr w:rsidR="000D5C8D" w:rsidRPr="00FD510D" w14:paraId="13411227" w14:textId="77777777" w:rsidTr="000D5C8D">
        <w:tc>
          <w:tcPr>
            <w:tcW w:w="2547" w:type="dxa"/>
          </w:tcPr>
          <w:p w14:paraId="4B7BDBBA"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PTIC d.o.o. Društvo inovatora Ogulin</w:t>
            </w:r>
          </w:p>
        </w:tc>
        <w:tc>
          <w:tcPr>
            <w:tcW w:w="3685" w:type="dxa"/>
          </w:tcPr>
          <w:p w14:paraId="69A955E5"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PODUZETNIČKI TEHNOLOŠKI INOVACIJSKI CENTAR</w:t>
            </w:r>
          </w:p>
        </w:tc>
        <w:tc>
          <w:tcPr>
            <w:tcW w:w="1789" w:type="dxa"/>
          </w:tcPr>
          <w:p w14:paraId="20511E8A"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Poduzetnički centar</w:t>
            </w:r>
          </w:p>
        </w:tc>
        <w:tc>
          <w:tcPr>
            <w:tcW w:w="1046" w:type="dxa"/>
          </w:tcPr>
          <w:p w14:paraId="630D60A2"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2003.</w:t>
            </w:r>
          </w:p>
        </w:tc>
      </w:tr>
      <w:tr w:rsidR="000D5C8D" w:rsidRPr="00FD510D" w14:paraId="3B6C7A12" w14:textId="77777777" w:rsidTr="000D5C8D">
        <w:tc>
          <w:tcPr>
            <w:tcW w:w="2547" w:type="dxa"/>
            <w:shd w:val="clear" w:color="auto" w:fill="D9D9D9" w:themeFill="background1" w:themeFillShade="D9"/>
          </w:tcPr>
          <w:p w14:paraId="426219D7" w14:textId="0648DDAD" w:rsidR="000D5C8D" w:rsidRPr="00FD510D" w:rsidRDefault="00B622E0" w:rsidP="000D5C8D">
            <w:pPr>
              <w:jc w:val="left"/>
              <w:rPr>
                <w:rFonts w:eastAsia="Times New Roman" w:cs="Tahoma"/>
                <w:sz w:val="18"/>
                <w:szCs w:val="18"/>
              </w:rPr>
            </w:pPr>
            <w:r>
              <w:rPr>
                <w:rFonts w:eastAsia="Times New Roman" w:cs="Tahoma"/>
                <w:sz w:val="18"/>
                <w:szCs w:val="18"/>
              </w:rPr>
              <w:t>Karlovačka županija</w:t>
            </w:r>
          </w:p>
        </w:tc>
        <w:tc>
          <w:tcPr>
            <w:tcW w:w="3685" w:type="dxa"/>
            <w:shd w:val="clear" w:color="auto" w:fill="D9D9D9" w:themeFill="background1" w:themeFillShade="D9"/>
          </w:tcPr>
          <w:p w14:paraId="4886255F" w14:textId="287944FA" w:rsidR="000D5C8D" w:rsidRPr="00FD510D" w:rsidRDefault="00B622E0" w:rsidP="000D5C8D">
            <w:pPr>
              <w:jc w:val="left"/>
              <w:rPr>
                <w:rFonts w:eastAsia="Times New Roman" w:cs="Tahoma"/>
                <w:sz w:val="18"/>
                <w:szCs w:val="18"/>
              </w:rPr>
            </w:pPr>
            <w:r>
              <w:rPr>
                <w:rFonts w:eastAsia="Times New Roman" w:cs="Tahoma"/>
                <w:sz w:val="18"/>
                <w:szCs w:val="18"/>
              </w:rPr>
              <w:t>Javna ustanova Regionalna razvojna agencija Karlovačke županije</w:t>
            </w:r>
          </w:p>
        </w:tc>
        <w:tc>
          <w:tcPr>
            <w:tcW w:w="1789" w:type="dxa"/>
            <w:shd w:val="clear" w:color="auto" w:fill="D9D9D9" w:themeFill="background1" w:themeFillShade="D9"/>
          </w:tcPr>
          <w:p w14:paraId="5D54864D" w14:textId="77777777" w:rsidR="000D5C8D" w:rsidRPr="00FD510D" w:rsidRDefault="000D5C8D" w:rsidP="000D5C8D">
            <w:pPr>
              <w:jc w:val="left"/>
              <w:rPr>
                <w:rFonts w:eastAsia="Times New Roman" w:cs="Tahoma"/>
                <w:sz w:val="18"/>
                <w:szCs w:val="18"/>
              </w:rPr>
            </w:pPr>
            <w:r w:rsidRPr="00FD510D">
              <w:rPr>
                <w:rFonts w:eastAsia="Times New Roman" w:cs="Tahoma"/>
                <w:sz w:val="18"/>
                <w:szCs w:val="18"/>
              </w:rPr>
              <w:t>Razvojna agencija</w:t>
            </w:r>
          </w:p>
        </w:tc>
        <w:tc>
          <w:tcPr>
            <w:tcW w:w="1046" w:type="dxa"/>
            <w:shd w:val="clear" w:color="auto" w:fill="D9D9D9" w:themeFill="background1" w:themeFillShade="D9"/>
          </w:tcPr>
          <w:p w14:paraId="0EB11B2E" w14:textId="79F1F007" w:rsidR="000D5C8D" w:rsidRPr="00FD510D" w:rsidRDefault="00B622E0" w:rsidP="000D5C8D">
            <w:pPr>
              <w:jc w:val="left"/>
              <w:rPr>
                <w:rFonts w:eastAsia="Times New Roman" w:cs="Tahoma"/>
                <w:sz w:val="18"/>
                <w:szCs w:val="18"/>
              </w:rPr>
            </w:pPr>
            <w:r>
              <w:rPr>
                <w:rFonts w:eastAsia="Times New Roman" w:cs="Tahoma"/>
                <w:sz w:val="18"/>
                <w:szCs w:val="18"/>
              </w:rPr>
              <w:t>2018.</w:t>
            </w:r>
          </w:p>
        </w:tc>
      </w:tr>
    </w:tbl>
    <w:p w14:paraId="4B93CD85" w14:textId="77777777" w:rsidR="000D5C8D" w:rsidRPr="00FD510D" w:rsidRDefault="000D5C8D" w:rsidP="000D5C8D">
      <w:pPr>
        <w:jc w:val="left"/>
        <w:rPr>
          <w:rFonts w:cs="Tahoma"/>
          <w:color w:val="39617A"/>
          <w:sz w:val="18"/>
          <w:szCs w:val="18"/>
        </w:rPr>
      </w:pPr>
      <w:r w:rsidRPr="00FD510D">
        <w:rPr>
          <w:rFonts w:cs="Tahoma"/>
          <w:color w:val="39617A"/>
          <w:sz w:val="18"/>
          <w:szCs w:val="18"/>
        </w:rPr>
        <w:t>Izvor: http://reg.mingo.hr/pi/public/#</w:t>
      </w:r>
    </w:p>
    <w:p w14:paraId="3B97B2A3" w14:textId="575D4E60" w:rsidR="000D5C8D" w:rsidRPr="000D5C8D" w:rsidRDefault="000D5C8D" w:rsidP="000D5C8D">
      <w:r>
        <w:t xml:space="preserve">U Karlovcu djeluje i </w:t>
      </w:r>
      <w:r w:rsidRPr="0022467B">
        <w:rPr>
          <w:b/>
        </w:rPr>
        <w:t>Razvojni centar Hrvatske gospodarske komore</w:t>
      </w:r>
      <w:r>
        <w:t xml:space="preserve">, </w:t>
      </w:r>
      <w:r w:rsidR="00B622E0">
        <w:t>čiji su</w:t>
      </w:r>
      <w:r w:rsidRPr="000D5C8D">
        <w:t xml:space="preserve"> korisnici Razvojnog centra su poduzetnici koji žele raz</w:t>
      </w:r>
      <w:r w:rsidR="00B622E0">
        <w:t>vijati svoja poduzeća utemeljena</w:t>
      </w:r>
      <w:r w:rsidRPr="000D5C8D">
        <w:t xml:space="preserve"> na znanju u prikladnim uvjetima i okruženju koje im daje podršku u administrativnom, infrastrukturnom i savjetodavnom obliku, poduzetnici koji imaju udio u tvrtki i sjedište na području Karlovačke županije te koji nemaju dugovanja. Poduzetnici početnici u sklopu Razvojnog centra imaju na raspolaganju opremljene uredske prostore veličine od 12 do 23 m</w:t>
      </w:r>
      <w:r w:rsidRPr="0022467B">
        <w:rPr>
          <w:vertAlign w:val="superscript"/>
        </w:rPr>
        <w:t>2</w:t>
      </w:r>
      <w:r w:rsidRPr="000D5C8D">
        <w:t>.</w:t>
      </w:r>
    </w:p>
    <w:p w14:paraId="26CD32EE" w14:textId="57E21A40" w:rsidR="0022467B" w:rsidRPr="0022467B" w:rsidRDefault="000D5C8D" w:rsidP="0022467B">
      <w:r w:rsidRPr="0022467B">
        <w:rPr>
          <w:b/>
        </w:rPr>
        <w:lastRenderedPageBreak/>
        <w:t xml:space="preserve">Obrtnička komora Karlovačke županije </w:t>
      </w:r>
      <w:r w:rsidR="0022467B" w:rsidRPr="0022467B">
        <w:rPr>
          <w:b/>
        </w:rPr>
        <w:t>i udruženja obrtnika</w:t>
      </w:r>
      <w:r w:rsidR="0022467B">
        <w:t xml:space="preserve"> gradova Karlovac</w:t>
      </w:r>
      <w:r w:rsidR="00192EA4">
        <w:t>, Duga Resa, Ogulin, Ozalj i Sl</w:t>
      </w:r>
      <w:r w:rsidR="0022467B">
        <w:t>unj su institucije</w:t>
      </w:r>
      <w:r w:rsidRPr="0022467B">
        <w:t xml:space="preserve"> čija je osnovna zadaća pružiti što kvalitetnije usluge svojim članovima te promicati i štititi njihove interese. U tom smislu obrtnicima je na raspolaganju Komorski sustav, sa zajedničkim ciljem ubrzanog gospodarskog razvoja. </w:t>
      </w:r>
    </w:p>
    <w:p w14:paraId="5EEF9C7A" w14:textId="073B2BE3" w:rsidR="0022467B" w:rsidRDefault="00B622E0" w:rsidP="0022467B">
      <w:r>
        <w:rPr>
          <w:b/>
        </w:rPr>
        <w:t>Javna ustanova Regionalna r</w:t>
      </w:r>
      <w:r w:rsidR="0022467B" w:rsidRPr="0022467B">
        <w:rPr>
          <w:b/>
        </w:rPr>
        <w:t>azvojna agencija Karlovačke županije</w:t>
      </w:r>
      <w:r w:rsidR="0022467B" w:rsidRPr="0022467B">
        <w:t xml:space="preserve"> je regionalni koordinator razvoja, zadužena za koordiniranje gospodarskog razvoja i promoviranja Karlovačke županije kao regije iznimnog geostrateškog položaja u Republici Hrvatskoj. Misija razvojne agencije je objediniti prioritete i mjere sa područja gospodarstva, prirodnih i kulturnih potencijala, poljoprivrede i zaštite okoliša, ljudskog potencijala, kvalitete života, međunarodne i prekogranične suradnje. </w:t>
      </w:r>
    </w:p>
    <w:p w14:paraId="032E6B0B" w14:textId="77777777" w:rsidR="0022467B" w:rsidRPr="0022467B" w:rsidRDefault="0022467B" w:rsidP="000D5C8D"/>
    <w:p w14:paraId="68A68598" w14:textId="1D2B0E4E" w:rsidR="000D5C8D" w:rsidRPr="0022467B" w:rsidRDefault="000D5C8D" w:rsidP="0022467B">
      <w:r w:rsidRPr="0022467B">
        <w:t xml:space="preserve">Na području grada Karlovca uspostavljene </w:t>
      </w:r>
      <w:r w:rsidR="0022467B">
        <w:t xml:space="preserve">su </w:t>
      </w:r>
      <w:r w:rsidRPr="0022467B">
        <w:t xml:space="preserve">3 poduzetničke zone: </w:t>
      </w:r>
    </w:p>
    <w:p w14:paraId="576005C3" w14:textId="244AB2CB" w:rsidR="000D5C8D" w:rsidRPr="0022467B" w:rsidRDefault="0022467B" w:rsidP="00EC1C17">
      <w:pPr>
        <w:pStyle w:val="ListParagraph"/>
        <w:numPr>
          <w:ilvl w:val="0"/>
          <w:numId w:val="32"/>
        </w:numPr>
      </w:pPr>
      <w:r w:rsidRPr="0022467B">
        <w:rPr>
          <w:b/>
        </w:rPr>
        <w:t>Poduzetnička Zona Mrzlo Polje</w:t>
      </w:r>
      <w:r>
        <w:t xml:space="preserve"> - nalazi</w:t>
      </w:r>
      <w:r w:rsidRPr="0022467B">
        <w:t xml:space="preserve"> se na južnom kraju grada Karlovca, na</w:t>
      </w:r>
      <w:r>
        <w:t xml:space="preserve"> lijevoj strani rijeke Mrežnice, a</w:t>
      </w:r>
      <w:r w:rsidRPr="0022467B">
        <w:t xml:space="preserve"> GUP-om Grada Karlovca definirana površina </w:t>
      </w:r>
      <w:r>
        <w:t>zone jest</w:t>
      </w:r>
      <w:r w:rsidRPr="0022467B">
        <w:t xml:space="preserve"> 13,25</w:t>
      </w:r>
      <w:r>
        <w:t xml:space="preserve"> </w:t>
      </w:r>
      <w:r w:rsidRPr="0022467B">
        <w:t xml:space="preserve">ha, od čega </w:t>
      </w:r>
      <w:r>
        <w:t>6 ha otpada na prometne i vodene površine, a ostatak gospodarsku (industrijsku i zanatsku) namjenu.</w:t>
      </w:r>
    </w:p>
    <w:p w14:paraId="19C9F91C" w14:textId="6F772508" w:rsidR="000D5C8D" w:rsidRPr="0022467B" w:rsidRDefault="0022467B" w:rsidP="00EC1C17">
      <w:pPr>
        <w:pStyle w:val="ListParagraph"/>
        <w:numPr>
          <w:ilvl w:val="0"/>
          <w:numId w:val="32"/>
        </w:numPr>
      </w:pPr>
      <w:r w:rsidRPr="0022467B">
        <w:rPr>
          <w:b/>
        </w:rPr>
        <w:t>Poduzetnička zona Mala Švarča</w:t>
      </w:r>
      <w:r>
        <w:t xml:space="preserve"> - </w:t>
      </w:r>
      <w:r w:rsidRPr="0022467B">
        <w:t>nalazi se na jugozapadnom rubu Grada Karlovca, u prigradskom području južno od rijeke Mrežnice uz granicu s Općinom Duga Resa. GUP-om Grada Karlovca definirana površina obuhvata iznosi 43,16</w:t>
      </w:r>
      <w:r>
        <w:t xml:space="preserve"> od čega su </w:t>
      </w:r>
      <w:r w:rsidRPr="0022467B">
        <w:t>3,38</w:t>
      </w:r>
      <w:r>
        <w:t xml:space="preserve"> </w:t>
      </w:r>
      <w:r w:rsidRPr="0022467B">
        <w:t xml:space="preserve">ha prometne i infrastrukturne površine. </w:t>
      </w:r>
    </w:p>
    <w:p w14:paraId="297E6632" w14:textId="1E35F41D" w:rsidR="0022467B" w:rsidRPr="0022467B" w:rsidRDefault="000D5C8D" w:rsidP="00EC1C17">
      <w:pPr>
        <w:pStyle w:val="ListParagraph"/>
        <w:numPr>
          <w:ilvl w:val="0"/>
          <w:numId w:val="32"/>
        </w:numPr>
      </w:pPr>
      <w:r w:rsidRPr="0022467B">
        <w:rPr>
          <w:b/>
        </w:rPr>
        <w:t>P</w:t>
      </w:r>
      <w:r w:rsidR="0022467B" w:rsidRPr="0022467B">
        <w:rPr>
          <w:b/>
        </w:rPr>
        <w:t>oduzetnička zona Gornje Mekušje</w:t>
      </w:r>
      <w:r w:rsidR="0022467B">
        <w:t xml:space="preserve"> - </w:t>
      </w:r>
      <w:r w:rsidR="0022467B" w:rsidRPr="0022467B">
        <w:t xml:space="preserve"> udaljena je 2 km od centra Karlovca, 5 km od Auto ceste Zagreb – Rijeka i Zagreb – Split, Karlovac – Metlika (SLO) i Karlovac – Bihać (BiH) te 4,5</w:t>
      </w:r>
      <w:r w:rsidR="0022467B">
        <w:t xml:space="preserve"> </w:t>
      </w:r>
      <w:r w:rsidR="0022467B" w:rsidRPr="0022467B">
        <w:t xml:space="preserve">km od željezničkog kolodvora Zagreb – Rijeka – Split. Zona je građevinsko zemljište u KO Gornje Mekušje. </w:t>
      </w:r>
      <w:r w:rsidR="0022467B">
        <w:t>Zona je</w:t>
      </w:r>
      <w:r w:rsidR="0022467B" w:rsidRPr="0022467B">
        <w:t xml:space="preserve"> površine je 10,27</w:t>
      </w:r>
      <w:r w:rsidR="0022467B">
        <w:t xml:space="preserve"> </w:t>
      </w:r>
      <w:r w:rsidR="0022467B" w:rsidRPr="0022467B">
        <w:t>ha dok je za upotrebu raspoloživo 8</w:t>
      </w:r>
      <w:r w:rsidR="0022467B">
        <w:t xml:space="preserve"> </w:t>
      </w:r>
      <w:r w:rsidR="0022467B" w:rsidRPr="0022467B">
        <w:t>ha.</w:t>
      </w:r>
    </w:p>
    <w:p w14:paraId="746676E5" w14:textId="77777777" w:rsidR="000D5C8D" w:rsidRPr="0022467B" w:rsidRDefault="000D5C8D" w:rsidP="0022467B"/>
    <w:p w14:paraId="361CD85F" w14:textId="2578C27E" w:rsidR="0022467B" w:rsidRDefault="00B622E0" w:rsidP="0022467B">
      <w:r>
        <w:t>Na području grada Duge Rese</w:t>
      </w:r>
      <w:r w:rsidR="000D5C8D" w:rsidRPr="0022467B">
        <w:t xml:space="preserve"> dvije su poslovne zone koje su upisane u registar podu</w:t>
      </w:r>
      <w:r w:rsidR="0022467B">
        <w:t>zetničke infrastrukture (JRPI):</w:t>
      </w:r>
    </w:p>
    <w:p w14:paraId="41EDCB41" w14:textId="6B5993C5" w:rsidR="000D5C8D" w:rsidRPr="0022467B" w:rsidRDefault="0022467B" w:rsidP="00EC1C17">
      <w:pPr>
        <w:pStyle w:val="ListParagraph"/>
        <w:numPr>
          <w:ilvl w:val="0"/>
          <w:numId w:val="33"/>
        </w:numPr>
      </w:pPr>
      <w:r w:rsidRPr="00322E15">
        <w:rPr>
          <w:b/>
        </w:rPr>
        <w:t>P</w:t>
      </w:r>
      <w:r w:rsidR="000D5C8D" w:rsidRPr="00322E15">
        <w:rPr>
          <w:b/>
        </w:rPr>
        <w:t xml:space="preserve">oduzetnička zona Šeketino </w:t>
      </w:r>
      <w:r w:rsidR="00322E15" w:rsidRPr="00322E15">
        <w:rPr>
          <w:b/>
        </w:rPr>
        <w:t>Brdo</w:t>
      </w:r>
      <w:r w:rsidR="00322E15">
        <w:t xml:space="preserve"> površinom zauzima 34.981m², od čega je </w:t>
      </w:r>
      <w:r w:rsidR="000D5C8D" w:rsidRPr="0022467B">
        <w:t xml:space="preserve"> </w:t>
      </w:r>
      <w:r w:rsidR="00322E15">
        <w:t>4.897m² u vlasništvu Grada, 986 m</w:t>
      </w:r>
      <w:r w:rsidR="00322E15" w:rsidRPr="00322E15">
        <w:rPr>
          <w:vertAlign w:val="superscript"/>
        </w:rPr>
        <w:t>2</w:t>
      </w:r>
      <w:r w:rsidR="00322E15">
        <w:t xml:space="preserve"> u vlasništvu države, a ostatak u privatnom vlasništvu.</w:t>
      </w:r>
    </w:p>
    <w:p w14:paraId="12004C75" w14:textId="24CA30BE" w:rsidR="000D5C8D" w:rsidRPr="00322E15" w:rsidRDefault="000D5C8D" w:rsidP="00EC1C17">
      <w:pPr>
        <w:pStyle w:val="ListParagraph"/>
        <w:numPr>
          <w:ilvl w:val="0"/>
          <w:numId w:val="33"/>
        </w:numPr>
      </w:pPr>
      <w:r w:rsidRPr="00322E15">
        <w:rPr>
          <w:b/>
        </w:rPr>
        <w:t>Poduzetnička zona Gornje Mrzlo Polje Mrežničko</w:t>
      </w:r>
      <w:r w:rsidRPr="0022467B">
        <w:t xml:space="preserve"> površina je 38.666m². Grad Duga Resa vlasnik je 6.876m²</w:t>
      </w:r>
      <w:r w:rsidR="00B622E0">
        <w:t xml:space="preserve"> zone</w:t>
      </w:r>
      <w:r w:rsidRPr="0022467B">
        <w:t xml:space="preserve">, Republika Hrvatska 1.100m², poduzetnici 9.916m², a privatni vlasnici 20.774m². </w:t>
      </w:r>
    </w:p>
    <w:p w14:paraId="72B1CF54" w14:textId="77777777" w:rsidR="00322E15" w:rsidRDefault="00322E15" w:rsidP="00322E15"/>
    <w:p w14:paraId="00F4021A" w14:textId="10458FE4" w:rsidR="000D5C8D" w:rsidRPr="00322E15" w:rsidRDefault="000D5C8D" w:rsidP="00322E15">
      <w:r w:rsidRPr="00322E15">
        <w:t xml:space="preserve">Na području grada Ozlja nalazi se </w:t>
      </w:r>
      <w:r w:rsidRPr="00322E15">
        <w:rPr>
          <w:b/>
        </w:rPr>
        <w:t>poduzetnička zona LUG</w:t>
      </w:r>
      <w:r w:rsidRPr="00322E15">
        <w:t xml:space="preserve"> koja je osnovana 2002. godine </w:t>
      </w:r>
      <w:r w:rsidR="00B622E0">
        <w:t>i</w:t>
      </w:r>
      <w:r w:rsidRPr="00322E15">
        <w:t xml:space="preserve"> trenutno je na prostoru ukupne površine 48</w:t>
      </w:r>
      <w:r w:rsidR="00322E15">
        <w:t xml:space="preserve"> </w:t>
      </w:r>
      <w:r w:rsidRPr="00322E15">
        <w:t>ha smješten 21 poslovni subjekt, a još 5 ih dovršava izgradnju poslovnih prostora. U zoni je trenutno zaposleno 476 djelatnika, najviše u Društvu Aquaestil Plus d.o.o.</w:t>
      </w:r>
      <w:r w:rsidR="00322E15">
        <w:t xml:space="preserve"> </w:t>
      </w:r>
      <w:r w:rsidRPr="00322E15">
        <w:t>Poduzetnička zon</w:t>
      </w:r>
      <w:r w:rsidR="00B622E0">
        <w:t>a je povezana cestovnim putem s</w:t>
      </w:r>
      <w:r w:rsidRPr="00322E15">
        <w:t xml:space="preserve"> Karlovcem i najkraća udaljenost do autoputa iznosi 17</w:t>
      </w:r>
      <w:r w:rsidR="00322E15">
        <w:t xml:space="preserve"> km, u</w:t>
      </w:r>
      <w:r w:rsidRPr="00322E15">
        <w:t xml:space="preserve"> neposrednoj blizini se n</w:t>
      </w:r>
      <w:r w:rsidR="00322E15">
        <w:t xml:space="preserve">alazi željeznička postaja Ozalj, a središnjim </w:t>
      </w:r>
      <w:r w:rsidRPr="00322E15">
        <w:t>dijelom zone prolazi željeznička pruga koja zonu dijeli na sjeverni i južni dio, odnosno na zonu veli</w:t>
      </w:r>
      <w:r w:rsidR="00322E15">
        <w:t>kog i zonu malog poduzetništva.</w:t>
      </w:r>
    </w:p>
    <w:p w14:paraId="67F5B6FB" w14:textId="03145488" w:rsidR="000D5C8D" w:rsidRDefault="00E8302E" w:rsidP="00E8302E">
      <w:pPr>
        <w:pStyle w:val="Heading3"/>
      </w:pPr>
      <w:bookmarkStart w:id="62" w:name="_Toc437390585"/>
      <w:r>
        <w:t>Socijalno poduzetništvo</w:t>
      </w:r>
      <w:bookmarkEnd w:id="62"/>
    </w:p>
    <w:p w14:paraId="3EAA4F73" w14:textId="773E0609" w:rsidR="00E8302E" w:rsidRPr="00FD510D" w:rsidRDefault="00E8302E" w:rsidP="00E8302E">
      <w:r w:rsidRPr="00E8302E">
        <w:t xml:space="preserve">Strategija razvoja društvenog poduzetništva u Republici Hrvatskoj za </w:t>
      </w:r>
      <w:r w:rsidR="00B622E0">
        <w:t>razdoblje 2015. - 2020. godine</w:t>
      </w:r>
      <w:r w:rsidRPr="00E8302E">
        <w:t xml:space="preserve"> predstavlja krovni dokument koji za cilj ima uspostaviti poticajno okruženje za promicanje i razvoj društvenog poduzetništva u Republici Hrvatskoj kako bi se smanjile regionalne razlike i osiguralo povećanje razine zaposlenosti te pravednija raspodjela i upravljanje društvenim bogatstvom. Tokom 2014. godine donesena je i Strategija borbe protiv siromaštva i socijalne isključenosti Republike Hrvatske za </w:t>
      </w:r>
      <w:r w:rsidR="00B622E0">
        <w:t>razdoblje</w:t>
      </w:r>
      <w:r w:rsidRPr="00E8302E">
        <w:t xml:space="preserve"> od 2014. – </w:t>
      </w:r>
      <w:r w:rsidR="00B622E0">
        <w:t>2020. godine. Danas</w:t>
      </w:r>
      <w:r w:rsidRPr="00E8302E">
        <w:t xml:space="preserve"> na području Europske unije može se reći da postoji poticajno okruženje za razvoj društvenog poduzetništva</w:t>
      </w:r>
      <w:r w:rsidR="00B622E0">
        <w:t>,</w:t>
      </w:r>
      <w:r w:rsidRPr="00E8302E">
        <w:t xml:space="preserve"> dok je </w:t>
      </w:r>
      <w:r w:rsidR="00B622E0">
        <w:t xml:space="preserve">isto </w:t>
      </w:r>
      <w:r w:rsidRPr="00E8302E">
        <w:t xml:space="preserve">u Republici Hrvatskoj još uvijek u povojima. </w:t>
      </w:r>
      <w:r w:rsidRPr="00FD510D">
        <w:t xml:space="preserve">Prema posljednjim raspoloživim podacima iz 2015. </w:t>
      </w:r>
      <w:r w:rsidR="00B622E0">
        <w:t>godine,</w:t>
      </w:r>
      <w:r w:rsidRPr="00FD510D">
        <w:t xml:space="preserve"> Karlovačka županija je </w:t>
      </w:r>
      <w:r w:rsidRPr="00FD510D">
        <w:lastRenderedPageBreak/>
        <w:t xml:space="preserve">među 6 županija </w:t>
      </w:r>
      <w:r w:rsidR="00B622E0">
        <w:t xml:space="preserve">u RH </w:t>
      </w:r>
      <w:r w:rsidRPr="00FD510D">
        <w:t xml:space="preserve">u kojima nema registriranih </w:t>
      </w:r>
      <w:r w:rsidR="00B622E0">
        <w:t>subjekata</w:t>
      </w:r>
      <w:r w:rsidRPr="00FD510D">
        <w:t xml:space="preserve"> društvenog poduzetništva</w:t>
      </w:r>
      <w:r w:rsidRPr="00FD510D">
        <w:rPr>
          <w:vertAlign w:val="superscript"/>
        </w:rPr>
        <w:footnoteReference w:id="18"/>
      </w:r>
      <w:r w:rsidRPr="00FD510D">
        <w:t xml:space="preserve">. Više od polovine županija u Hrvatskoj ima manje od tri registrirana </w:t>
      </w:r>
      <w:r w:rsidR="00B622E0">
        <w:t>subjekta</w:t>
      </w:r>
      <w:r w:rsidRPr="00FD510D">
        <w:t xml:space="preserve"> društvenog poduzetništva dok Splitsko-dalmatinska i Osječko-baranjska županija sveukupno broje više od trećine svih registriranih subjekata društveno</w:t>
      </w:r>
      <w:r>
        <w:t xml:space="preserve">g poduzetništva. </w:t>
      </w:r>
    </w:p>
    <w:p w14:paraId="26B6CEEA" w14:textId="217A73C5" w:rsidR="00E8302E" w:rsidRPr="00FD510D" w:rsidRDefault="00E8302E" w:rsidP="00E8302E">
      <w:r w:rsidRPr="00FD510D">
        <w:t xml:space="preserve">Na području Karlovačke županije za sada nema </w:t>
      </w:r>
      <w:r w:rsidR="009D2828">
        <w:t>značajnijih</w:t>
      </w:r>
      <w:r w:rsidRPr="00FD510D">
        <w:t xml:space="preserve"> pomaka prema angažmanu na području društvenog poduzetništva</w:t>
      </w:r>
      <w:r w:rsidR="00B622E0">
        <w:t>,</w:t>
      </w:r>
      <w:r w:rsidRPr="00FD510D">
        <w:t xml:space="preserve"> iako o tome postoje određene inicijative posebice nakon usvajanja Strategije razvoja društvenog poduzetništva u Republici Hrvatskoj za razdoblje 2015. – 2020. Može se zaključiti da za sada postoje samo </w:t>
      </w:r>
      <w:r w:rsidR="009D2828">
        <w:t>manje više izolirane inicijative koje</w:t>
      </w:r>
      <w:r w:rsidRPr="00FD510D">
        <w:t xml:space="preserve"> uključuju nevladine organizacije koje ponajviše zapošljavaju pripadnike ranjivih skupina ili svojih članova kroz provedbu raznih projekata</w:t>
      </w:r>
      <w:r w:rsidR="009D2828">
        <w:t>,</w:t>
      </w:r>
      <w:r w:rsidRPr="00FD510D">
        <w:t xml:space="preserve"> ali to se ne može u potpunosti smatrati društvenim poduzetništvom.</w:t>
      </w:r>
    </w:p>
    <w:p w14:paraId="7F15D188" w14:textId="77777777" w:rsidR="00E8302E" w:rsidRPr="00FD510D" w:rsidRDefault="00E8302E" w:rsidP="000D5C8D">
      <w:pPr>
        <w:rPr>
          <w:rFonts w:cs="Tahoma"/>
          <w:sz w:val="20"/>
        </w:rPr>
      </w:pPr>
    </w:p>
    <w:p w14:paraId="3EC475CA" w14:textId="77777777" w:rsidR="00430CE7" w:rsidRDefault="000D5C8D" w:rsidP="000D5C8D">
      <w:pPr>
        <w:pStyle w:val="Heading3"/>
      </w:pPr>
      <w:bookmarkStart w:id="63" w:name="_Toc437390586"/>
      <w:r>
        <w:t>Turizam</w:t>
      </w:r>
      <w:bookmarkEnd w:id="63"/>
    </w:p>
    <w:p w14:paraId="28A341BC" w14:textId="2004536A" w:rsidR="00430CE7" w:rsidRDefault="00430CE7" w:rsidP="00430CE7">
      <w:r w:rsidRPr="00430CE7">
        <w:t>Turizam u Republici Hrvatskoj je i u 2017. godini nastavio bilježiti rekordne rezultate</w:t>
      </w:r>
      <w:r w:rsidR="00B622E0">
        <w:t>,</w:t>
      </w:r>
      <w:r w:rsidRPr="00430CE7">
        <w:t xml:space="preserve"> a ostvareni broj dolazaka i noćenja turista ponov</w:t>
      </w:r>
      <w:r w:rsidR="00B622E0">
        <w:t>n</w:t>
      </w:r>
      <w:r w:rsidRPr="00430CE7">
        <w:t>o su premašili pokazatelje iz prethodne 2016. godine. Tokom 2017. godine ostvareno je 86,2 milijuna noćenja, što je za 10,4 % više u odnosu na 2016. go</w:t>
      </w:r>
      <w:r w:rsidR="00B622E0">
        <w:t>dinu. Isto tako, nastavljen je</w:t>
      </w:r>
      <w:r w:rsidRPr="00430CE7">
        <w:t xml:space="preserve"> trend rasta noćenja stranih gostiju. Tokom 2017. godine strani gosti ostvarili su 11,1 % više noćenja nego u 2016. godini. Što se noćenja domaćih turista tiče ona bilježe manji rast i to samo 2,1 % u odnosu na prethodnu godinu. Broj turističkih dolazaka u 2017. godini iznosio je 17,4 milijuna</w:t>
      </w:r>
      <w:r>
        <w:t>.</w:t>
      </w:r>
    </w:p>
    <w:p w14:paraId="24B5E64D" w14:textId="578269A3" w:rsidR="00430CE7" w:rsidRPr="00430CE7" w:rsidRDefault="00430CE7" w:rsidP="00430CE7">
      <w:r w:rsidRPr="00430CE7">
        <w:t>Hrvatski turizam okarakteriziran je izrazitom sezonalnošću</w:t>
      </w:r>
      <w:r w:rsidR="003A4DA3">
        <w:t>, kao i dominacijom</w:t>
      </w:r>
      <w:r w:rsidRPr="00430CE7">
        <w:t xml:space="preserve"> </w:t>
      </w:r>
      <w:r w:rsidR="00F22373">
        <w:t>jadranskog u odnosu na kontinentalni turizam</w:t>
      </w:r>
      <w:r w:rsidRPr="00430CE7">
        <w:t>. Tokom 2017. godine na prostoru 7 obalnih županija</w:t>
      </w:r>
      <w:r w:rsidRPr="003A4DA3">
        <w:rPr>
          <w:rStyle w:val="FootnoteReference"/>
        </w:rPr>
        <w:footnoteReference w:id="19"/>
      </w:r>
      <w:r w:rsidRPr="00430CE7">
        <w:t xml:space="preserve"> ostvareno je ukupno 95,6% svih noćenja te 86,8% posto svih turističkih dolazaka turista u Hrvatsku. </w:t>
      </w:r>
    </w:p>
    <w:p w14:paraId="459143B3" w14:textId="2C5756F0" w:rsidR="0096747C" w:rsidRDefault="00F22373" w:rsidP="00F22373">
      <w:r>
        <w:t>Kao destinacija kontinentalnog turizma, Karlovačka županija u cjelini ima mali udjel u ukupnom turističkom prometu, iako</w:t>
      </w:r>
      <w:r w:rsidRPr="00F22373">
        <w:t xml:space="preserve"> </w:t>
      </w:r>
      <w:r w:rsidR="00B622E0">
        <w:t>u posljednjim godinama</w:t>
      </w:r>
      <w:r>
        <w:t xml:space="preserve"> bilježi rast u broju dolazaka i noćenja. Tako je </w:t>
      </w:r>
      <w:r w:rsidRPr="00F22373">
        <w:t xml:space="preserve">tokom 2017. godine </w:t>
      </w:r>
      <w:r>
        <w:t xml:space="preserve">na području županije </w:t>
      </w:r>
      <w:r w:rsidRPr="00F22373">
        <w:t>ukupno ostvareno 332.991 dolazak</w:t>
      </w:r>
      <w:r>
        <w:t>a</w:t>
      </w:r>
      <w:r w:rsidRPr="00F22373">
        <w:t xml:space="preserve"> odnosno 565.298 noćenja</w:t>
      </w:r>
      <w:r w:rsidR="00B622E0">
        <w:t>,</w:t>
      </w:r>
      <w:r w:rsidRPr="00F22373">
        <w:t xml:space="preserve"> što je za 21,2% više nego u prethodnoj godini kad</w:t>
      </w:r>
      <w:r w:rsidR="00B622E0">
        <w:t>a</w:t>
      </w:r>
      <w:r w:rsidRPr="00F22373">
        <w:t xml:space="preserve"> je ukupno ostvareno 466.400 noćenja. </w:t>
      </w:r>
    </w:p>
    <w:p w14:paraId="76EE6BEB" w14:textId="42777836" w:rsidR="00F22373" w:rsidRDefault="00F22373" w:rsidP="00F22373">
      <w:r>
        <w:t xml:space="preserve">Očekivano, u broju dolazaka i noćenja na </w:t>
      </w:r>
      <w:r w:rsidR="00B622E0">
        <w:t>V</w:t>
      </w:r>
      <w:r w:rsidR="0096747C">
        <w:t xml:space="preserve">ećem urbanom </w:t>
      </w:r>
      <w:r>
        <w:t>području dominira grad Karlovac</w:t>
      </w:r>
      <w:r w:rsidR="0096747C">
        <w:t>. Iako je i na području VUPKA evidentan isti trend rast</w:t>
      </w:r>
      <w:r w:rsidR="00B622E0">
        <w:t>a turističkog prometa, sveukupni</w:t>
      </w:r>
      <w:r w:rsidR="0096747C">
        <w:t xml:space="preserve"> udio triju gradova u turističkom prometu Karlovačke županije je srazmjerno mali i iznosi od 15 do 17% u dolascima i noćenjima, kako je vidljivo iz donje tablice.</w:t>
      </w:r>
    </w:p>
    <w:p w14:paraId="01EE3E87" w14:textId="77777777" w:rsidR="00F22373" w:rsidRPr="00FD510D" w:rsidRDefault="00F22373" w:rsidP="00F22373">
      <w:pPr>
        <w:pStyle w:val="Caption"/>
        <w:rPr>
          <w:rFonts w:cs="Tahoma"/>
          <w:sz w:val="20"/>
        </w:rPr>
      </w:pPr>
      <w:bookmarkStart w:id="64" w:name="_Toc420581467"/>
      <w:bookmarkStart w:id="65" w:name="_Toc437387501"/>
      <w:r w:rsidRPr="00FD510D">
        <w:t xml:space="preserve">Tablica </w:t>
      </w:r>
      <w:r>
        <w:fldChar w:fldCharType="begin"/>
      </w:r>
      <w:r>
        <w:instrText xml:space="preserve"> SEQ Tablica \* ARABIC </w:instrText>
      </w:r>
      <w:r>
        <w:fldChar w:fldCharType="separate"/>
      </w:r>
      <w:r w:rsidR="001358A9">
        <w:rPr>
          <w:noProof/>
        </w:rPr>
        <w:t>28</w:t>
      </w:r>
      <w:r>
        <w:rPr>
          <w:noProof/>
        </w:rPr>
        <w:fldChar w:fldCharType="end"/>
      </w:r>
      <w:r w:rsidRPr="00FD510D">
        <w:t>. Turistički promet na području VUPKA, 2015. – 2017.</w:t>
      </w:r>
      <w:bookmarkEnd w:id="64"/>
      <w:bookmarkEnd w:id="65"/>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89"/>
        <w:gridCol w:w="1166"/>
        <w:gridCol w:w="1167"/>
        <w:gridCol w:w="1166"/>
        <w:gridCol w:w="1167"/>
        <w:gridCol w:w="1166"/>
        <w:gridCol w:w="1167"/>
      </w:tblGrid>
      <w:tr w:rsidR="00F22373" w:rsidRPr="00F22373" w14:paraId="689B56F3" w14:textId="77777777" w:rsidTr="00F22373">
        <w:trPr>
          <w:trHeight w:val="251"/>
          <w:tblHeader/>
        </w:trPr>
        <w:tc>
          <w:tcPr>
            <w:tcW w:w="2289" w:type="dxa"/>
            <w:vMerge w:val="restart"/>
            <w:shd w:val="clear" w:color="000000" w:fill="39617A"/>
            <w:noWrap/>
            <w:vAlign w:val="center"/>
            <w:hideMark/>
          </w:tcPr>
          <w:p w14:paraId="2BE166A9" w14:textId="77777777" w:rsidR="00F22373" w:rsidRPr="00F22373" w:rsidRDefault="00F22373" w:rsidP="00F22373">
            <w:pPr>
              <w:pStyle w:val="tabletxt"/>
              <w:rPr>
                <w:color w:val="FFFFFF" w:themeColor="background1"/>
              </w:rPr>
            </w:pPr>
            <w:r w:rsidRPr="00F22373">
              <w:rPr>
                <w:color w:val="FFFFFF" w:themeColor="background1"/>
              </w:rPr>
              <w:t>TURIZAM</w:t>
            </w:r>
          </w:p>
        </w:tc>
        <w:tc>
          <w:tcPr>
            <w:tcW w:w="2333" w:type="dxa"/>
            <w:gridSpan w:val="2"/>
            <w:shd w:val="clear" w:color="000000" w:fill="39617A"/>
            <w:noWrap/>
            <w:vAlign w:val="center"/>
            <w:hideMark/>
          </w:tcPr>
          <w:p w14:paraId="012C1BEC" w14:textId="77777777" w:rsidR="00F22373" w:rsidRPr="00F22373" w:rsidRDefault="00F22373" w:rsidP="00F22373">
            <w:pPr>
              <w:pStyle w:val="tabletxt"/>
              <w:jc w:val="center"/>
              <w:rPr>
                <w:color w:val="FFFFFF" w:themeColor="background1"/>
              </w:rPr>
            </w:pPr>
            <w:r w:rsidRPr="00F22373">
              <w:rPr>
                <w:color w:val="FFFFFF" w:themeColor="background1"/>
              </w:rPr>
              <w:t>2015</w:t>
            </w:r>
          </w:p>
        </w:tc>
        <w:tc>
          <w:tcPr>
            <w:tcW w:w="2333" w:type="dxa"/>
            <w:gridSpan w:val="2"/>
            <w:shd w:val="clear" w:color="000000" w:fill="39617A"/>
            <w:noWrap/>
            <w:vAlign w:val="center"/>
            <w:hideMark/>
          </w:tcPr>
          <w:p w14:paraId="1437CB88" w14:textId="77777777" w:rsidR="00F22373" w:rsidRPr="00F22373" w:rsidRDefault="00F22373" w:rsidP="00F22373">
            <w:pPr>
              <w:pStyle w:val="tabletxt"/>
              <w:jc w:val="center"/>
              <w:rPr>
                <w:color w:val="FFFFFF" w:themeColor="background1"/>
              </w:rPr>
            </w:pPr>
            <w:r w:rsidRPr="00F22373">
              <w:rPr>
                <w:color w:val="FFFFFF" w:themeColor="background1"/>
              </w:rPr>
              <w:t>2016</w:t>
            </w:r>
          </w:p>
        </w:tc>
        <w:tc>
          <w:tcPr>
            <w:tcW w:w="2333" w:type="dxa"/>
            <w:gridSpan w:val="2"/>
            <w:shd w:val="clear" w:color="000000" w:fill="39617A"/>
            <w:noWrap/>
            <w:vAlign w:val="center"/>
            <w:hideMark/>
          </w:tcPr>
          <w:p w14:paraId="3B87ECFC" w14:textId="77777777" w:rsidR="00F22373" w:rsidRPr="00F22373" w:rsidRDefault="00F22373" w:rsidP="00F22373">
            <w:pPr>
              <w:pStyle w:val="tabletxt"/>
              <w:jc w:val="center"/>
              <w:rPr>
                <w:color w:val="FFFFFF" w:themeColor="background1"/>
              </w:rPr>
            </w:pPr>
            <w:r w:rsidRPr="00F22373">
              <w:rPr>
                <w:color w:val="FFFFFF" w:themeColor="background1"/>
              </w:rPr>
              <w:t>2017</w:t>
            </w:r>
          </w:p>
        </w:tc>
      </w:tr>
      <w:tr w:rsidR="00F22373" w:rsidRPr="00F22373" w14:paraId="29513942" w14:textId="77777777" w:rsidTr="00F22373">
        <w:trPr>
          <w:trHeight w:val="251"/>
          <w:tblHeader/>
        </w:trPr>
        <w:tc>
          <w:tcPr>
            <w:tcW w:w="2289" w:type="dxa"/>
            <w:vMerge/>
            <w:vAlign w:val="center"/>
            <w:hideMark/>
          </w:tcPr>
          <w:p w14:paraId="2A6390E1" w14:textId="77777777" w:rsidR="00F22373" w:rsidRPr="00F22373" w:rsidRDefault="00F22373" w:rsidP="00F22373">
            <w:pPr>
              <w:pStyle w:val="tabletxt"/>
              <w:rPr>
                <w:color w:val="FFFFFF" w:themeColor="background1"/>
              </w:rPr>
            </w:pPr>
          </w:p>
        </w:tc>
        <w:tc>
          <w:tcPr>
            <w:tcW w:w="1166" w:type="dxa"/>
            <w:shd w:val="clear" w:color="000000" w:fill="39617A"/>
            <w:noWrap/>
            <w:vAlign w:val="center"/>
            <w:hideMark/>
          </w:tcPr>
          <w:p w14:paraId="48B9D118" w14:textId="77777777" w:rsidR="00F22373" w:rsidRPr="00F22373" w:rsidRDefault="00F22373" w:rsidP="00F22373">
            <w:pPr>
              <w:pStyle w:val="tabletxt"/>
              <w:jc w:val="center"/>
              <w:rPr>
                <w:color w:val="FFFFFF" w:themeColor="background1"/>
              </w:rPr>
            </w:pPr>
            <w:r w:rsidRPr="00F22373">
              <w:rPr>
                <w:color w:val="FFFFFF" w:themeColor="background1"/>
              </w:rPr>
              <w:t>DOLASCI</w:t>
            </w:r>
          </w:p>
        </w:tc>
        <w:tc>
          <w:tcPr>
            <w:tcW w:w="1167" w:type="dxa"/>
            <w:shd w:val="clear" w:color="000000" w:fill="39617A"/>
            <w:noWrap/>
            <w:vAlign w:val="center"/>
            <w:hideMark/>
          </w:tcPr>
          <w:p w14:paraId="1B9758E4" w14:textId="77777777" w:rsidR="00F22373" w:rsidRPr="00F22373" w:rsidRDefault="00F22373" w:rsidP="00F22373">
            <w:pPr>
              <w:pStyle w:val="tabletxt"/>
              <w:jc w:val="center"/>
              <w:rPr>
                <w:color w:val="FFFFFF" w:themeColor="background1"/>
              </w:rPr>
            </w:pPr>
            <w:r w:rsidRPr="00F22373">
              <w:rPr>
                <w:color w:val="FFFFFF" w:themeColor="background1"/>
              </w:rPr>
              <w:t>NOĆENJA</w:t>
            </w:r>
          </w:p>
        </w:tc>
        <w:tc>
          <w:tcPr>
            <w:tcW w:w="1166" w:type="dxa"/>
            <w:shd w:val="clear" w:color="000000" w:fill="39617A"/>
            <w:noWrap/>
            <w:vAlign w:val="center"/>
            <w:hideMark/>
          </w:tcPr>
          <w:p w14:paraId="1839EE22" w14:textId="77777777" w:rsidR="00F22373" w:rsidRPr="00F22373" w:rsidRDefault="00F22373" w:rsidP="00F22373">
            <w:pPr>
              <w:pStyle w:val="tabletxt"/>
              <w:jc w:val="center"/>
              <w:rPr>
                <w:color w:val="FFFFFF" w:themeColor="background1"/>
              </w:rPr>
            </w:pPr>
            <w:r w:rsidRPr="00F22373">
              <w:rPr>
                <w:color w:val="FFFFFF" w:themeColor="background1"/>
              </w:rPr>
              <w:t>DOLASCI</w:t>
            </w:r>
          </w:p>
        </w:tc>
        <w:tc>
          <w:tcPr>
            <w:tcW w:w="1167" w:type="dxa"/>
            <w:shd w:val="clear" w:color="000000" w:fill="39617A"/>
            <w:noWrap/>
            <w:vAlign w:val="center"/>
            <w:hideMark/>
          </w:tcPr>
          <w:p w14:paraId="017156E3" w14:textId="77777777" w:rsidR="00F22373" w:rsidRPr="00F22373" w:rsidRDefault="00F22373" w:rsidP="00F22373">
            <w:pPr>
              <w:pStyle w:val="tabletxt"/>
              <w:jc w:val="center"/>
              <w:rPr>
                <w:color w:val="FFFFFF" w:themeColor="background1"/>
              </w:rPr>
            </w:pPr>
            <w:r w:rsidRPr="00F22373">
              <w:rPr>
                <w:color w:val="FFFFFF" w:themeColor="background1"/>
              </w:rPr>
              <w:t>NOĆENJA</w:t>
            </w:r>
          </w:p>
        </w:tc>
        <w:tc>
          <w:tcPr>
            <w:tcW w:w="1166" w:type="dxa"/>
            <w:shd w:val="clear" w:color="000000" w:fill="39617A"/>
            <w:noWrap/>
            <w:vAlign w:val="center"/>
            <w:hideMark/>
          </w:tcPr>
          <w:p w14:paraId="741EEF58" w14:textId="77777777" w:rsidR="00F22373" w:rsidRPr="00F22373" w:rsidRDefault="00F22373" w:rsidP="00F22373">
            <w:pPr>
              <w:pStyle w:val="tabletxt"/>
              <w:jc w:val="center"/>
              <w:rPr>
                <w:color w:val="FFFFFF" w:themeColor="background1"/>
              </w:rPr>
            </w:pPr>
            <w:r w:rsidRPr="00F22373">
              <w:rPr>
                <w:color w:val="FFFFFF" w:themeColor="background1"/>
              </w:rPr>
              <w:t>DOLASCI</w:t>
            </w:r>
          </w:p>
        </w:tc>
        <w:tc>
          <w:tcPr>
            <w:tcW w:w="1167" w:type="dxa"/>
            <w:shd w:val="clear" w:color="000000" w:fill="39617A"/>
            <w:noWrap/>
            <w:vAlign w:val="center"/>
            <w:hideMark/>
          </w:tcPr>
          <w:p w14:paraId="61D0FB9A" w14:textId="77777777" w:rsidR="00F22373" w:rsidRPr="00F22373" w:rsidRDefault="00F22373" w:rsidP="00F22373">
            <w:pPr>
              <w:pStyle w:val="tabletxt"/>
              <w:jc w:val="center"/>
              <w:rPr>
                <w:color w:val="FFFFFF" w:themeColor="background1"/>
              </w:rPr>
            </w:pPr>
            <w:r w:rsidRPr="00F22373">
              <w:rPr>
                <w:color w:val="FFFFFF" w:themeColor="background1"/>
              </w:rPr>
              <w:t>NOĆENJA</w:t>
            </w:r>
          </w:p>
        </w:tc>
      </w:tr>
      <w:tr w:rsidR="00F22373" w:rsidRPr="00F22373" w14:paraId="5D1D9202" w14:textId="77777777" w:rsidTr="00F22373">
        <w:trPr>
          <w:trHeight w:val="122"/>
        </w:trPr>
        <w:tc>
          <w:tcPr>
            <w:tcW w:w="2289" w:type="dxa"/>
            <w:shd w:val="clear" w:color="000000" w:fill="39617A"/>
            <w:noWrap/>
            <w:vAlign w:val="center"/>
            <w:hideMark/>
          </w:tcPr>
          <w:p w14:paraId="2C0E6B8D" w14:textId="77777777" w:rsidR="00F22373" w:rsidRPr="00F22373" w:rsidRDefault="00F22373" w:rsidP="00F22373">
            <w:pPr>
              <w:pStyle w:val="tabletxt"/>
              <w:rPr>
                <w:color w:val="FFFFFF" w:themeColor="background1"/>
              </w:rPr>
            </w:pPr>
            <w:r w:rsidRPr="00F22373">
              <w:rPr>
                <w:color w:val="FFFFFF" w:themeColor="background1"/>
              </w:rPr>
              <w:t>Republika Hrvatska</w:t>
            </w:r>
          </w:p>
        </w:tc>
        <w:tc>
          <w:tcPr>
            <w:tcW w:w="1166" w:type="dxa"/>
            <w:shd w:val="clear" w:color="FFFFFF" w:fill="FFFFFF"/>
            <w:vAlign w:val="center"/>
            <w:hideMark/>
          </w:tcPr>
          <w:p w14:paraId="4040BA24" w14:textId="77777777" w:rsidR="00F22373" w:rsidRPr="00F22373" w:rsidRDefault="00F22373" w:rsidP="00F22373">
            <w:pPr>
              <w:pStyle w:val="tabletxt"/>
              <w:jc w:val="center"/>
            </w:pPr>
            <w:r w:rsidRPr="00F22373">
              <w:t>14.343.323</w:t>
            </w:r>
          </w:p>
        </w:tc>
        <w:tc>
          <w:tcPr>
            <w:tcW w:w="1167" w:type="dxa"/>
            <w:shd w:val="clear" w:color="FFFFFF" w:fill="FFFFFF"/>
            <w:vAlign w:val="center"/>
            <w:hideMark/>
          </w:tcPr>
          <w:p w14:paraId="0E31E095" w14:textId="77777777" w:rsidR="00F22373" w:rsidRPr="00F22373" w:rsidRDefault="00F22373" w:rsidP="00F22373">
            <w:pPr>
              <w:pStyle w:val="tabletxt"/>
              <w:jc w:val="center"/>
            </w:pPr>
            <w:r w:rsidRPr="00F22373">
              <w:t>71.605.315</w:t>
            </w:r>
          </w:p>
        </w:tc>
        <w:tc>
          <w:tcPr>
            <w:tcW w:w="1166" w:type="dxa"/>
            <w:shd w:val="clear" w:color="FFFFFF" w:fill="FFFFFF"/>
            <w:vAlign w:val="center"/>
            <w:hideMark/>
          </w:tcPr>
          <w:p w14:paraId="2A815E04" w14:textId="77777777" w:rsidR="00F22373" w:rsidRPr="00F22373" w:rsidRDefault="00F22373" w:rsidP="00F22373">
            <w:pPr>
              <w:pStyle w:val="tabletxt"/>
              <w:jc w:val="center"/>
            </w:pPr>
            <w:r w:rsidRPr="00F22373">
              <w:t>15.594.157</w:t>
            </w:r>
          </w:p>
        </w:tc>
        <w:tc>
          <w:tcPr>
            <w:tcW w:w="1167" w:type="dxa"/>
            <w:shd w:val="clear" w:color="FFFFFF" w:fill="FFFFFF"/>
            <w:vAlign w:val="center"/>
            <w:hideMark/>
          </w:tcPr>
          <w:p w14:paraId="40008789" w14:textId="77777777" w:rsidR="00F22373" w:rsidRPr="00F22373" w:rsidRDefault="00F22373" w:rsidP="00F22373">
            <w:pPr>
              <w:pStyle w:val="tabletxt"/>
              <w:jc w:val="center"/>
            </w:pPr>
            <w:r w:rsidRPr="00F22373">
              <w:t>78.049.852</w:t>
            </w:r>
          </w:p>
        </w:tc>
        <w:tc>
          <w:tcPr>
            <w:tcW w:w="1166" w:type="dxa"/>
            <w:shd w:val="clear" w:color="FFFFFF" w:fill="FFFFFF"/>
            <w:vAlign w:val="center"/>
            <w:hideMark/>
          </w:tcPr>
          <w:p w14:paraId="6F5C6291" w14:textId="77777777" w:rsidR="00F22373" w:rsidRPr="00F22373" w:rsidRDefault="00F22373" w:rsidP="00F22373">
            <w:pPr>
              <w:pStyle w:val="tabletxt"/>
              <w:jc w:val="center"/>
            </w:pPr>
            <w:r w:rsidRPr="00F22373">
              <w:t>17.430.580</w:t>
            </w:r>
          </w:p>
        </w:tc>
        <w:tc>
          <w:tcPr>
            <w:tcW w:w="1167" w:type="dxa"/>
            <w:shd w:val="clear" w:color="FFFFFF" w:fill="FFFFFF"/>
            <w:vAlign w:val="center"/>
            <w:hideMark/>
          </w:tcPr>
          <w:p w14:paraId="463E3FAC" w14:textId="77777777" w:rsidR="00F22373" w:rsidRPr="00F22373" w:rsidRDefault="00F22373" w:rsidP="00F22373">
            <w:pPr>
              <w:pStyle w:val="tabletxt"/>
              <w:jc w:val="center"/>
            </w:pPr>
            <w:r w:rsidRPr="00F22373">
              <w:t>86.200.261</w:t>
            </w:r>
          </w:p>
        </w:tc>
      </w:tr>
      <w:tr w:rsidR="00F22373" w:rsidRPr="00F22373" w14:paraId="1CF03EC9" w14:textId="77777777" w:rsidTr="00F22373">
        <w:trPr>
          <w:trHeight w:val="69"/>
        </w:trPr>
        <w:tc>
          <w:tcPr>
            <w:tcW w:w="2289" w:type="dxa"/>
            <w:shd w:val="clear" w:color="000000" w:fill="39617A"/>
            <w:noWrap/>
            <w:vAlign w:val="center"/>
            <w:hideMark/>
          </w:tcPr>
          <w:p w14:paraId="52773F7A" w14:textId="77777777" w:rsidR="00F22373" w:rsidRPr="00F22373" w:rsidRDefault="00F22373" w:rsidP="00F22373">
            <w:pPr>
              <w:pStyle w:val="tabletxt"/>
              <w:rPr>
                <w:color w:val="FFFFFF" w:themeColor="background1"/>
              </w:rPr>
            </w:pPr>
            <w:r w:rsidRPr="00F22373">
              <w:rPr>
                <w:color w:val="FFFFFF" w:themeColor="background1"/>
              </w:rPr>
              <w:t>Karlovačka-županija</w:t>
            </w:r>
          </w:p>
        </w:tc>
        <w:tc>
          <w:tcPr>
            <w:tcW w:w="1166" w:type="dxa"/>
            <w:shd w:val="clear" w:color="FFFFFF" w:fill="FFFFFF"/>
            <w:vAlign w:val="center"/>
            <w:hideMark/>
          </w:tcPr>
          <w:p w14:paraId="43CB029D" w14:textId="77777777" w:rsidR="00F22373" w:rsidRPr="00F22373" w:rsidRDefault="00F22373" w:rsidP="00F22373">
            <w:pPr>
              <w:pStyle w:val="tabletxt"/>
              <w:jc w:val="center"/>
            </w:pPr>
            <w:r w:rsidRPr="00F22373">
              <w:t>245.000</w:t>
            </w:r>
          </w:p>
        </w:tc>
        <w:tc>
          <w:tcPr>
            <w:tcW w:w="1167" w:type="dxa"/>
            <w:shd w:val="clear" w:color="FFFFFF" w:fill="FFFFFF"/>
            <w:vAlign w:val="center"/>
            <w:hideMark/>
          </w:tcPr>
          <w:p w14:paraId="5E300BF6" w14:textId="77777777" w:rsidR="00F22373" w:rsidRPr="00F22373" w:rsidRDefault="00F22373" w:rsidP="00F22373">
            <w:pPr>
              <w:pStyle w:val="tabletxt"/>
              <w:jc w:val="center"/>
            </w:pPr>
            <w:r w:rsidRPr="00F22373">
              <w:t>395.348</w:t>
            </w:r>
          </w:p>
        </w:tc>
        <w:tc>
          <w:tcPr>
            <w:tcW w:w="1166" w:type="dxa"/>
            <w:shd w:val="clear" w:color="FFFFFF" w:fill="FFFFFF"/>
            <w:vAlign w:val="center"/>
            <w:hideMark/>
          </w:tcPr>
          <w:p w14:paraId="7447CEC8" w14:textId="77777777" w:rsidR="00F22373" w:rsidRPr="00F22373" w:rsidRDefault="00F22373" w:rsidP="00F22373">
            <w:pPr>
              <w:pStyle w:val="tabletxt"/>
              <w:jc w:val="center"/>
            </w:pPr>
            <w:r w:rsidRPr="00F22373">
              <w:t>278.965</w:t>
            </w:r>
          </w:p>
        </w:tc>
        <w:tc>
          <w:tcPr>
            <w:tcW w:w="1167" w:type="dxa"/>
            <w:shd w:val="clear" w:color="FFFFFF" w:fill="FFFFFF"/>
            <w:vAlign w:val="center"/>
            <w:hideMark/>
          </w:tcPr>
          <w:p w14:paraId="01D4B683" w14:textId="77777777" w:rsidR="00F22373" w:rsidRPr="00F22373" w:rsidRDefault="00F22373" w:rsidP="00F22373">
            <w:pPr>
              <w:pStyle w:val="tabletxt"/>
              <w:jc w:val="center"/>
            </w:pPr>
            <w:r w:rsidRPr="00F22373">
              <w:t>466.432</w:t>
            </w:r>
          </w:p>
        </w:tc>
        <w:tc>
          <w:tcPr>
            <w:tcW w:w="1166" w:type="dxa"/>
            <w:shd w:val="clear" w:color="FFFFFF" w:fill="FFFFFF"/>
            <w:vAlign w:val="center"/>
            <w:hideMark/>
          </w:tcPr>
          <w:p w14:paraId="586A69C6" w14:textId="77777777" w:rsidR="00F22373" w:rsidRPr="00F22373" w:rsidRDefault="00F22373" w:rsidP="00F22373">
            <w:pPr>
              <w:pStyle w:val="tabletxt"/>
              <w:jc w:val="center"/>
            </w:pPr>
            <w:r w:rsidRPr="00F22373">
              <w:t>332.991</w:t>
            </w:r>
          </w:p>
        </w:tc>
        <w:tc>
          <w:tcPr>
            <w:tcW w:w="1167" w:type="dxa"/>
            <w:shd w:val="clear" w:color="FFFFFF" w:fill="FFFFFF"/>
            <w:vAlign w:val="center"/>
            <w:hideMark/>
          </w:tcPr>
          <w:p w14:paraId="0568B4E4" w14:textId="77777777" w:rsidR="00F22373" w:rsidRPr="00F22373" w:rsidRDefault="00F22373" w:rsidP="00F22373">
            <w:pPr>
              <w:pStyle w:val="tabletxt"/>
              <w:jc w:val="center"/>
            </w:pPr>
            <w:r w:rsidRPr="00F22373">
              <w:t>565.298</w:t>
            </w:r>
          </w:p>
        </w:tc>
      </w:tr>
      <w:tr w:rsidR="00F22373" w:rsidRPr="00F22373" w14:paraId="4D6C80DF" w14:textId="77777777" w:rsidTr="00F22373">
        <w:trPr>
          <w:trHeight w:val="142"/>
        </w:trPr>
        <w:tc>
          <w:tcPr>
            <w:tcW w:w="2289" w:type="dxa"/>
            <w:shd w:val="clear" w:color="000000" w:fill="39617A"/>
            <w:noWrap/>
            <w:vAlign w:val="center"/>
            <w:hideMark/>
          </w:tcPr>
          <w:p w14:paraId="47A56216" w14:textId="77777777" w:rsidR="00F22373" w:rsidRPr="00F22373" w:rsidRDefault="00F22373" w:rsidP="00F22373">
            <w:pPr>
              <w:pStyle w:val="tabletxt"/>
              <w:rPr>
                <w:color w:val="FFFFFF" w:themeColor="background1"/>
              </w:rPr>
            </w:pPr>
            <w:r w:rsidRPr="00F22373">
              <w:rPr>
                <w:color w:val="FFFFFF" w:themeColor="background1"/>
              </w:rPr>
              <w:t>Grad Karlovac</w:t>
            </w:r>
          </w:p>
        </w:tc>
        <w:tc>
          <w:tcPr>
            <w:tcW w:w="1166" w:type="dxa"/>
            <w:shd w:val="clear" w:color="FFFFFF" w:fill="FFFFFF"/>
            <w:vAlign w:val="center"/>
            <w:hideMark/>
          </w:tcPr>
          <w:p w14:paraId="2EB0C142" w14:textId="77777777" w:rsidR="00F22373" w:rsidRPr="00F22373" w:rsidRDefault="00F22373" w:rsidP="00F22373">
            <w:pPr>
              <w:pStyle w:val="tabletxt"/>
              <w:jc w:val="center"/>
            </w:pPr>
            <w:r w:rsidRPr="00F22373">
              <w:t>28.230</w:t>
            </w:r>
          </w:p>
        </w:tc>
        <w:tc>
          <w:tcPr>
            <w:tcW w:w="1167" w:type="dxa"/>
            <w:shd w:val="clear" w:color="FFFFFF" w:fill="FFFFFF"/>
            <w:vAlign w:val="center"/>
            <w:hideMark/>
          </w:tcPr>
          <w:p w14:paraId="4DF2BD98" w14:textId="77777777" w:rsidR="00F22373" w:rsidRPr="00F22373" w:rsidRDefault="00F22373" w:rsidP="00F22373">
            <w:pPr>
              <w:pStyle w:val="tabletxt"/>
              <w:jc w:val="center"/>
            </w:pPr>
            <w:r w:rsidRPr="00F22373">
              <w:t>39.834</w:t>
            </w:r>
          </w:p>
        </w:tc>
        <w:tc>
          <w:tcPr>
            <w:tcW w:w="1166" w:type="dxa"/>
            <w:shd w:val="clear" w:color="FFFFFF" w:fill="FFFFFF"/>
            <w:vAlign w:val="center"/>
            <w:hideMark/>
          </w:tcPr>
          <w:p w14:paraId="74604808" w14:textId="77777777" w:rsidR="00F22373" w:rsidRPr="00F22373" w:rsidRDefault="00F22373" w:rsidP="00F22373">
            <w:pPr>
              <w:pStyle w:val="tabletxt"/>
              <w:jc w:val="center"/>
            </w:pPr>
            <w:r w:rsidRPr="00F22373">
              <w:t>30.738</w:t>
            </w:r>
          </w:p>
        </w:tc>
        <w:tc>
          <w:tcPr>
            <w:tcW w:w="1167" w:type="dxa"/>
            <w:shd w:val="clear" w:color="FFFFFF" w:fill="FFFFFF"/>
            <w:vAlign w:val="center"/>
            <w:hideMark/>
          </w:tcPr>
          <w:p w14:paraId="2CB8569D" w14:textId="77777777" w:rsidR="00F22373" w:rsidRPr="00F22373" w:rsidRDefault="00F22373" w:rsidP="00F22373">
            <w:pPr>
              <w:pStyle w:val="tabletxt"/>
              <w:jc w:val="center"/>
            </w:pPr>
            <w:r w:rsidRPr="00F22373">
              <w:t>42.036</w:t>
            </w:r>
          </w:p>
        </w:tc>
        <w:tc>
          <w:tcPr>
            <w:tcW w:w="1166" w:type="dxa"/>
            <w:shd w:val="clear" w:color="FFFFFF" w:fill="FFFFFF"/>
            <w:vAlign w:val="center"/>
            <w:hideMark/>
          </w:tcPr>
          <w:p w14:paraId="36DF9AAE" w14:textId="77777777" w:rsidR="00F22373" w:rsidRPr="00F22373" w:rsidRDefault="00F22373" w:rsidP="00F22373">
            <w:pPr>
              <w:pStyle w:val="tabletxt"/>
              <w:jc w:val="center"/>
            </w:pPr>
            <w:r w:rsidRPr="00F22373">
              <w:t>36.617</w:t>
            </w:r>
          </w:p>
        </w:tc>
        <w:tc>
          <w:tcPr>
            <w:tcW w:w="1167" w:type="dxa"/>
            <w:shd w:val="clear" w:color="FFFFFF" w:fill="FFFFFF"/>
            <w:vAlign w:val="center"/>
            <w:hideMark/>
          </w:tcPr>
          <w:p w14:paraId="3B3DD04A" w14:textId="77777777" w:rsidR="00F22373" w:rsidRPr="00F22373" w:rsidRDefault="00F22373" w:rsidP="00F22373">
            <w:pPr>
              <w:pStyle w:val="tabletxt"/>
              <w:jc w:val="center"/>
            </w:pPr>
            <w:r w:rsidRPr="00F22373">
              <w:t>47.920</w:t>
            </w:r>
          </w:p>
        </w:tc>
      </w:tr>
      <w:tr w:rsidR="00F22373" w:rsidRPr="00F22373" w14:paraId="03EE9C5F" w14:textId="77777777" w:rsidTr="00F22373">
        <w:trPr>
          <w:trHeight w:val="88"/>
        </w:trPr>
        <w:tc>
          <w:tcPr>
            <w:tcW w:w="2289" w:type="dxa"/>
            <w:shd w:val="clear" w:color="000000" w:fill="39617A"/>
            <w:noWrap/>
            <w:vAlign w:val="center"/>
            <w:hideMark/>
          </w:tcPr>
          <w:p w14:paraId="5698CA9F" w14:textId="77777777" w:rsidR="00F22373" w:rsidRPr="00F22373" w:rsidRDefault="00F22373" w:rsidP="00F22373">
            <w:pPr>
              <w:pStyle w:val="tabletxt"/>
              <w:rPr>
                <w:color w:val="FFFFFF" w:themeColor="background1"/>
              </w:rPr>
            </w:pPr>
            <w:r w:rsidRPr="00F22373">
              <w:rPr>
                <w:color w:val="FFFFFF" w:themeColor="background1"/>
              </w:rPr>
              <w:t>Duga Resa</w:t>
            </w:r>
          </w:p>
        </w:tc>
        <w:tc>
          <w:tcPr>
            <w:tcW w:w="1166" w:type="dxa"/>
            <w:shd w:val="clear" w:color="FFFFFF" w:fill="FFFFFF"/>
            <w:vAlign w:val="center"/>
            <w:hideMark/>
          </w:tcPr>
          <w:p w14:paraId="3EA206E9" w14:textId="77777777" w:rsidR="00F22373" w:rsidRPr="00F22373" w:rsidRDefault="00F22373" w:rsidP="00F22373">
            <w:pPr>
              <w:pStyle w:val="tabletxt"/>
              <w:jc w:val="center"/>
            </w:pPr>
            <w:r w:rsidRPr="00F22373">
              <w:t>11.661</w:t>
            </w:r>
          </w:p>
        </w:tc>
        <w:tc>
          <w:tcPr>
            <w:tcW w:w="1167" w:type="dxa"/>
            <w:shd w:val="clear" w:color="FFFFFF" w:fill="FFFFFF"/>
            <w:vAlign w:val="center"/>
            <w:hideMark/>
          </w:tcPr>
          <w:p w14:paraId="68EFE79E" w14:textId="77777777" w:rsidR="00F22373" w:rsidRPr="00F22373" w:rsidRDefault="00F22373" w:rsidP="00F22373">
            <w:pPr>
              <w:pStyle w:val="tabletxt"/>
              <w:jc w:val="center"/>
            </w:pPr>
            <w:r w:rsidRPr="00F22373">
              <w:t>27.563</w:t>
            </w:r>
          </w:p>
        </w:tc>
        <w:tc>
          <w:tcPr>
            <w:tcW w:w="1166" w:type="dxa"/>
            <w:shd w:val="clear" w:color="FFFFFF" w:fill="FFFFFF"/>
            <w:vAlign w:val="center"/>
            <w:hideMark/>
          </w:tcPr>
          <w:p w14:paraId="56958378" w14:textId="77777777" w:rsidR="00F22373" w:rsidRPr="00F22373" w:rsidRDefault="00F22373" w:rsidP="00F22373">
            <w:pPr>
              <w:pStyle w:val="tabletxt"/>
              <w:jc w:val="center"/>
            </w:pPr>
            <w:r w:rsidRPr="00F22373">
              <w:t>12.744</w:t>
            </w:r>
          </w:p>
        </w:tc>
        <w:tc>
          <w:tcPr>
            <w:tcW w:w="1167" w:type="dxa"/>
            <w:shd w:val="clear" w:color="FFFFFF" w:fill="FFFFFF"/>
            <w:vAlign w:val="center"/>
            <w:hideMark/>
          </w:tcPr>
          <w:p w14:paraId="40E18216" w14:textId="77777777" w:rsidR="00F22373" w:rsidRPr="00F22373" w:rsidRDefault="00F22373" w:rsidP="00F22373">
            <w:pPr>
              <w:pStyle w:val="tabletxt"/>
              <w:jc w:val="center"/>
            </w:pPr>
            <w:r w:rsidRPr="00F22373">
              <w:t>27.756</w:t>
            </w:r>
          </w:p>
        </w:tc>
        <w:tc>
          <w:tcPr>
            <w:tcW w:w="1166" w:type="dxa"/>
            <w:shd w:val="clear" w:color="FFFFFF" w:fill="FFFFFF"/>
            <w:vAlign w:val="center"/>
            <w:hideMark/>
          </w:tcPr>
          <w:p w14:paraId="26486A9F" w14:textId="77777777" w:rsidR="00F22373" w:rsidRPr="00F22373" w:rsidRDefault="00F22373" w:rsidP="00F22373">
            <w:pPr>
              <w:pStyle w:val="tabletxt"/>
              <w:jc w:val="center"/>
            </w:pPr>
            <w:r w:rsidRPr="00F22373">
              <w:t>17.012</w:t>
            </w:r>
          </w:p>
        </w:tc>
        <w:tc>
          <w:tcPr>
            <w:tcW w:w="1167" w:type="dxa"/>
            <w:shd w:val="clear" w:color="FFFFFF" w:fill="FFFFFF"/>
            <w:vAlign w:val="center"/>
            <w:hideMark/>
          </w:tcPr>
          <w:p w14:paraId="432F2D6E" w14:textId="77777777" w:rsidR="00F22373" w:rsidRPr="00F22373" w:rsidRDefault="00F22373" w:rsidP="00F22373">
            <w:pPr>
              <w:pStyle w:val="tabletxt"/>
              <w:jc w:val="center"/>
            </w:pPr>
            <w:r w:rsidRPr="00F22373">
              <w:t>35.648</w:t>
            </w:r>
          </w:p>
        </w:tc>
      </w:tr>
      <w:tr w:rsidR="00F22373" w:rsidRPr="00F22373" w14:paraId="30509CE3" w14:textId="77777777" w:rsidTr="00F22373">
        <w:trPr>
          <w:trHeight w:val="53"/>
        </w:trPr>
        <w:tc>
          <w:tcPr>
            <w:tcW w:w="2289" w:type="dxa"/>
            <w:shd w:val="clear" w:color="000000" w:fill="39617A"/>
            <w:noWrap/>
            <w:vAlign w:val="center"/>
            <w:hideMark/>
          </w:tcPr>
          <w:p w14:paraId="73F19FF5" w14:textId="77777777" w:rsidR="00F22373" w:rsidRPr="00F22373" w:rsidRDefault="00F22373" w:rsidP="00F22373">
            <w:pPr>
              <w:pStyle w:val="tabletxt"/>
              <w:rPr>
                <w:color w:val="FFFFFF" w:themeColor="background1"/>
              </w:rPr>
            </w:pPr>
            <w:r w:rsidRPr="00F22373">
              <w:rPr>
                <w:color w:val="FFFFFF" w:themeColor="background1"/>
              </w:rPr>
              <w:t>Ozalj</w:t>
            </w:r>
          </w:p>
        </w:tc>
        <w:tc>
          <w:tcPr>
            <w:tcW w:w="1166" w:type="dxa"/>
            <w:shd w:val="clear" w:color="FFFFFF" w:fill="FFFFFF"/>
            <w:vAlign w:val="center"/>
            <w:hideMark/>
          </w:tcPr>
          <w:p w14:paraId="179263BB" w14:textId="77777777" w:rsidR="00F22373" w:rsidRPr="00F22373" w:rsidRDefault="00F22373" w:rsidP="00F22373">
            <w:pPr>
              <w:pStyle w:val="tabletxt"/>
              <w:jc w:val="center"/>
            </w:pPr>
            <w:r w:rsidRPr="00F22373">
              <w:t>n/a</w:t>
            </w:r>
          </w:p>
        </w:tc>
        <w:tc>
          <w:tcPr>
            <w:tcW w:w="1167" w:type="dxa"/>
            <w:shd w:val="clear" w:color="FFFFFF" w:fill="FFFFFF"/>
            <w:vAlign w:val="center"/>
            <w:hideMark/>
          </w:tcPr>
          <w:p w14:paraId="6608BBCC" w14:textId="77777777" w:rsidR="00F22373" w:rsidRPr="00F22373" w:rsidRDefault="00F22373" w:rsidP="00F22373">
            <w:pPr>
              <w:pStyle w:val="tabletxt"/>
              <w:jc w:val="center"/>
            </w:pPr>
            <w:r w:rsidRPr="00F22373">
              <w:t>n/a</w:t>
            </w:r>
          </w:p>
        </w:tc>
        <w:tc>
          <w:tcPr>
            <w:tcW w:w="1166" w:type="dxa"/>
            <w:shd w:val="clear" w:color="FFFFFF" w:fill="FFFFFF"/>
            <w:vAlign w:val="center"/>
            <w:hideMark/>
          </w:tcPr>
          <w:p w14:paraId="78196A28" w14:textId="77777777" w:rsidR="00F22373" w:rsidRPr="00F22373" w:rsidRDefault="00F22373" w:rsidP="00F22373">
            <w:pPr>
              <w:pStyle w:val="tabletxt"/>
              <w:jc w:val="center"/>
            </w:pPr>
            <w:r w:rsidRPr="00F22373">
              <w:t>2.082</w:t>
            </w:r>
          </w:p>
        </w:tc>
        <w:tc>
          <w:tcPr>
            <w:tcW w:w="1167" w:type="dxa"/>
            <w:shd w:val="clear" w:color="FFFFFF" w:fill="FFFFFF"/>
            <w:vAlign w:val="center"/>
            <w:hideMark/>
          </w:tcPr>
          <w:p w14:paraId="020A73B3" w14:textId="77777777" w:rsidR="00F22373" w:rsidRPr="00F22373" w:rsidRDefault="00F22373" w:rsidP="00F22373">
            <w:pPr>
              <w:pStyle w:val="tabletxt"/>
              <w:jc w:val="center"/>
            </w:pPr>
            <w:r w:rsidRPr="00F22373">
              <w:t>3.272</w:t>
            </w:r>
          </w:p>
        </w:tc>
        <w:tc>
          <w:tcPr>
            <w:tcW w:w="1166" w:type="dxa"/>
            <w:shd w:val="clear" w:color="FFFFFF" w:fill="FFFFFF"/>
            <w:vAlign w:val="center"/>
            <w:hideMark/>
          </w:tcPr>
          <w:p w14:paraId="6605548B" w14:textId="77777777" w:rsidR="00F22373" w:rsidRPr="00F22373" w:rsidRDefault="00F22373" w:rsidP="00F22373">
            <w:pPr>
              <w:pStyle w:val="tabletxt"/>
              <w:jc w:val="center"/>
            </w:pPr>
            <w:r w:rsidRPr="00F22373">
              <w:t>2.484</w:t>
            </w:r>
          </w:p>
        </w:tc>
        <w:tc>
          <w:tcPr>
            <w:tcW w:w="1167" w:type="dxa"/>
            <w:shd w:val="clear" w:color="FFFFFF" w:fill="FFFFFF"/>
            <w:vAlign w:val="center"/>
            <w:hideMark/>
          </w:tcPr>
          <w:p w14:paraId="75895361" w14:textId="77777777" w:rsidR="00F22373" w:rsidRPr="00F22373" w:rsidRDefault="00F22373" w:rsidP="00F22373">
            <w:pPr>
              <w:pStyle w:val="tabletxt"/>
              <w:jc w:val="center"/>
            </w:pPr>
            <w:r w:rsidRPr="00F22373">
              <w:t>3.630</w:t>
            </w:r>
          </w:p>
        </w:tc>
      </w:tr>
      <w:tr w:rsidR="00F22373" w:rsidRPr="00F22373" w14:paraId="2B5B241B" w14:textId="77777777" w:rsidTr="00F22373">
        <w:trPr>
          <w:trHeight w:val="53"/>
        </w:trPr>
        <w:tc>
          <w:tcPr>
            <w:tcW w:w="2289" w:type="dxa"/>
            <w:shd w:val="clear" w:color="000000" w:fill="39617A"/>
            <w:noWrap/>
            <w:vAlign w:val="center"/>
            <w:hideMark/>
          </w:tcPr>
          <w:p w14:paraId="1F9F72A1" w14:textId="00A1A3C2" w:rsidR="00F22373" w:rsidRPr="00F22373" w:rsidRDefault="00191A73" w:rsidP="00191A73">
            <w:pPr>
              <w:pStyle w:val="tabletxt"/>
              <w:rPr>
                <w:color w:val="FFFFFF" w:themeColor="background1"/>
              </w:rPr>
            </w:pPr>
            <w:r>
              <w:rPr>
                <w:color w:val="FFFFFF" w:themeColor="background1"/>
              </w:rPr>
              <w:t xml:space="preserve">KA </w:t>
            </w:r>
            <w:r w:rsidR="00F22373" w:rsidRPr="00F22373">
              <w:rPr>
                <w:color w:val="FFFFFF" w:themeColor="background1"/>
              </w:rPr>
              <w:t>županija</w:t>
            </w:r>
            <w:r>
              <w:rPr>
                <w:color w:val="FFFFFF" w:themeColor="background1"/>
              </w:rPr>
              <w:t>/RH (</w:t>
            </w:r>
            <w:r w:rsidR="00F22373" w:rsidRPr="00F22373">
              <w:rPr>
                <w:color w:val="FFFFFF" w:themeColor="background1"/>
              </w:rPr>
              <w:t xml:space="preserve">% </w:t>
            </w:r>
            <w:r>
              <w:rPr>
                <w:color w:val="FFFFFF" w:themeColor="background1"/>
              </w:rPr>
              <w:t>)</w:t>
            </w:r>
          </w:p>
        </w:tc>
        <w:tc>
          <w:tcPr>
            <w:tcW w:w="1166" w:type="dxa"/>
            <w:shd w:val="clear" w:color="FFFFFF" w:fill="FFFFFF"/>
            <w:vAlign w:val="center"/>
            <w:hideMark/>
          </w:tcPr>
          <w:p w14:paraId="42FD4CE0" w14:textId="77777777" w:rsidR="00F22373" w:rsidRPr="00F22373" w:rsidRDefault="00F22373" w:rsidP="00F22373">
            <w:pPr>
              <w:pStyle w:val="tabletxt"/>
              <w:jc w:val="center"/>
            </w:pPr>
            <w:r w:rsidRPr="00F22373">
              <w:t>1,71%</w:t>
            </w:r>
          </w:p>
        </w:tc>
        <w:tc>
          <w:tcPr>
            <w:tcW w:w="1167" w:type="dxa"/>
            <w:shd w:val="clear" w:color="FFFFFF" w:fill="FFFFFF"/>
            <w:vAlign w:val="center"/>
            <w:hideMark/>
          </w:tcPr>
          <w:p w14:paraId="0A7B04AC" w14:textId="77777777" w:rsidR="00F22373" w:rsidRPr="00F22373" w:rsidRDefault="00F22373" w:rsidP="00F22373">
            <w:pPr>
              <w:pStyle w:val="tabletxt"/>
              <w:jc w:val="center"/>
            </w:pPr>
            <w:r w:rsidRPr="00F22373">
              <w:t>0,55%</w:t>
            </w:r>
          </w:p>
        </w:tc>
        <w:tc>
          <w:tcPr>
            <w:tcW w:w="1166" w:type="dxa"/>
            <w:shd w:val="clear" w:color="FFFFFF" w:fill="FFFFFF"/>
            <w:vAlign w:val="center"/>
            <w:hideMark/>
          </w:tcPr>
          <w:p w14:paraId="2C6EDF0D" w14:textId="77777777" w:rsidR="00F22373" w:rsidRPr="00F22373" w:rsidRDefault="00F22373" w:rsidP="00F22373">
            <w:pPr>
              <w:pStyle w:val="tabletxt"/>
              <w:jc w:val="center"/>
            </w:pPr>
            <w:r w:rsidRPr="00F22373">
              <w:t>1,79%</w:t>
            </w:r>
          </w:p>
        </w:tc>
        <w:tc>
          <w:tcPr>
            <w:tcW w:w="1167" w:type="dxa"/>
            <w:shd w:val="clear" w:color="FFFFFF" w:fill="FFFFFF"/>
            <w:vAlign w:val="center"/>
            <w:hideMark/>
          </w:tcPr>
          <w:p w14:paraId="346FC1C7" w14:textId="77777777" w:rsidR="00F22373" w:rsidRPr="00F22373" w:rsidRDefault="00F22373" w:rsidP="00F22373">
            <w:pPr>
              <w:pStyle w:val="tabletxt"/>
              <w:jc w:val="center"/>
            </w:pPr>
            <w:r w:rsidRPr="00F22373">
              <w:t>0,60%</w:t>
            </w:r>
          </w:p>
        </w:tc>
        <w:tc>
          <w:tcPr>
            <w:tcW w:w="1166" w:type="dxa"/>
            <w:shd w:val="clear" w:color="FFFFFF" w:fill="FFFFFF"/>
            <w:vAlign w:val="center"/>
            <w:hideMark/>
          </w:tcPr>
          <w:p w14:paraId="3E69B0C8" w14:textId="77777777" w:rsidR="00F22373" w:rsidRPr="00F22373" w:rsidRDefault="00F22373" w:rsidP="00F22373">
            <w:pPr>
              <w:pStyle w:val="tabletxt"/>
              <w:jc w:val="center"/>
            </w:pPr>
            <w:r w:rsidRPr="00F22373">
              <w:t>1,91%</w:t>
            </w:r>
          </w:p>
        </w:tc>
        <w:tc>
          <w:tcPr>
            <w:tcW w:w="1167" w:type="dxa"/>
            <w:shd w:val="clear" w:color="FFFFFF" w:fill="FFFFFF"/>
            <w:vAlign w:val="center"/>
            <w:hideMark/>
          </w:tcPr>
          <w:p w14:paraId="77AFB90D" w14:textId="77777777" w:rsidR="00F22373" w:rsidRPr="00F22373" w:rsidRDefault="00F22373" w:rsidP="00F22373">
            <w:pPr>
              <w:pStyle w:val="tabletxt"/>
              <w:jc w:val="center"/>
            </w:pPr>
            <w:r w:rsidRPr="00F22373">
              <w:t>0,66%</w:t>
            </w:r>
          </w:p>
        </w:tc>
      </w:tr>
      <w:tr w:rsidR="00F22373" w:rsidRPr="00F22373" w14:paraId="55F210C9" w14:textId="77777777" w:rsidTr="00F22373">
        <w:trPr>
          <w:trHeight w:val="53"/>
        </w:trPr>
        <w:tc>
          <w:tcPr>
            <w:tcW w:w="2289" w:type="dxa"/>
            <w:shd w:val="clear" w:color="000000" w:fill="39617A"/>
            <w:noWrap/>
            <w:vAlign w:val="center"/>
            <w:hideMark/>
          </w:tcPr>
          <w:p w14:paraId="6284E75D" w14:textId="739AF04F" w:rsidR="00F22373" w:rsidRPr="00F22373" w:rsidRDefault="00191A73" w:rsidP="00F22373">
            <w:pPr>
              <w:pStyle w:val="tabletxt"/>
              <w:rPr>
                <w:color w:val="FFFFFF" w:themeColor="background1"/>
              </w:rPr>
            </w:pPr>
            <w:r>
              <w:rPr>
                <w:color w:val="FFFFFF" w:themeColor="background1"/>
              </w:rPr>
              <w:t>Karlovac/</w:t>
            </w:r>
            <w:r w:rsidR="00F22373" w:rsidRPr="00F22373">
              <w:rPr>
                <w:color w:val="FFFFFF" w:themeColor="background1"/>
              </w:rPr>
              <w:t>KA županija</w:t>
            </w:r>
            <w:r>
              <w:rPr>
                <w:color w:val="FFFFFF" w:themeColor="background1"/>
              </w:rPr>
              <w:t xml:space="preserve"> (%)</w:t>
            </w:r>
          </w:p>
        </w:tc>
        <w:tc>
          <w:tcPr>
            <w:tcW w:w="1166" w:type="dxa"/>
            <w:shd w:val="clear" w:color="FFFFFF" w:fill="FFFFFF"/>
            <w:vAlign w:val="center"/>
            <w:hideMark/>
          </w:tcPr>
          <w:p w14:paraId="1FACC689" w14:textId="77777777" w:rsidR="00F22373" w:rsidRPr="00F22373" w:rsidRDefault="00F22373" w:rsidP="00F22373">
            <w:pPr>
              <w:pStyle w:val="tabletxt"/>
              <w:jc w:val="center"/>
            </w:pPr>
            <w:r w:rsidRPr="00F22373">
              <w:t>11,52%</w:t>
            </w:r>
          </w:p>
        </w:tc>
        <w:tc>
          <w:tcPr>
            <w:tcW w:w="1167" w:type="dxa"/>
            <w:shd w:val="clear" w:color="FFFFFF" w:fill="FFFFFF"/>
            <w:vAlign w:val="center"/>
            <w:hideMark/>
          </w:tcPr>
          <w:p w14:paraId="424930E3" w14:textId="77777777" w:rsidR="00F22373" w:rsidRPr="00F22373" w:rsidRDefault="00F22373" w:rsidP="00F22373">
            <w:pPr>
              <w:pStyle w:val="tabletxt"/>
              <w:jc w:val="center"/>
            </w:pPr>
            <w:r w:rsidRPr="00F22373">
              <w:t>10,08%</w:t>
            </w:r>
          </w:p>
        </w:tc>
        <w:tc>
          <w:tcPr>
            <w:tcW w:w="1166" w:type="dxa"/>
            <w:shd w:val="clear" w:color="FFFFFF" w:fill="FFFFFF"/>
            <w:vAlign w:val="center"/>
            <w:hideMark/>
          </w:tcPr>
          <w:p w14:paraId="0CE55A5F" w14:textId="77777777" w:rsidR="00F22373" w:rsidRPr="00F22373" w:rsidRDefault="00F22373" w:rsidP="00F22373">
            <w:pPr>
              <w:pStyle w:val="tabletxt"/>
              <w:jc w:val="center"/>
            </w:pPr>
            <w:r w:rsidRPr="00F22373">
              <w:t>11,02%</w:t>
            </w:r>
          </w:p>
        </w:tc>
        <w:tc>
          <w:tcPr>
            <w:tcW w:w="1167" w:type="dxa"/>
            <w:shd w:val="clear" w:color="FFFFFF" w:fill="FFFFFF"/>
            <w:vAlign w:val="center"/>
            <w:hideMark/>
          </w:tcPr>
          <w:p w14:paraId="55C8A32F" w14:textId="77777777" w:rsidR="00F22373" w:rsidRPr="00F22373" w:rsidRDefault="00F22373" w:rsidP="00F22373">
            <w:pPr>
              <w:pStyle w:val="tabletxt"/>
              <w:jc w:val="center"/>
            </w:pPr>
            <w:r w:rsidRPr="00F22373">
              <w:t>9,01%</w:t>
            </w:r>
          </w:p>
        </w:tc>
        <w:tc>
          <w:tcPr>
            <w:tcW w:w="1166" w:type="dxa"/>
            <w:shd w:val="clear" w:color="FFFFFF" w:fill="FFFFFF"/>
            <w:vAlign w:val="center"/>
            <w:hideMark/>
          </w:tcPr>
          <w:p w14:paraId="0D293684" w14:textId="77777777" w:rsidR="00F22373" w:rsidRPr="00F22373" w:rsidRDefault="00F22373" w:rsidP="00F22373">
            <w:pPr>
              <w:pStyle w:val="tabletxt"/>
              <w:jc w:val="center"/>
            </w:pPr>
            <w:r w:rsidRPr="00F22373">
              <w:t>11,00%</w:t>
            </w:r>
          </w:p>
        </w:tc>
        <w:tc>
          <w:tcPr>
            <w:tcW w:w="1167" w:type="dxa"/>
            <w:shd w:val="clear" w:color="FFFFFF" w:fill="FFFFFF"/>
            <w:vAlign w:val="center"/>
            <w:hideMark/>
          </w:tcPr>
          <w:p w14:paraId="011D23C6" w14:textId="77777777" w:rsidR="00F22373" w:rsidRPr="00F22373" w:rsidRDefault="00F22373" w:rsidP="00F22373">
            <w:pPr>
              <w:pStyle w:val="tabletxt"/>
              <w:jc w:val="center"/>
            </w:pPr>
            <w:r w:rsidRPr="00F22373">
              <w:t>8,48%</w:t>
            </w:r>
          </w:p>
        </w:tc>
      </w:tr>
      <w:tr w:rsidR="00F22373" w:rsidRPr="00F22373" w14:paraId="19CBCF5E" w14:textId="77777777" w:rsidTr="00F22373">
        <w:trPr>
          <w:trHeight w:val="53"/>
        </w:trPr>
        <w:tc>
          <w:tcPr>
            <w:tcW w:w="2289" w:type="dxa"/>
            <w:shd w:val="clear" w:color="000000" w:fill="39617A"/>
            <w:noWrap/>
            <w:vAlign w:val="center"/>
            <w:hideMark/>
          </w:tcPr>
          <w:p w14:paraId="427ACF27" w14:textId="446A1599" w:rsidR="00F22373" w:rsidRPr="00F22373" w:rsidRDefault="00191A73" w:rsidP="00F22373">
            <w:pPr>
              <w:pStyle w:val="tabletxt"/>
              <w:rPr>
                <w:color w:val="FFFFFF" w:themeColor="background1"/>
              </w:rPr>
            </w:pPr>
            <w:r>
              <w:rPr>
                <w:color w:val="FFFFFF" w:themeColor="background1"/>
              </w:rPr>
              <w:t>Duga Resa</w:t>
            </w:r>
            <w:r w:rsidR="00F22373" w:rsidRPr="00F22373">
              <w:rPr>
                <w:color w:val="FFFFFF" w:themeColor="background1"/>
              </w:rPr>
              <w:t>/KA županija</w:t>
            </w:r>
            <w:r>
              <w:rPr>
                <w:color w:val="FFFFFF" w:themeColor="background1"/>
              </w:rPr>
              <w:t xml:space="preserve"> (%)</w:t>
            </w:r>
          </w:p>
        </w:tc>
        <w:tc>
          <w:tcPr>
            <w:tcW w:w="1166" w:type="dxa"/>
            <w:shd w:val="clear" w:color="FFFFFF" w:fill="FFFFFF"/>
            <w:vAlign w:val="center"/>
            <w:hideMark/>
          </w:tcPr>
          <w:p w14:paraId="7C69F231" w14:textId="77777777" w:rsidR="00F22373" w:rsidRPr="00F22373" w:rsidRDefault="00F22373" w:rsidP="00F22373">
            <w:pPr>
              <w:pStyle w:val="tabletxt"/>
              <w:jc w:val="center"/>
            </w:pPr>
            <w:r w:rsidRPr="00F22373">
              <w:t>4,76%</w:t>
            </w:r>
          </w:p>
        </w:tc>
        <w:tc>
          <w:tcPr>
            <w:tcW w:w="1167" w:type="dxa"/>
            <w:shd w:val="clear" w:color="FFFFFF" w:fill="FFFFFF"/>
            <w:vAlign w:val="center"/>
            <w:hideMark/>
          </w:tcPr>
          <w:p w14:paraId="077D38A4" w14:textId="77777777" w:rsidR="00F22373" w:rsidRPr="00F22373" w:rsidRDefault="00F22373" w:rsidP="00F22373">
            <w:pPr>
              <w:pStyle w:val="tabletxt"/>
              <w:jc w:val="center"/>
            </w:pPr>
            <w:r w:rsidRPr="00F22373">
              <w:t>6,97%</w:t>
            </w:r>
          </w:p>
        </w:tc>
        <w:tc>
          <w:tcPr>
            <w:tcW w:w="1166" w:type="dxa"/>
            <w:shd w:val="clear" w:color="FFFFFF" w:fill="FFFFFF"/>
            <w:vAlign w:val="center"/>
            <w:hideMark/>
          </w:tcPr>
          <w:p w14:paraId="69F2A259" w14:textId="77777777" w:rsidR="00F22373" w:rsidRPr="00F22373" w:rsidRDefault="00F22373" w:rsidP="00F22373">
            <w:pPr>
              <w:pStyle w:val="tabletxt"/>
              <w:jc w:val="center"/>
            </w:pPr>
            <w:r w:rsidRPr="00F22373">
              <w:t>4,57%</w:t>
            </w:r>
          </w:p>
        </w:tc>
        <w:tc>
          <w:tcPr>
            <w:tcW w:w="1167" w:type="dxa"/>
            <w:shd w:val="clear" w:color="FFFFFF" w:fill="FFFFFF"/>
            <w:vAlign w:val="center"/>
            <w:hideMark/>
          </w:tcPr>
          <w:p w14:paraId="1C4B2812" w14:textId="77777777" w:rsidR="00F22373" w:rsidRPr="00F22373" w:rsidRDefault="00F22373" w:rsidP="00F22373">
            <w:pPr>
              <w:pStyle w:val="tabletxt"/>
              <w:jc w:val="center"/>
            </w:pPr>
            <w:r w:rsidRPr="00F22373">
              <w:t>5,95%</w:t>
            </w:r>
          </w:p>
        </w:tc>
        <w:tc>
          <w:tcPr>
            <w:tcW w:w="1166" w:type="dxa"/>
            <w:shd w:val="clear" w:color="FFFFFF" w:fill="FFFFFF"/>
            <w:vAlign w:val="center"/>
            <w:hideMark/>
          </w:tcPr>
          <w:p w14:paraId="0A4CF80F" w14:textId="77777777" w:rsidR="00F22373" w:rsidRPr="00F22373" w:rsidRDefault="00F22373" w:rsidP="00F22373">
            <w:pPr>
              <w:pStyle w:val="tabletxt"/>
              <w:jc w:val="center"/>
            </w:pPr>
            <w:r w:rsidRPr="00F22373">
              <w:t>5,11%</w:t>
            </w:r>
          </w:p>
        </w:tc>
        <w:tc>
          <w:tcPr>
            <w:tcW w:w="1167" w:type="dxa"/>
            <w:shd w:val="clear" w:color="FFFFFF" w:fill="FFFFFF"/>
            <w:vAlign w:val="center"/>
            <w:hideMark/>
          </w:tcPr>
          <w:p w14:paraId="45D50FCC" w14:textId="77777777" w:rsidR="00F22373" w:rsidRPr="00F22373" w:rsidRDefault="00F22373" w:rsidP="00F22373">
            <w:pPr>
              <w:pStyle w:val="tabletxt"/>
              <w:jc w:val="center"/>
            </w:pPr>
            <w:r w:rsidRPr="00F22373">
              <w:t>6,31%</w:t>
            </w:r>
          </w:p>
        </w:tc>
      </w:tr>
      <w:tr w:rsidR="00F22373" w:rsidRPr="00F22373" w14:paraId="2BEC2115" w14:textId="77777777" w:rsidTr="00F22373">
        <w:trPr>
          <w:trHeight w:val="53"/>
        </w:trPr>
        <w:tc>
          <w:tcPr>
            <w:tcW w:w="2289" w:type="dxa"/>
            <w:shd w:val="clear" w:color="000000" w:fill="39617A"/>
            <w:noWrap/>
            <w:vAlign w:val="center"/>
            <w:hideMark/>
          </w:tcPr>
          <w:p w14:paraId="3ADEFCD9" w14:textId="17F3C5B3" w:rsidR="00F22373" w:rsidRPr="00F22373" w:rsidRDefault="00F22373" w:rsidP="00F22373">
            <w:pPr>
              <w:pStyle w:val="tabletxt"/>
              <w:rPr>
                <w:color w:val="FFFFFF" w:themeColor="background1"/>
              </w:rPr>
            </w:pPr>
            <w:r w:rsidRPr="00F22373">
              <w:rPr>
                <w:color w:val="FFFFFF" w:themeColor="background1"/>
              </w:rPr>
              <w:lastRenderedPageBreak/>
              <w:t>Ozal</w:t>
            </w:r>
            <w:r w:rsidR="00191A73">
              <w:rPr>
                <w:color w:val="FFFFFF" w:themeColor="background1"/>
              </w:rPr>
              <w:t>j</w:t>
            </w:r>
            <w:r w:rsidRPr="00F22373">
              <w:rPr>
                <w:color w:val="FFFFFF" w:themeColor="background1"/>
              </w:rPr>
              <w:t>/KA županija</w:t>
            </w:r>
            <w:r w:rsidR="00191A73">
              <w:rPr>
                <w:color w:val="FFFFFF" w:themeColor="background1"/>
              </w:rPr>
              <w:t xml:space="preserve"> (%)</w:t>
            </w:r>
          </w:p>
        </w:tc>
        <w:tc>
          <w:tcPr>
            <w:tcW w:w="1166" w:type="dxa"/>
            <w:shd w:val="clear" w:color="FFFFFF" w:fill="FFFFFF"/>
            <w:vAlign w:val="center"/>
            <w:hideMark/>
          </w:tcPr>
          <w:p w14:paraId="1796F769" w14:textId="77777777" w:rsidR="00F22373" w:rsidRPr="00F22373" w:rsidRDefault="00F22373" w:rsidP="00F22373">
            <w:pPr>
              <w:pStyle w:val="tabletxt"/>
              <w:jc w:val="center"/>
            </w:pPr>
            <w:r w:rsidRPr="00F22373">
              <w:t>n/a</w:t>
            </w:r>
          </w:p>
        </w:tc>
        <w:tc>
          <w:tcPr>
            <w:tcW w:w="1167" w:type="dxa"/>
            <w:shd w:val="clear" w:color="FFFFFF" w:fill="FFFFFF"/>
            <w:vAlign w:val="center"/>
            <w:hideMark/>
          </w:tcPr>
          <w:p w14:paraId="159E442C" w14:textId="77777777" w:rsidR="00F22373" w:rsidRPr="00F22373" w:rsidRDefault="00F22373" w:rsidP="00F22373">
            <w:pPr>
              <w:pStyle w:val="tabletxt"/>
              <w:jc w:val="center"/>
            </w:pPr>
            <w:r w:rsidRPr="00F22373">
              <w:t>n/a</w:t>
            </w:r>
          </w:p>
        </w:tc>
        <w:tc>
          <w:tcPr>
            <w:tcW w:w="1166" w:type="dxa"/>
            <w:shd w:val="clear" w:color="FFFFFF" w:fill="FFFFFF"/>
            <w:vAlign w:val="center"/>
            <w:hideMark/>
          </w:tcPr>
          <w:p w14:paraId="73AA1B55" w14:textId="77777777" w:rsidR="00F22373" w:rsidRPr="00F22373" w:rsidRDefault="00F22373" w:rsidP="00F22373">
            <w:pPr>
              <w:pStyle w:val="tabletxt"/>
              <w:jc w:val="center"/>
            </w:pPr>
            <w:r w:rsidRPr="00F22373">
              <w:t>0,75%</w:t>
            </w:r>
          </w:p>
        </w:tc>
        <w:tc>
          <w:tcPr>
            <w:tcW w:w="1167" w:type="dxa"/>
            <w:shd w:val="clear" w:color="FFFFFF" w:fill="FFFFFF"/>
            <w:vAlign w:val="center"/>
            <w:hideMark/>
          </w:tcPr>
          <w:p w14:paraId="5FE7736E" w14:textId="77777777" w:rsidR="00F22373" w:rsidRPr="00F22373" w:rsidRDefault="00F22373" w:rsidP="00F22373">
            <w:pPr>
              <w:pStyle w:val="tabletxt"/>
              <w:jc w:val="center"/>
            </w:pPr>
            <w:r w:rsidRPr="00F22373">
              <w:t>0,70%</w:t>
            </w:r>
          </w:p>
        </w:tc>
        <w:tc>
          <w:tcPr>
            <w:tcW w:w="1166" w:type="dxa"/>
            <w:shd w:val="clear" w:color="FFFFFF" w:fill="FFFFFF"/>
            <w:vAlign w:val="center"/>
            <w:hideMark/>
          </w:tcPr>
          <w:p w14:paraId="4D441E00" w14:textId="77777777" w:rsidR="00F22373" w:rsidRPr="00F22373" w:rsidRDefault="00F22373" w:rsidP="00F22373">
            <w:pPr>
              <w:pStyle w:val="tabletxt"/>
              <w:jc w:val="center"/>
            </w:pPr>
            <w:r w:rsidRPr="00F22373">
              <w:t>0,75%</w:t>
            </w:r>
          </w:p>
        </w:tc>
        <w:tc>
          <w:tcPr>
            <w:tcW w:w="1167" w:type="dxa"/>
            <w:shd w:val="clear" w:color="FFFFFF" w:fill="FFFFFF"/>
            <w:vAlign w:val="center"/>
            <w:hideMark/>
          </w:tcPr>
          <w:p w14:paraId="493FB413" w14:textId="77777777" w:rsidR="00F22373" w:rsidRPr="00F22373" w:rsidRDefault="00F22373" w:rsidP="00F22373">
            <w:pPr>
              <w:pStyle w:val="tabletxt"/>
              <w:jc w:val="center"/>
            </w:pPr>
            <w:r w:rsidRPr="00F22373">
              <w:t>0,64%</w:t>
            </w:r>
          </w:p>
        </w:tc>
      </w:tr>
      <w:tr w:rsidR="0096747C" w:rsidRPr="0096747C" w14:paraId="30138174" w14:textId="77777777" w:rsidTr="00F22373">
        <w:trPr>
          <w:trHeight w:val="53"/>
        </w:trPr>
        <w:tc>
          <w:tcPr>
            <w:tcW w:w="2289" w:type="dxa"/>
            <w:shd w:val="clear" w:color="000000" w:fill="39617A"/>
            <w:noWrap/>
            <w:vAlign w:val="center"/>
          </w:tcPr>
          <w:p w14:paraId="52F0A122" w14:textId="56189B52" w:rsidR="0096747C" w:rsidRPr="0096747C" w:rsidRDefault="00191A73" w:rsidP="00F22373">
            <w:pPr>
              <w:pStyle w:val="tabletxt"/>
              <w:rPr>
                <w:b/>
                <w:color w:val="FFFFFF" w:themeColor="background1"/>
              </w:rPr>
            </w:pPr>
            <w:r>
              <w:rPr>
                <w:b/>
                <w:color w:val="FFFFFF" w:themeColor="background1"/>
              </w:rPr>
              <w:t>VUPKA/</w:t>
            </w:r>
            <w:r w:rsidR="0096747C" w:rsidRPr="0096747C">
              <w:rPr>
                <w:b/>
                <w:color w:val="FFFFFF" w:themeColor="background1"/>
              </w:rPr>
              <w:t>KA županija</w:t>
            </w:r>
            <w:r>
              <w:rPr>
                <w:b/>
                <w:color w:val="FFFFFF" w:themeColor="background1"/>
              </w:rPr>
              <w:t xml:space="preserve"> (%)</w:t>
            </w:r>
          </w:p>
        </w:tc>
        <w:tc>
          <w:tcPr>
            <w:tcW w:w="1166" w:type="dxa"/>
            <w:shd w:val="clear" w:color="FFFFFF" w:fill="FFFFFF"/>
            <w:vAlign w:val="center"/>
          </w:tcPr>
          <w:p w14:paraId="74626DD7" w14:textId="56AB24C9" w:rsidR="0096747C" w:rsidRPr="0096747C" w:rsidRDefault="0096747C" w:rsidP="00F22373">
            <w:pPr>
              <w:pStyle w:val="tabletxt"/>
              <w:jc w:val="center"/>
              <w:rPr>
                <w:b/>
              </w:rPr>
            </w:pPr>
            <w:r w:rsidRPr="0096747C">
              <w:rPr>
                <w:b/>
              </w:rPr>
              <w:t>16%</w:t>
            </w:r>
          </w:p>
        </w:tc>
        <w:tc>
          <w:tcPr>
            <w:tcW w:w="1167" w:type="dxa"/>
            <w:shd w:val="clear" w:color="FFFFFF" w:fill="FFFFFF"/>
            <w:vAlign w:val="center"/>
          </w:tcPr>
          <w:p w14:paraId="7F1CBECC" w14:textId="7EAF1758" w:rsidR="0096747C" w:rsidRPr="0096747C" w:rsidRDefault="0096747C" w:rsidP="00F22373">
            <w:pPr>
              <w:pStyle w:val="tabletxt"/>
              <w:jc w:val="center"/>
              <w:rPr>
                <w:b/>
              </w:rPr>
            </w:pPr>
            <w:r w:rsidRPr="0096747C">
              <w:rPr>
                <w:b/>
              </w:rPr>
              <w:t>17%</w:t>
            </w:r>
          </w:p>
        </w:tc>
        <w:tc>
          <w:tcPr>
            <w:tcW w:w="1166" w:type="dxa"/>
            <w:shd w:val="clear" w:color="FFFFFF" w:fill="FFFFFF"/>
            <w:vAlign w:val="center"/>
          </w:tcPr>
          <w:p w14:paraId="0CD09551" w14:textId="1E1F937E" w:rsidR="0096747C" w:rsidRPr="0096747C" w:rsidRDefault="0096747C" w:rsidP="00F22373">
            <w:pPr>
              <w:pStyle w:val="tabletxt"/>
              <w:jc w:val="center"/>
              <w:rPr>
                <w:b/>
              </w:rPr>
            </w:pPr>
            <w:r w:rsidRPr="0096747C">
              <w:rPr>
                <w:b/>
              </w:rPr>
              <w:t>16%</w:t>
            </w:r>
          </w:p>
        </w:tc>
        <w:tc>
          <w:tcPr>
            <w:tcW w:w="1167" w:type="dxa"/>
            <w:shd w:val="clear" w:color="FFFFFF" w:fill="FFFFFF"/>
            <w:vAlign w:val="center"/>
          </w:tcPr>
          <w:p w14:paraId="38FD0BFC" w14:textId="3C69FA74" w:rsidR="0096747C" w:rsidRPr="0096747C" w:rsidRDefault="0096747C" w:rsidP="00F22373">
            <w:pPr>
              <w:pStyle w:val="tabletxt"/>
              <w:jc w:val="center"/>
              <w:rPr>
                <w:b/>
              </w:rPr>
            </w:pPr>
            <w:r w:rsidRPr="0096747C">
              <w:rPr>
                <w:b/>
              </w:rPr>
              <w:t>16%</w:t>
            </w:r>
          </w:p>
        </w:tc>
        <w:tc>
          <w:tcPr>
            <w:tcW w:w="1166" w:type="dxa"/>
            <w:shd w:val="clear" w:color="FFFFFF" w:fill="FFFFFF"/>
            <w:vAlign w:val="center"/>
          </w:tcPr>
          <w:p w14:paraId="5EC187EE" w14:textId="48B9F807" w:rsidR="0096747C" w:rsidRPr="0096747C" w:rsidRDefault="0096747C" w:rsidP="00F22373">
            <w:pPr>
              <w:pStyle w:val="tabletxt"/>
              <w:jc w:val="center"/>
              <w:rPr>
                <w:b/>
              </w:rPr>
            </w:pPr>
            <w:r w:rsidRPr="0096747C">
              <w:rPr>
                <w:b/>
              </w:rPr>
              <w:t>17%</w:t>
            </w:r>
          </w:p>
        </w:tc>
        <w:tc>
          <w:tcPr>
            <w:tcW w:w="1167" w:type="dxa"/>
            <w:shd w:val="clear" w:color="FFFFFF" w:fill="FFFFFF"/>
            <w:vAlign w:val="center"/>
          </w:tcPr>
          <w:p w14:paraId="418896F1" w14:textId="216CEDC0" w:rsidR="0096747C" w:rsidRPr="0096747C" w:rsidRDefault="0096747C" w:rsidP="00F22373">
            <w:pPr>
              <w:pStyle w:val="tabletxt"/>
              <w:jc w:val="center"/>
              <w:rPr>
                <w:b/>
              </w:rPr>
            </w:pPr>
            <w:r w:rsidRPr="0096747C">
              <w:rPr>
                <w:b/>
              </w:rPr>
              <w:t>15%</w:t>
            </w:r>
          </w:p>
        </w:tc>
      </w:tr>
    </w:tbl>
    <w:p w14:paraId="1CBDF6DA" w14:textId="77777777" w:rsidR="00F22373" w:rsidRPr="00FD510D" w:rsidRDefault="00F22373" w:rsidP="00F22373">
      <w:pPr>
        <w:rPr>
          <w:bCs/>
          <w:color w:val="44697D"/>
          <w:sz w:val="18"/>
          <w:szCs w:val="18"/>
        </w:rPr>
      </w:pPr>
      <w:r w:rsidRPr="00FD510D">
        <w:rPr>
          <w:bCs/>
          <w:color w:val="44697D"/>
          <w:sz w:val="18"/>
          <w:szCs w:val="18"/>
        </w:rPr>
        <w:t>Izvor: DZS</w:t>
      </w:r>
    </w:p>
    <w:p w14:paraId="2CA01520" w14:textId="79581A00" w:rsidR="00191A73" w:rsidRDefault="00191A73" w:rsidP="00E44713">
      <w:r>
        <w:t xml:space="preserve">Slična situacija je i u pogledu smještajnih kapaciteta – na području Karlovačke županije je u 2017. godini zabilježeno ukupno 8.314 kreveta, od čega je 37% u privatnom smještaju, 33% u kampovima, 8% u hotelima, 5% u hostelima i 16% u ostalim smještajnim oblicima. Od ovog broja, otprilike 19% smještajnih kapaciteta nalazi se na području VUPKA (1.546 kreveta), dok je ostatak koncentriran u </w:t>
      </w:r>
      <w:r w:rsidR="00F12F04">
        <w:t>druge dvije županijske destinicije</w:t>
      </w:r>
      <w:r>
        <w:t>, Rakovici (55.8% smještajnih</w:t>
      </w:r>
      <w:r w:rsidR="00F12F04">
        <w:t xml:space="preserve"> kapaciteta i 52% noćenja u 2017.) te Slunju (9.5% smještajnih kapaciteta i 19% noćenja u 2017.), koji su uz grad Karlovac glavni generatori turističkog prometa u županiji</w:t>
      </w:r>
      <w:r>
        <w:t>.</w:t>
      </w:r>
      <w:r w:rsidR="00F12F04">
        <w:t xml:space="preserve"> Prosječna godišnja zauzetost svih smještajnih kapaciteta u Karlovačkoj županiji u 2017. godini bila je 19%, što je znatno manje od </w:t>
      </w:r>
      <w:r w:rsidR="00B622E0">
        <w:t>nacionalnog</w:t>
      </w:r>
      <w:r w:rsidR="00F12F04">
        <w:t xml:space="preserve"> prosjeka koji za istu godinu iznosi </w:t>
      </w:r>
      <w:r w:rsidR="00B018A1">
        <w:t>28%. Sezonalnost turističkih noć</w:t>
      </w:r>
      <w:r w:rsidR="00F12F04">
        <w:t>enja pokazuje da se od lipnja do rujna u Karlovačkoj županiji ostvaruje 77% ukupnih noćenja, dok srpanj i kolovoz generiraju 55% noćenja. U razdoblju od studenog do ožujka, broj noćenja u Županiji je na relativno niskoj razini te dostiže maksimalno oko 10.000 noćenja mjesečno.</w:t>
      </w:r>
    </w:p>
    <w:p w14:paraId="60D4F834" w14:textId="14572ECA" w:rsidR="00A227D5" w:rsidRPr="00E44713" w:rsidRDefault="00E44713" w:rsidP="00E44713">
      <w:r>
        <w:t>Sukladno lokalnim i županijskim strategijama</w:t>
      </w:r>
      <w:r>
        <w:rPr>
          <w:rStyle w:val="FootnoteReference"/>
        </w:rPr>
        <w:footnoteReference w:id="20"/>
      </w:r>
      <w:r>
        <w:t>, i u skladu s resursnom osnovom, razvoj turizma na području županije i VUPKA temelji se</w:t>
      </w:r>
      <w:r w:rsidR="00A227D5" w:rsidRPr="00E44713">
        <w:t xml:space="preserve"> na sljedećim primarnim turističkim proizvodima:</w:t>
      </w:r>
    </w:p>
    <w:p w14:paraId="6542D468" w14:textId="77777777" w:rsidR="00A227D5" w:rsidRPr="00E44713" w:rsidRDefault="00A227D5" w:rsidP="00EC1C17">
      <w:pPr>
        <w:pStyle w:val="ListParagraph"/>
        <w:numPr>
          <w:ilvl w:val="0"/>
          <w:numId w:val="34"/>
        </w:numPr>
      </w:pPr>
      <w:r w:rsidRPr="00E44713">
        <w:t>Aktivni odmor</w:t>
      </w:r>
    </w:p>
    <w:p w14:paraId="4FDB7ABD" w14:textId="77777777" w:rsidR="00A227D5" w:rsidRPr="00E44713" w:rsidRDefault="00A227D5" w:rsidP="00EC1C17">
      <w:pPr>
        <w:pStyle w:val="ListParagraph"/>
        <w:numPr>
          <w:ilvl w:val="0"/>
          <w:numId w:val="34"/>
        </w:numPr>
      </w:pPr>
      <w:r w:rsidRPr="00E44713">
        <w:t>Ruralni turizam</w:t>
      </w:r>
    </w:p>
    <w:p w14:paraId="32008026" w14:textId="77777777" w:rsidR="00A227D5" w:rsidRPr="00E44713" w:rsidRDefault="00A227D5" w:rsidP="00EC1C17">
      <w:pPr>
        <w:pStyle w:val="ListParagraph"/>
        <w:numPr>
          <w:ilvl w:val="0"/>
          <w:numId w:val="34"/>
        </w:numPr>
      </w:pPr>
      <w:r w:rsidRPr="00E44713">
        <w:t>Lovni i ribolovni turizam</w:t>
      </w:r>
    </w:p>
    <w:p w14:paraId="58410353" w14:textId="77777777" w:rsidR="00A227D5" w:rsidRPr="00E44713" w:rsidRDefault="00A227D5" w:rsidP="00EC1C17">
      <w:pPr>
        <w:pStyle w:val="ListParagraph"/>
        <w:numPr>
          <w:ilvl w:val="0"/>
          <w:numId w:val="34"/>
        </w:numPr>
      </w:pPr>
      <w:r w:rsidRPr="00E44713">
        <w:t>Kulturni turizam</w:t>
      </w:r>
    </w:p>
    <w:p w14:paraId="303D1902" w14:textId="126B9AD1" w:rsidR="0037664C" w:rsidRPr="00E44713" w:rsidRDefault="00A227D5" w:rsidP="00E44713">
      <w:r w:rsidRPr="00E44713">
        <w:t>Ovdje je potrebno napomenuti kako enogastronomski turizam</w:t>
      </w:r>
      <w:r w:rsidR="00E44713">
        <w:t>,</w:t>
      </w:r>
      <w:r w:rsidRPr="00E44713">
        <w:t xml:space="preserve"> izleti i manifestacije također predstavljaju znač</w:t>
      </w:r>
      <w:r w:rsidR="00B622E0">
        <w:t>ajne turističke potencijale koje</w:t>
      </w:r>
      <w:r w:rsidRPr="00E44713">
        <w:t xml:space="preserve"> je potrebno kvalitetno valorizirati te kroz razvoj infrastrukture učinkovito povezati u prepoznatljive turističke proizvode.</w:t>
      </w:r>
    </w:p>
    <w:p w14:paraId="7494D56F" w14:textId="451EF4A1" w:rsidR="0037664C" w:rsidRPr="00E44713" w:rsidRDefault="00A227D5" w:rsidP="0037664C">
      <w:r w:rsidRPr="00E44713">
        <w:t>Mreža županijskih cikloturističkih staza iznosi 550 km, a uz 10 glavnih cikloturističkih staza značajne su i one manje, osobito one na području grada Duge Rese i rijeke Mrežnice. Područje rijeke Mrežnice osobito je privlačno za riječni sportski turiz</w:t>
      </w:r>
      <w:r w:rsidR="00192EA4">
        <w:t>am: rafting i kanuing, a zbog i</w:t>
      </w:r>
      <w:r w:rsidRPr="00E44713">
        <w:t>zuzetne čistoće riječnog toka čitavo je područje idealno i za riječni turizam. U tom smislu</w:t>
      </w:r>
      <w:r w:rsidR="00B622E0">
        <w:t>,</w:t>
      </w:r>
      <w:r w:rsidRPr="00E44713">
        <w:t xml:space="preserve"> na ovom se području razvio i kamperski turizam koji dodatno obogać</w:t>
      </w:r>
      <w:r w:rsidR="00E44713">
        <w:t>uje ponudu ruralnim područjima.</w:t>
      </w:r>
    </w:p>
    <w:p w14:paraId="03E14807" w14:textId="4F9BA0E0" w:rsidR="0037664C" w:rsidRPr="00E44713" w:rsidRDefault="0037664C" w:rsidP="00E44713">
      <w:r w:rsidRPr="00E44713">
        <w:t>Ovdje je potrebno napomenuti kako poljoprivreda visoke dodane vrijednosti</w:t>
      </w:r>
      <w:r>
        <w:t>, tradicionalna gastronomija i priprema hrane</w:t>
      </w:r>
      <w:r w:rsidRPr="00E44713">
        <w:t xml:space="preserve"> predstavlja</w:t>
      </w:r>
      <w:r>
        <w:t>ju</w:t>
      </w:r>
      <w:r w:rsidRPr="00E44713">
        <w:t xml:space="preserve"> značajan potencijal čitavog područja</w:t>
      </w:r>
      <w:r>
        <w:t>,</w:t>
      </w:r>
      <w:r w:rsidRPr="00E44713">
        <w:t xml:space="preserve"> ali </w:t>
      </w:r>
      <w:r w:rsidR="00B622E0">
        <w:t xml:space="preserve">je </w:t>
      </w:r>
      <w:r w:rsidRPr="00E44713">
        <w:t>potrebno definirati standarde proizvodnje i kvalitete te provesti postupak brendiranja proizvoda</w:t>
      </w:r>
      <w:r>
        <w:t xml:space="preserve"> te ojačati njihov marketing i plasman</w:t>
      </w:r>
      <w:r w:rsidRPr="00E44713">
        <w:t xml:space="preserve">. </w:t>
      </w:r>
    </w:p>
    <w:p w14:paraId="40EFE625" w14:textId="207789CB" w:rsidR="00A227D5" w:rsidRPr="00E44713" w:rsidRDefault="00A227D5" w:rsidP="00E44713">
      <w:r w:rsidRPr="00E44713">
        <w:t>Na urbanom su području sačuvani i vrijedni stari gradovi: Ozalj i Dubovac, a od posebnog je značaja i karlovačka povijesna jezgra – Zvijezda</w:t>
      </w:r>
      <w:r w:rsidR="00B622E0">
        <w:t>,</w:t>
      </w:r>
      <w:r w:rsidRPr="00E44713">
        <w:t xml:space="preserve"> koja predstavlja jedinstveni fortifikacijski grad izgrađen prema tadašnjem renesansnom planiranju sa simetrično raspoređenim modulima i centralnim gradskim trgom.</w:t>
      </w:r>
    </w:p>
    <w:p w14:paraId="4E5CEA37" w14:textId="24EDF11D" w:rsidR="00A227D5" w:rsidRPr="00E44713" w:rsidRDefault="00A227D5" w:rsidP="00E44713">
      <w:r w:rsidRPr="00E44713">
        <w:lastRenderedPageBreak/>
        <w:t>Čitavo područje također je prepoznatljivo po bogatoj sakralnoj baštini, povijesnim cestama, prepoznatljivim mostovima (dvokatni most u Tounju i najduži drveni most u Hrvatskoj kod Mrežničkog Briga) te po bogatim arheološkim zbirkama u muzejima u Karlovcu i Ozlju.</w:t>
      </w:r>
      <w:r w:rsidR="003D4754">
        <w:t xml:space="preserve"> Isc</w:t>
      </w:r>
      <w:r w:rsidR="00B622E0">
        <w:t>r</w:t>
      </w:r>
      <w:r w:rsidR="003D4754">
        <w:t xml:space="preserve">pna lista zaštićenih kulturnih dobara </w:t>
      </w:r>
      <w:r w:rsidR="00B567CA">
        <w:t xml:space="preserve">koja su potencijalni turistički resurs </w:t>
      </w:r>
      <w:r w:rsidR="003D4754">
        <w:t>na području triju JLS dana je u Prilogu 2.</w:t>
      </w:r>
    </w:p>
    <w:p w14:paraId="1F54ED7F" w14:textId="77777777" w:rsidR="00705AE3" w:rsidRDefault="0086586F" w:rsidP="0086586F">
      <w:r w:rsidRPr="00E44713">
        <w:t xml:space="preserve">Isto tako, značajan doprinos </w:t>
      </w:r>
      <w:r>
        <w:t>razvoju turizma imaju</w:t>
      </w:r>
      <w:r w:rsidRPr="00E44713">
        <w:t xml:space="preserve"> kulturne manifestacije koje, uz ostale koristi poput povećanja potrošnje u destinaciji i povećanja broja noćenja, pozitivno utječu i na smanjenje sezonalnosti - osobito one koje se održavaju van glavne sezone. Manifestacije su ipak najviše zastupljene u Karlovcu, a među najznačajnije se ubrajaju: Međunarodna ljetna škola gitare, Međunarodni festival folklora, Međunarodni festival suvremenog plesa Karlovac Dance Festival, Međunarodni etno-jazz festival, Međunarodni filmski festival Četiri Rijeke. </w:t>
      </w:r>
    </w:p>
    <w:p w14:paraId="6C2AA7F2" w14:textId="57479A22" w:rsidR="0086586F" w:rsidRPr="00E44713" w:rsidRDefault="0086586F" w:rsidP="0086586F">
      <w:r w:rsidRPr="00E44713">
        <w:t>U smislu jačanja prepoznatljivosti destinacije, Karlovac također ima značajan turistički potencijal koji se temelji na  dugogodišnjoj tradiciji pivarstva stoga se i sam brend karlovačkog piva može uspješno spojiti s razvojem  i jačanjem turističkog brenda Grada.</w:t>
      </w:r>
      <w:r w:rsidRPr="0086586F">
        <w:t xml:space="preserve"> </w:t>
      </w:r>
      <w:r>
        <w:t>Svojom je turističkom razvojnom strategijom Grad Karlovac prig</w:t>
      </w:r>
      <w:r w:rsidR="00192EA4">
        <w:t>r</w:t>
      </w:r>
      <w:r>
        <w:t>lio model integralnog destinacijskog managementa koji podrazumijeva restrukturiranje i repozicioniranje u kombinaciji s modelom ubrzanog urbanog rasta</w:t>
      </w:r>
      <w:r w:rsidR="002B4FF3">
        <w:rPr>
          <w:rStyle w:val="FootnoteReference"/>
        </w:rPr>
        <w:footnoteReference w:id="21"/>
      </w:r>
      <w:r>
        <w:t xml:space="preserve">, a turistički imidž i prepoznatljivost temelji na krilaticama </w:t>
      </w:r>
      <w:r w:rsidRPr="0086586F">
        <w:rPr>
          <w:b/>
        </w:rPr>
        <w:t>'grad na četiri rijeke</w:t>
      </w:r>
      <w:r>
        <w:rPr>
          <w:b/>
        </w:rPr>
        <w:t>'</w:t>
      </w:r>
      <w:r>
        <w:t xml:space="preserve"> i '</w:t>
      </w:r>
      <w:r>
        <w:rPr>
          <w:b/>
        </w:rPr>
        <w:t>grad</w:t>
      </w:r>
      <w:r w:rsidRPr="0086586F">
        <w:rPr>
          <w:b/>
        </w:rPr>
        <w:t xml:space="preserve"> susreta</w:t>
      </w:r>
      <w:r>
        <w:rPr>
          <w:b/>
        </w:rPr>
        <w:t>'</w:t>
      </w:r>
      <w:r w:rsidRPr="0086586F">
        <w:rPr>
          <w:b/>
        </w:rPr>
        <w:t xml:space="preserve"> </w:t>
      </w:r>
      <w:r w:rsidR="00192EA4">
        <w:rPr>
          <w:b/>
        </w:rPr>
        <w:t>te zaštićenoj i jedinstvenoj urbanoj c</w:t>
      </w:r>
      <w:r>
        <w:rPr>
          <w:b/>
        </w:rPr>
        <w:t xml:space="preserve">jelini </w:t>
      </w:r>
      <w:r w:rsidRPr="0086586F">
        <w:rPr>
          <w:b/>
        </w:rPr>
        <w:t>Zvijezd</w:t>
      </w:r>
      <w:r>
        <w:rPr>
          <w:b/>
        </w:rPr>
        <w:t>e</w:t>
      </w:r>
      <w:r>
        <w:t>.</w:t>
      </w:r>
    </w:p>
    <w:p w14:paraId="606C354F" w14:textId="67601B96" w:rsidR="00A227D5" w:rsidRDefault="0086586F" w:rsidP="00E44713">
      <w:r>
        <w:t xml:space="preserve">U smislu brendiranja, kao značajan </w:t>
      </w:r>
      <w:r w:rsidR="00B622E0">
        <w:t xml:space="preserve">se </w:t>
      </w:r>
      <w:r>
        <w:t xml:space="preserve">izdvaja i </w:t>
      </w:r>
      <w:r w:rsidR="00A227D5" w:rsidRPr="00E44713">
        <w:t xml:space="preserve">projekt </w:t>
      </w:r>
      <w:r w:rsidR="00A227D5" w:rsidRPr="00E44713">
        <w:rPr>
          <w:b/>
        </w:rPr>
        <w:t>Grada Ozlja "Slavin grad".</w:t>
      </w:r>
      <w:r w:rsidR="00A227D5" w:rsidRPr="00E44713">
        <w:t xml:space="preserve"> Riječ je o sveobuhvatnom procesu predstavljanja i brendiranja Ozlja kao jedinstvene destinacije kulturnog turizma koji je prepoznat i u okviru Razvojne strategije Karlovačke županije. Ovim se projektom Ozalj nastoji predstaviti kao europska kolijevka akvarela, a isti predviđa provedbu značajnog broja aktivnosti koje se odnose na izgradnju i uređenje turističke infrastrukture (Centar za posjetioce), uređenje atelijera, galerije i muz</w:t>
      </w:r>
      <w:r w:rsidR="00192EA4">
        <w:t>eja Slave Raškaj te organizacij</w:t>
      </w:r>
      <w:r w:rsidR="00A227D5" w:rsidRPr="00E44713">
        <w:t>u edukativnih aktivnosti (radionica i škola akvarela). Također, izrađen je i logotip kao prvi korak u brendiranju ove destinacije koja se predstavlja u vidu spoja kulturnih znamenitosti i prepoznatljivih prirodnih vrijednosti.</w:t>
      </w:r>
      <w:r w:rsidR="00862235">
        <w:t xml:space="preserve"> Grad Duga Resa opredjelio se za razvoj aktivnog turizma, i gradi svoj brend na temi </w:t>
      </w:r>
      <w:r w:rsidR="00862235" w:rsidRPr="00862235">
        <w:rPr>
          <w:b/>
        </w:rPr>
        <w:t>'vodenog grada'</w:t>
      </w:r>
      <w:r w:rsidR="00862235">
        <w:t>.</w:t>
      </w:r>
    </w:p>
    <w:p w14:paraId="53FBE788" w14:textId="77777777" w:rsidR="00F22373" w:rsidRPr="00E44713" w:rsidRDefault="00F22373" w:rsidP="00E44713"/>
    <w:p w14:paraId="71C9E8AF" w14:textId="77777777" w:rsidR="008A380E" w:rsidRPr="008A380E" w:rsidRDefault="008A380E" w:rsidP="008A380E"/>
    <w:p w14:paraId="5E51871C" w14:textId="5E2D3BA0" w:rsidR="00E04B40" w:rsidRPr="00DA239E" w:rsidRDefault="006B275F" w:rsidP="001A5F94">
      <w:pPr>
        <w:pStyle w:val="Heading2"/>
        <w:rPr>
          <w:noProof/>
        </w:rPr>
      </w:pPr>
      <w:bookmarkStart w:id="66" w:name="_Toc437390587"/>
      <w:r>
        <w:rPr>
          <w:noProof/>
        </w:rPr>
        <w:t>Urbano okruženje</w:t>
      </w:r>
      <w:bookmarkEnd w:id="66"/>
    </w:p>
    <w:p w14:paraId="73101917" w14:textId="595A92C1" w:rsidR="00E04B40" w:rsidRDefault="0037664C" w:rsidP="0037664C">
      <w:pPr>
        <w:pStyle w:val="Heading3"/>
      </w:pPr>
      <w:bookmarkStart w:id="67" w:name="_Toc437390588"/>
      <w:r>
        <w:t>Kvaliteta okoliša i izloženost ekološkim rizicim</w:t>
      </w:r>
      <w:r w:rsidR="00192EA4">
        <w:t>a</w:t>
      </w:r>
      <w:bookmarkEnd w:id="67"/>
    </w:p>
    <w:p w14:paraId="13751AE9" w14:textId="736AD16C" w:rsidR="0037664C" w:rsidRDefault="009D7BA9" w:rsidP="009D7BA9">
      <w:pPr>
        <w:pStyle w:val="Heading4"/>
      </w:pPr>
      <w:r>
        <w:t>Stanje okoliša</w:t>
      </w:r>
    </w:p>
    <w:p w14:paraId="7BF89F99" w14:textId="400ABC87" w:rsidR="009D7BA9" w:rsidRPr="009D7BA9" w:rsidRDefault="009D7BA9" w:rsidP="009D7BA9">
      <w:r w:rsidRPr="009D7BA9">
        <w:t>Karlovačka županija ubraja se po količini prirodnih voda u jednu od najbogatijih regija Hrvatske, a slično potvrđuje i geografski položaj gradova urbanog područja koji su svi smješteni u neposrednoj blizini riječnih tokova, osobito grad Karlovac koji se smjestio na 4 rijeke (Korana, Kupa, Dobra i Mrežnica). Međutim, stanovništvo ovog područja vodu za piće pretežito crpi iz podzemnih izvora, a problematika korištenja površinskih voda najviše je vezana uz rijeku Kupu</w:t>
      </w:r>
      <w:r w:rsidR="00B622E0">
        <w:t>,</w:t>
      </w:r>
      <w:r w:rsidRPr="009D7BA9">
        <w:t xml:space="preserve"> čijem slivu i pripada cijelo predmetno područje. S obzirom </w:t>
      </w:r>
      <w:r w:rsidR="00A85FE4">
        <w:t>na krška obilježja</w:t>
      </w:r>
      <w:r w:rsidR="00B622E0">
        <w:t>,</w:t>
      </w:r>
      <w:r w:rsidRPr="009D7BA9">
        <w:t xml:space="preserve"> prisutan je rizik od iznenadnog onečišćenja podzemnih voda, dok je u nizinskom dijelu, zbog nedovršenog sustava zaštite od poplava na karlovačko-sisačkom području, </w:t>
      </w:r>
      <w:r>
        <w:t xml:space="preserve">prisutan </w:t>
      </w:r>
      <w:r w:rsidRPr="00DE60F0">
        <w:t>značajni rizik od izlijevanja voda.</w:t>
      </w:r>
      <w:r w:rsidRPr="009D7BA9">
        <w:t xml:space="preserve"> Izvori mineralne vode  nalaze  se  u  području  Kamenskog i Lasinje, a u jugozapadnom dijelu Karlovačke  županije prisutne su rezerve podzemne vode prvog tipa.</w:t>
      </w:r>
    </w:p>
    <w:p w14:paraId="1716E22D" w14:textId="47F3B940" w:rsidR="009D7BA9" w:rsidRPr="009D7BA9" w:rsidRDefault="009D7BA9" w:rsidP="009D7BA9">
      <w:r w:rsidRPr="009D7BA9">
        <w:t xml:space="preserve">Služba za zdravstvenu ekologiju Zavoda za javno zdravstvo Karlovačke županije redovito provodi analize podzemnih i površinskih voda te analizira kvalitetu vode za ljudsku potrošnju. Do sada </w:t>
      </w:r>
      <w:r w:rsidRPr="009D7BA9">
        <w:lastRenderedPageBreak/>
        <w:t xml:space="preserve">provedene analize jasno ukazuju kako je i u 2017. godini od ukupno 1.486 analiziranih uzoraka vode iz javnih vodovoda (sirova i prerađena voda) svega 2,0% (29) bilo kemijski neispravno, dok je od 1.625 analiziranih uzoraka vode njih 11,8% (192) bilo mikrobiološki neispravno. Kretanje broja mikrobiološki neispravnih uzoraka u promatranom razdoblju ukazuje na pozitivan trend koji bilježi smanjenje udjela neispravnih uzoraka, odnosno potvrđuje </w:t>
      </w:r>
      <w:r w:rsidRPr="009D7BA9">
        <w:rPr>
          <w:b/>
        </w:rPr>
        <w:t>poboljšanje kvalitete vode za piće</w:t>
      </w:r>
      <w:r w:rsidRPr="009D7BA9">
        <w:t>.</w:t>
      </w:r>
    </w:p>
    <w:p w14:paraId="63F11FF5" w14:textId="79C38CF3" w:rsidR="009D7BA9" w:rsidRPr="009D7BA9" w:rsidRDefault="009D7BA9" w:rsidP="009D7BA9">
      <w:r w:rsidRPr="009D7BA9">
        <w:t xml:space="preserve">Prema zadnjem dostupnom Godišnjem izvješću o praćenju kvalitete zraka na području Republike Hrvatske u Karlovcu je, s obzirom na sve mjerene onečišćujuće tvari, </w:t>
      </w:r>
      <w:r w:rsidRPr="009D7BA9">
        <w:rPr>
          <w:b/>
        </w:rPr>
        <w:t>zrak bio I kategorije</w:t>
      </w:r>
      <w:r w:rsidRPr="009D7BA9">
        <w:t>. Uzrok visoke kvalitete zraka u Gradu Karlovcu prvenstveno treba tražiti u izostanku onih gospodarskih odnosno industrijskih grana čije djelatnosti stvaraju velike izvore onečišćenja poput kemijske i petrokemijske industrije, industrije teških metala, proizvodnje cementa, termo energetskih postrojenja i sl. Slična situacija može se utv</w:t>
      </w:r>
      <w:r w:rsidR="00B622E0">
        <w:t>rditi i na području gradova Duge</w:t>
      </w:r>
      <w:r w:rsidRPr="009D7BA9">
        <w:t xml:space="preserve"> Rese i Ozlja gdje također nema značajnijih onečišćivača. Ipak, u ljetnim mjesecima na onečišćenje zraka negativno utječe povećanje broja vozila koja koriste postojeće prometnice, a osobito autocestu A1</w:t>
      </w:r>
      <w:r w:rsidR="00B622E0">
        <w:t>,</w:t>
      </w:r>
      <w:r w:rsidRPr="009D7BA9">
        <w:t xml:space="preserve"> kao i državne ceste D1 i D3.</w:t>
      </w:r>
      <w:r w:rsidR="00205229">
        <w:t xml:space="preserve"> Ovi prometni pravci ujedno su i glavni izvor zagađenja </w:t>
      </w:r>
      <w:r w:rsidR="00205229" w:rsidRPr="00205229">
        <w:rPr>
          <w:b/>
        </w:rPr>
        <w:t>bukom</w:t>
      </w:r>
      <w:r w:rsidR="00205229">
        <w:t>.</w:t>
      </w:r>
    </w:p>
    <w:p w14:paraId="3A873BD2" w14:textId="3EFFE080" w:rsidR="009D7BA9" w:rsidRDefault="009D7BA9" w:rsidP="009D7BA9">
      <w:r w:rsidRPr="009D7BA9">
        <w:t xml:space="preserve">Iako u Republici Hrvatskoj ne postoji jedinstven i kontinuiran </w:t>
      </w:r>
      <w:r w:rsidRPr="009D7BA9">
        <w:rPr>
          <w:b/>
        </w:rPr>
        <w:t>sustav motrenja tala</w:t>
      </w:r>
      <w:r w:rsidRPr="009D7BA9">
        <w:t>, upravljanje i zaštita tala regulirana je kroz više različitih sektorskih zakona. Općenito, na pojavu onečišćenja tla utječu brojni čimbenici od kojih su najznačajniji oni antropogeni, a koji se u velikoj većini slučajeva odnose na aktivnosti u poljoprivrednom sektoru kao i sektoru odlaganja otpada. Ovdje je također potrebno napomenuti kako neracionalna primjena mineralnih i organskih gnojiva izravno može ugroziti i sustave podzemnih voda za koje su ispitivanja pokazala da prema svim fizikalno-kemijskim parametrima zadovoljavaju granice propisane odredbama Pravilnika o zdravstvenoj ispravnosti vode za piće. Također, uz već navedene pritiske, negativan utjecaj na kvalitetu tla imaju i industrija te promet. U blizini Karlovca (Lemić brdo) nalazila se deponija opasnog otpada (mazut, mulj, plastična masa, boje i sl.), koja je zbog nepravilnog načina odlaganja sanirana 2016. godine. Ovim se projektom sanacije zbrinulo oko 14.000 m</w:t>
      </w:r>
      <w:r w:rsidRPr="009D7BA9">
        <w:rPr>
          <w:vertAlign w:val="superscript"/>
        </w:rPr>
        <w:t>3</w:t>
      </w:r>
      <w:r w:rsidRPr="009D7BA9">
        <w:t xml:space="preserve"> opasnog otpada. </w:t>
      </w:r>
    </w:p>
    <w:p w14:paraId="1956588C" w14:textId="77777777" w:rsidR="00DE60F0" w:rsidRDefault="00DE60F0" w:rsidP="00DE60F0">
      <w:pPr>
        <w:pStyle w:val="Heading4"/>
      </w:pPr>
      <w:r>
        <w:t>Prirodni resursi</w:t>
      </w:r>
    </w:p>
    <w:p w14:paraId="0DD9A3E8" w14:textId="555D1293" w:rsidR="009D7BA9" w:rsidRPr="009D7BA9" w:rsidRDefault="009D7BA9" w:rsidP="009D7BA9">
      <w:r w:rsidRPr="009D7BA9">
        <w:t xml:space="preserve">Na </w:t>
      </w:r>
      <w:r w:rsidR="00023FD8">
        <w:t xml:space="preserve">Većem </w:t>
      </w:r>
      <w:r w:rsidRPr="009D7BA9">
        <w:t xml:space="preserve">urbanom području </w:t>
      </w:r>
      <w:r w:rsidR="00023FD8">
        <w:t xml:space="preserve">Karlovac </w:t>
      </w:r>
      <w:r w:rsidRPr="009D7BA9">
        <w:t xml:space="preserve">nalaze se značajna </w:t>
      </w:r>
      <w:r w:rsidRPr="009D7BA9">
        <w:rPr>
          <w:b/>
        </w:rPr>
        <w:t>zakonski zaštićena područja prirode te NATURA 2000</w:t>
      </w:r>
      <w:r w:rsidRPr="009D7BA9">
        <w:t xml:space="preserve"> </w:t>
      </w:r>
      <w:r w:rsidRPr="009D7BA9">
        <w:rPr>
          <w:b/>
        </w:rPr>
        <w:t>područja</w:t>
      </w:r>
      <w:r>
        <w:rPr>
          <w:b/>
        </w:rPr>
        <w:t>,</w:t>
      </w:r>
      <w:r w:rsidRPr="009D7BA9">
        <w:t xml:space="preserve"> ali i karakteristični krajobrazni potezi koji su nastali uslijed specifične interakcije riječnih vodenih tokova i antropogenih čimbenika. Čitavo urbano područje karakteriziraju cestovna naselja, riječne vizure i veliko bogatstvo šumskim područjima. </w:t>
      </w:r>
    </w:p>
    <w:p w14:paraId="7171BC9E" w14:textId="6E9E7607" w:rsidR="009D7BA9" w:rsidRPr="009D7BA9" w:rsidRDefault="009D7BA9" w:rsidP="009D7BA9">
      <w:r w:rsidRPr="009D7BA9">
        <w:t xml:space="preserve">Sukladno Zakonu o zaštiti prirode (NN 80/13, 15/18, 14/19) razlikujemo 9 kategorija zaštićenih područja, </w:t>
      </w:r>
      <w:r>
        <w:t xml:space="preserve">a na </w:t>
      </w:r>
      <w:r w:rsidRPr="009D7BA9">
        <w:t xml:space="preserve">području </w:t>
      </w:r>
      <w:r>
        <w:t>VUPKA nalazimo</w:t>
      </w:r>
      <w:r w:rsidRPr="009D7BA9">
        <w:t xml:space="preserve"> 2 kategorije od državnog značenja (posebni rezervat – botanički i park prirode) i 2 kategorije od lokalnog značenja (spomenik parkovne arhitekture i park-šuma. Sveukupno je utvrđeno </w:t>
      </w:r>
      <w:r w:rsidRPr="009D7BA9">
        <w:rPr>
          <w:b/>
        </w:rPr>
        <w:t>5 zaštićenih područja odnosno 31,3% od ukupnog broja zaštićenih područja u Karlovačkoj županiji</w:t>
      </w:r>
      <w:r w:rsidRPr="009D7BA9">
        <w:t xml:space="preserve"> (16). Njihova sveukupna površina iznosi 34.248,95 ha</w:t>
      </w:r>
      <w:r w:rsidR="00023FD8">
        <w:t>,</w:t>
      </w:r>
      <w:r w:rsidRPr="009D7BA9">
        <w:t xml:space="preserve"> dok se na podru</w:t>
      </w:r>
      <w:r w:rsidR="00DE60F0">
        <w:t>čju Županije nalazi 7.667,25 ha, a ista čine</w:t>
      </w:r>
      <w:r w:rsidRPr="009D7BA9">
        <w:t xml:space="preserve"> 53,9% od sveukupne površine zaštićenih područja na županijskoj razini. Najveću površinu zauzima Park prirode Žumberak - Samoborsko gorje (7.654,28 ha) </w:t>
      </w:r>
      <w:r w:rsidR="003A149D">
        <w:t>na području grada</w:t>
      </w:r>
      <w:r w:rsidR="00192EA4">
        <w:t xml:space="preserve"> Oz</w:t>
      </w:r>
      <w:r w:rsidRPr="009D7BA9">
        <w:t>lj</w:t>
      </w:r>
      <w:r w:rsidR="003A149D">
        <w:t>a, gdje je također zaštićena površina</w:t>
      </w:r>
      <w:r w:rsidRPr="009D7BA9">
        <w:t xml:space="preserve"> u kategoriji park-šuma. Iako na području Grada Duge Rese ne postoje lokaliteti zaštićeni temeljem Zakona o zaštiti prirode, na ovom se području prostire značajan krajobraz uz tok rijeke Mrežnice koji je predložen za zaštitu u kategoriji park prirode / regionalni park. </w:t>
      </w:r>
    </w:p>
    <w:p w14:paraId="62920DC9" w14:textId="77777777" w:rsidR="009D7BA9" w:rsidRPr="00FD510D" w:rsidRDefault="009D7BA9" w:rsidP="009D7BA9">
      <w:pPr>
        <w:pStyle w:val="Caption"/>
      </w:pPr>
      <w:bookmarkStart w:id="68" w:name="_Toc420581472"/>
      <w:bookmarkStart w:id="69" w:name="_Toc437387502"/>
      <w:r w:rsidRPr="00FD510D">
        <w:t xml:space="preserve">Tablica </w:t>
      </w:r>
      <w:r>
        <w:fldChar w:fldCharType="begin"/>
      </w:r>
      <w:r>
        <w:instrText xml:space="preserve"> SEQ Tablica \* ARABIC </w:instrText>
      </w:r>
      <w:r>
        <w:fldChar w:fldCharType="separate"/>
      </w:r>
      <w:r w:rsidR="001358A9">
        <w:rPr>
          <w:noProof/>
        </w:rPr>
        <w:t>29</w:t>
      </w:r>
      <w:r>
        <w:rPr>
          <w:noProof/>
        </w:rPr>
        <w:fldChar w:fldCharType="end"/>
      </w:r>
      <w:r w:rsidRPr="00FD510D">
        <w:t>. Zaštićena područja prirode na Većem urbanom području Karlovac</w:t>
      </w:r>
      <w:bookmarkEnd w:id="68"/>
      <w:bookmarkEnd w:id="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134"/>
        <w:gridCol w:w="2019"/>
        <w:gridCol w:w="1134"/>
        <w:gridCol w:w="1131"/>
        <w:gridCol w:w="1647"/>
      </w:tblGrid>
      <w:tr w:rsidR="009D7BA9" w:rsidRPr="003A149D" w14:paraId="0F3B8A6A" w14:textId="77777777" w:rsidTr="009D7BA9">
        <w:trPr>
          <w:trHeight w:val="217"/>
          <w:tblHeader/>
        </w:trPr>
        <w:tc>
          <w:tcPr>
            <w:tcW w:w="2235" w:type="dxa"/>
            <w:shd w:val="clear" w:color="auto" w:fill="39617A"/>
            <w:vAlign w:val="center"/>
          </w:tcPr>
          <w:p w14:paraId="1827C32B" w14:textId="77777777" w:rsidR="009D7BA9" w:rsidRPr="003A149D" w:rsidRDefault="009D7BA9" w:rsidP="009D7BA9">
            <w:pPr>
              <w:jc w:val="center"/>
              <w:rPr>
                <w:rFonts w:cs="Tahoma"/>
                <w:bCs/>
                <w:color w:val="FFFFFF" w:themeColor="background1"/>
                <w:sz w:val="18"/>
                <w:szCs w:val="18"/>
              </w:rPr>
            </w:pPr>
            <w:r w:rsidRPr="003A149D">
              <w:rPr>
                <w:rFonts w:cs="Tahoma"/>
                <w:bCs/>
                <w:color w:val="FFFFFF" w:themeColor="background1"/>
                <w:sz w:val="18"/>
                <w:szCs w:val="18"/>
              </w:rPr>
              <w:t>Naziv područja</w:t>
            </w:r>
          </w:p>
        </w:tc>
        <w:tc>
          <w:tcPr>
            <w:tcW w:w="1134" w:type="dxa"/>
            <w:shd w:val="clear" w:color="auto" w:fill="39617A"/>
            <w:vAlign w:val="center"/>
          </w:tcPr>
          <w:p w14:paraId="487718B8" w14:textId="77777777" w:rsidR="009D7BA9" w:rsidRPr="003A149D" w:rsidRDefault="009D7BA9" w:rsidP="009D7BA9">
            <w:pPr>
              <w:jc w:val="center"/>
              <w:rPr>
                <w:rFonts w:cs="Tahoma"/>
                <w:bCs/>
                <w:color w:val="FFFFFF" w:themeColor="background1"/>
                <w:sz w:val="18"/>
                <w:szCs w:val="18"/>
              </w:rPr>
            </w:pPr>
            <w:r w:rsidRPr="003A149D">
              <w:rPr>
                <w:rFonts w:cs="Tahoma"/>
                <w:bCs/>
                <w:color w:val="FFFFFF" w:themeColor="background1"/>
                <w:sz w:val="18"/>
                <w:szCs w:val="18"/>
              </w:rPr>
              <w:t>Grad</w:t>
            </w:r>
          </w:p>
        </w:tc>
        <w:tc>
          <w:tcPr>
            <w:tcW w:w="2019" w:type="dxa"/>
            <w:shd w:val="clear" w:color="auto" w:fill="39617A"/>
            <w:vAlign w:val="center"/>
          </w:tcPr>
          <w:p w14:paraId="1BFC2B5B" w14:textId="77777777" w:rsidR="009D7BA9" w:rsidRPr="003A149D" w:rsidRDefault="009D7BA9" w:rsidP="009D7BA9">
            <w:pPr>
              <w:jc w:val="center"/>
              <w:rPr>
                <w:rFonts w:cs="Tahoma"/>
                <w:bCs/>
                <w:color w:val="FFFFFF" w:themeColor="background1"/>
                <w:sz w:val="18"/>
                <w:szCs w:val="18"/>
              </w:rPr>
            </w:pPr>
            <w:r w:rsidRPr="003A149D">
              <w:rPr>
                <w:rFonts w:cs="Tahoma"/>
                <w:bCs/>
                <w:color w:val="FFFFFF" w:themeColor="background1"/>
                <w:sz w:val="18"/>
                <w:szCs w:val="18"/>
              </w:rPr>
              <w:t>Kategorija zaštite</w:t>
            </w:r>
          </w:p>
        </w:tc>
        <w:tc>
          <w:tcPr>
            <w:tcW w:w="1134" w:type="dxa"/>
            <w:shd w:val="clear" w:color="auto" w:fill="39617A"/>
            <w:vAlign w:val="center"/>
          </w:tcPr>
          <w:p w14:paraId="3417F3BD" w14:textId="77777777" w:rsidR="009D7BA9" w:rsidRPr="003A149D" w:rsidRDefault="009D7BA9" w:rsidP="009D7BA9">
            <w:pPr>
              <w:jc w:val="center"/>
              <w:rPr>
                <w:rFonts w:cs="Tahoma"/>
                <w:bCs/>
                <w:color w:val="FFFFFF" w:themeColor="background1"/>
                <w:sz w:val="18"/>
                <w:szCs w:val="18"/>
              </w:rPr>
            </w:pPr>
            <w:r w:rsidRPr="003A149D">
              <w:rPr>
                <w:rFonts w:cs="Tahoma"/>
                <w:bCs/>
                <w:color w:val="FFFFFF" w:themeColor="background1"/>
                <w:sz w:val="18"/>
                <w:szCs w:val="18"/>
              </w:rPr>
              <w:t>Godina proglašenja</w:t>
            </w:r>
          </w:p>
        </w:tc>
        <w:tc>
          <w:tcPr>
            <w:tcW w:w="1131" w:type="dxa"/>
            <w:shd w:val="clear" w:color="auto" w:fill="39617A"/>
            <w:vAlign w:val="center"/>
          </w:tcPr>
          <w:p w14:paraId="15EE5D8C" w14:textId="77777777" w:rsidR="009D7BA9" w:rsidRPr="003A149D" w:rsidRDefault="009D7BA9" w:rsidP="009D7BA9">
            <w:pPr>
              <w:jc w:val="center"/>
              <w:rPr>
                <w:rFonts w:cs="Tahoma"/>
                <w:bCs/>
                <w:color w:val="FFFFFF" w:themeColor="background1"/>
                <w:sz w:val="18"/>
                <w:szCs w:val="18"/>
              </w:rPr>
            </w:pPr>
            <w:r w:rsidRPr="003A149D">
              <w:rPr>
                <w:rFonts w:cs="Tahoma"/>
                <w:bCs/>
                <w:color w:val="FFFFFF" w:themeColor="background1"/>
                <w:sz w:val="18"/>
                <w:szCs w:val="18"/>
              </w:rPr>
              <w:t>Površina (ha)</w:t>
            </w:r>
          </w:p>
        </w:tc>
        <w:tc>
          <w:tcPr>
            <w:tcW w:w="1647" w:type="dxa"/>
            <w:shd w:val="clear" w:color="auto" w:fill="39617A"/>
            <w:vAlign w:val="center"/>
          </w:tcPr>
          <w:p w14:paraId="74878D10" w14:textId="77777777" w:rsidR="009D7BA9" w:rsidRPr="003A149D" w:rsidRDefault="009D7BA9" w:rsidP="009D7BA9">
            <w:pPr>
              <w:jc w:val="center"/>
              <w:rPr>
                <w:rFonts w:cs="Tahoma"/>
                <w:bCs/>
                <w:color w:val="FFFFFF" w:themeColor="background1"/>
                <w:sz w:val="18"/>
                <w:szCs w:val="18"/>
              </w:rPr>
            </w:pPr>
            <w:r w:rsidRPr="003A149D">
              <w:rPr>
                <w:rFonts w:cs="Tahoma"/>
                <w:bCs/>
                <w:color w:val="FFFFFF" w:themeColor="background1"/>
                <w:sz w:val="18"/>
                <w:szCs w:val="18"/>
              </w:rPr>
              <w:t>Površina u Karlovačkoj županiji (ha)</w:t>
            </w:r>
          </w:p>
        </w:tc>
      </w:tr>
      <w:tr w:rsidR="009D7BA9" w:rsidRPr="003A149D" w14:paraId="6DDE358C" w14:textId="77777777" w:rsidTr="009D7BA9">
        <w:trPr>
          <w:trHeight w:val="252"/>
        </w:trPr>
        <w:tc>
          <w:tcPr>
            <w:tcW w:w="2235" w:type="dxa"/>
          </w:tcPr>
          <w:p w14:paraId="7A39B1B0"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t>Cret Banski Moravci</w:t>
            </w:r>
          </w:p>
        </w:tc>
        <w:tc>
          <w:tcPr>
            <w:tcW w:w="1134" w:type="dxa"/>
          </w:tcPr>
          <w:p w14:paraId="12629B16"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t>Karlovac</w:t>
            </w:r>
          </w:p>
        </w:tc>
        <w:tc>
          <w:tcPr>
            <w:tcW w:w="2019" w:type="dxa"/>
          </w:tcPr>
          <w:p w14:paraId="6BE44F11"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t xml:space="preserve">posebni rezervat – botanički </w:t>
            </w:r>
          </w:p>
        </w:tc>
        <w:tc>
          <w:tcPr>
            <w:tcW w:w="1134" w:type="dxa"/>
          </w:tcPr>
          <w:p w14:paraId="30BA223B"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1967.</w:t>
            </w:r>
          </w:p>
        </w:tc>
        <w:tc>
          <w:tcPr>
            <w:tcW w:w="1131" w:type="dxa"/>
          </w:tcPr>
          <w:p w14:paraId="6FC0105D"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1,82</w:t>
            </w:r>
          </w:p>
        </w:tc>
        <w:tc>
          <w:tcPr>
            <w:tcW w:w="1647" w:type="dxa"/>
          </w:tcPr>
          <w:p w14:paraId="3640C54F"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1,82</w:t>
            </w:r>
          </w:p>
        </w:tc>
      </w:tr>
      <w:tr w:rsidR="009D7BA9" w:rsidRPr="003A149D" w14:paraId="720184DD" w14:textId="77777777" w:rsidTr="009D7BA9">
        <w:trPr>
          <w:trHeight w:val="252"/>
        </w:trPr>
        <w:tc>
          <w:tcPr>
            <w:tcW w:w="2235" w:type="dxa"/>
          </w:tcPr>
          <w:p w14:paraId="00B93180"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t>Marmontova aleja</w:t>
            </w:r>
          </w:p>
        </w:tc>
        <w:tc>
          <w:tcPr>
            <w:tcW w:w="1134" w:type="dxa"/>
          </w:tcPr>
          <w:p w14:paraId="5BACB5DE"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t>Karlovac</w:t>
            </w:r>
          </w:p>
        </w:tc>
        <w:tc>
          <w:tcPr>
            <w:tcW w:w="2019" w:type="dxa"/>
          </w:tcPr>
          <w:p w14:paraId="0BC9F299"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t xml:space="preserve">spomenik parkovne </w:t>
            </w:r>
            <w:r w:rsidRPr="003A149D">
              <w:rPr>
                <w:rFonts w:eastAsia="Times New Roman" w:cs="Tahoma"/>
                <w:color w:val="000000"/>
                <w:sz w:val="18"/>
                <w:szCs w:val="18"/>
              </w:rPr>
              <w:lastRenderedPageBreak/>
              <w:t>arhitekture</w:t>
            </w:r>
          </w:p>
        </w:tc>
        <w:tc>
          <w:tcPr>
            <w:tcW w:w="1134" w:type="dxa"/>
          </w:tcPr>
          <w:p w14:paraId="5D6C9A91"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lastRenderedPageBreak/>
              <w:t>1968.</w:t>
            </w:r>
          </w:p>
        </w:tc>
        <w:tc>
          <w:tcPr>
            <w:tcW w:w="1131" w:type="dxa"/>
          </w:tcPr>
          <w:p w14:paraId="2A72955A"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1,89</w:t>
            </w:r>
          </w:p>
        </w:tc>
        <w:tc>
          <w:tcPr>
            <w:tcW w:w="1647" w:type="dxa"/>
          </w:tcPr>
          <w:p w14:paraId="08D86E06"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1,89</w:t>
            </w:r>
          </w:p>
        </w:tc>
      </w:tr>
      <w:tr w:rsidR="009D7BA9" w:rsidRPr="003A149D" w14:paraId="49FF6F38" w14:textId="77777777" w:rsidTr="009D7BA9">
        <w:trPr>
          <w:trHeight w:val="252"/>
        </w:trPr>
        <w:tc>
          <w:tcPr>
            <w:tcW w:w="2235" w:type="dxa"/>
          </w:tcPr>
          <w:p w14:paraId="3F530454"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lastRenderedPageBreak/>
              <w:t>Vrbanićev perivoj</w:t>
            </w:r>
          </w:p>
        </w:tc>
        <w:tc>
          <w:tcPr>
            <w:tcW w:w="1134" w:type="dxa"/>
          </w:tcPr>
          <w:p w14:paraId="6ED9CFAC" w14:textId="77777777" w:rsidR="009D7BA9" w:rsidRPr="003A149D" w:rsidRDefault="009D7BA9" w:rsidP="009D7BA9">
            <w:pPr>
              <w:rPr>
                <w:rFonts w:eastAsia="Times New Roman" w:cs="Tahoma"/>
                <w:color w:val="000000"/>
                <w:sz w:val="18"/>
                <w:szCs w:val="18"/>
              </w:rPr>
            </w:pPr>
            <w:r w:rsidRPr="003A149D">
              <w:rPr>
                <w:rFonts w:eastAsia="Times New Roman" w:cs="Tahoma"/>
                <w:color w:val="000000"/>
                <w:sz w:val="18"/>
                <w:szCs w:val="18"/>
              </w:rPr>
              <w:t>Karlovac</w:t>
            </w:r>
          </w:p>
        </w:tc>
        <w:tc>
          <w:tcPr>
            <w:tcW w:w="2019" w:type="dxa"/>
          </w:tcPr>
          <w:p w14:paraId="3500EC6D"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t>spomenik parkovne arhitekture</w:t>
            </w:r>
          </w:p>
        </w:tc>
        <w:tc>
          <w:tcPr>
            <w:tcW w:w="1134" w:type="dxa"/>
          </w:tcPr>
          <w:p w14:paraId="7F7ADDA5"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1970.</w:t>
            </w:r>
          </w:p>
        </w:tc>
        <w:tc>
          <w:tcPr>
            <w:tcW w:w="1131" w:type="dxa"/>
          </w:tcPr>
          <w:p w14:paraId="27961128"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4,34</w:t>
            </w:r>
          </w:p>
        </w:tc>
        <w:tc>
          <w:tcPr>
            <w:tcW w:w="1647" w:type="dxa"/>
          </w:tcPr>
          <w:p w14:paraId="431CFC14"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4,34</w:t>
            </w:r>
          </w:p>
        </w:tc>
      </w:tr>
      <w:tr w:rsidR="009D7BA9" w:rsidRPr="003A149D" w14:paraId="31DB153E" w14:textId="77777777" w:rsidTr="009D7BA9">
        <w:trPr>
          <w:trHeight w:val="252"/>
        </w:trPr>
        <w:tc>
          <w:tcPr>
            <w:tcW w:w="2235" w:type="dxa"/>
          </w:tcPr>
          <w:p w14:paraId="675A9D05"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t>Žumberak - Samoborsko gorje</w:t>
            </w:r>
          </w:p>
        </w:tc>
        <w:tc>
          <w:tcPr>
            <w:tcW w:w="1134" w:type="dxa"/>
          </w:tcPr>
          <w:p w14:paraId="1A46B551" w14:textId="77777777" w:rsidR="009D7BA9" w:rsidRPr="003A149D" w:rsidRDefault="009D7BA9" w:rsidP="009D7BA9">
            <w:pPr>
              <w:rPr>
                <w:rFonts w:eastAsia="Times New Roman" w:cs="Tahoma"/>
                <w:color w:val="000000"/>
                <w:sz w:val="18"/>
                <w:szCs w:val="18"/>
              </w:rPr>
            </w:pPr>
            <w:r w:rsidRPr="003A149D">
              <w:rPr>
                <w:rFonts w:eastAsia="Times New Roman" w:cs="Tahoma"/>
                <w:color w:val="000000"/>
                <w:sz w:val="18"/>
                <w:szCs w:val="18"/>
              </w:rPr>
              <w:t>Ozalj</w:t>
            </w:r>
          </w:p>
        </w:tc>
        <w:tc>
          <w:tcPr>
            <w:tcW w:w="2019" w:type="dxa"/>
          </w:tcPr>
          <w:p w14:paraId="25A69881"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t>park prirode</w:t>
            </w:r>
          </w:p>
        </w:tc>
        <w:tc>
          <w:tcPr>
            <w:tcW w:w="1134" w:type="dxa"/>
          </w:tcPr>
          <w:p w14:paraId="0335498F"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1999.</w:t>
            </w:r>
          </w:p>
        </w:tc>
        <w:tc>
          <w:tcPr>
            <w:tcW w:w="1131" w:type="dxa"/>
          </w:tcPr>
          <w:p w14:paraId="2E53AB5F"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34.235,98</w:t>
            </w:r>
          </w:p>
        </w:tc>
        <w:tc>
          <w:tcPr>
            <w:tcW w:w="1647" w:type="dxa"/>
          </w:tcPr>
          <w:p w14:paraId="5AE22CBC"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7.654,28</w:t>
            </w:r>
          </w:p>
        </w:tc>
      </w:tr>
      <w:tr w:rsidR="009D7BA9" w:rsidRPr="003A149D" w14:paraId="77AD66AA" w14:textId="77777777" w:rsidTr="009D7BA9">
        <w:trPr>
          <w:trHeight w:val="252"/>
        </w:trPr>
        <w:tc>
          <w:tcPr>
            <w:tcW w:w="2235" w:type="dxa"/>
          </w:tcPr>
          <w:p w14:paraId="3CCAC969"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t>Grad Ozalj</w:t>
            </w:r>
          </w:p>
        </w:tc>
        <w:tc>
          <w:tcPr>
            <w:tcW w:w="1134" w:type="dxa"/>
          </w:tcPr>
          <w:p w14:paraId="4A9D8B79" w14:textId="77777777" w:rsidR="009D7BA9" w:rsidRPr="003A149D" w:rsidRDefault="009D7BA9" w:rsidP="009D7BA9">
            <w:pPr>
              <w:rPr>
                <w:rFonts w:eastAsia="Times New Roman" w:cs="Tahoma"/>
                <w:color w:val="000000"/>
                <w:sz w:val="18"/>
                <w:szCs w:val="18"/>
              </w:rPr>
            </w:pPr>
            <w:r w:rsidRPr="003A149D">
              <w:rPr>
                <w:rFonts w:eastAsia="Times New Roman" w:cs="Tahoma"/>
                <w:color w:val="000000"/>
                <w:sz w:val="18"/>
                <w:szCs w:val="18"/>
              </w:rPr>
              <w:t>Ozalj</w:t>
            </w:r>
          </w:p>
        </w:tc>
        <w:tc>
          <w:tcPr>
            <w:tcW w:w="2019" w:type="dxa"/>
          </w:tcPr>
          <w:p w14:paraId="18FC81FE" w14:textId="77777777" w:rsidR="009D7BA9" w:rsidRPr="003A149D" w:rsidRDefault="009D7BA9" w:rsidP="009D7BA9">
            <w:pPr>
              <w:jc w:val="left"/>
              <w:rPr>
                <w:rFonts w:eastAsia="Times New Roman" w:cs="Tahoma"/>
                <w:color w:val="000000"/>
                <w:sz w:val="18"/>
                <w:szCs w:val="18"/>
              </w:rPr>
            </w:pPr>
            <w:r w:rsidRPr="003A149D">
              <w:rPr>
                <w:rFonts w:eastAsia="Times New Roman" w:cs="Tahoma"/>
                <w:color w:val="000000"/>
                <w:sz w:val="18"/>
                <w:szCs w:val="18"/>
              </w:rPr>
              <w:t xml:space="preserve">park šuma </w:t>
            </w:r>
          </w:p>
        </w:tc>
        <w:tc>
          <w:tcPr>
            <w:tcW w:w="1134" w:type="dxa"/>
          </w:tcPr>
          <w:p w14:paraId="2A13A95E"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1970.</w:t>
            </w:r>
          </w:p>
        </w:tc>
        <w:tc>
          <w:tcPr>
            <w:tcW w:w="1131" w:type="dxa"/>
          </w:tcPr>
          <w:p w14:paraId="4F55488C"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4,92</w:t>
            </w:r>
          </w:p>
        </w:tc>
        <w:tc>
          <w:tcPr>
            <w:tcW w:w="1647" w:type="dxa"/>
          </w:tcPr>
          <w:p w14:paraId="15CD150E" w14:textId="77777777" w:rsidR="009D7BA9" w:rsidRPr="003A149D" w:rsidRDefault="009D7BA9" w:rsidP="009D7BA9">
            <w:pPr>
              <w:jc w:val="center"/>
              <w:rPr>
                <w:rFonts w:eastAsia="Times New Roman" w:cs="Tahoma"/>
                <w:color w:val="000000"/>
                <w:sz w:val="18"/>
                <w:szCs w:val="18"/>
              </w:rPr>
            </w:pPr>
            <w:r w:rsidRPr="003A149D">
              <w:rPr>
                <w:rFonts w:eastAsia="Times New Roman" w:cs="Tahoma"/>
                <w:color w:val="000000"/>
                <w:sz w:val="18"/>
                <w:szCs w:val="18"/>
              </w:rPr>
              <w:t>4,92</w:t>
            </w:r>
          </w:p>
        </w:tc>
      </w:tr>
      <w:tr w:rsidR="009D7BA9" w:rsidRPr="003A149D" w14:paraId="10BF1F19" w14:textId="77777777" w:rsidTr="009D7BA9">
        <w:trPr>
          <w:trHeight w:val="252"/>
        </w:trPr>
        <w:tc>
          <w:tcPr>
            <w:tcW w:w="6522" w:type="dxa"/>
            <w:gridSpan w:val="4"/>
          </w:tcPr>
          <w:p w14:paraId="52488AE2" w14:textId="77777777" w:rsidR="009D7BA9" w:rsidRPr="003A149D" w:rsidRDefault="009D7BA9" w:rsidP="009D7BA9">
            <w:pPr>
              <w:jc w:val="center"/>
              <w:rPr>
                <w:rFonts w:eastAsia="Times New Roman" w:cs="Tahoma"/>
                <w:b/>
                <w:color w:val="000000"/>
                <w:sz w:val="18"/>
                <w:szCs w:val="18"/>
              </w:rPr>
            </w:pPr>
            <w:r w:rsidRPr="003A149D">
              <w:rPr>
                <w:rFonts w:eastAsia="Times New Roman" w:cs="Tahoma"/>
                <w:b/>
                <w:color w:val="000000"/>
                <w:sz w:val="18"/>
                <w:szCs w:val="18"/>
              </w:rPr>
              <w:t>Ukupno</w:t>
            </w:r>
          </w:p>
        </w:tc>
        <w:tc>
          <w:tcPr>
            <w:tcW w:w="1131" w:type="dxa"/>
          </w:tcPr>
          <w:p w14:paraId="4404D525" w14:textId="4C4161A4" w:rsidR="009D7BA9" w:rsidRPr="003A149D" w:rsidRDefault="009D7BA9" w:rsidP="009D7BA9">
            <w:pPr>
              <w:jc w:val="center"/>
              <w:rPr>
                <w:rFonts w:eastAsia="Times New Roman" w:cs="Tahoma"/>
                <w:b/>
                <w:color w:val="000000"/>
                <w:sz w:val="18"/>
                <w:szCs w:val="18"/>
              </w:rPr>
            </w:pPr>
            <w:r w:rsidRPr="003A149D">
              <w:rPr>
                <w:rFonts w:eastAsia="Times New Roman" w:cs="Tahoma"/>
                <w:b/>
                <w:color w:val="000000"/>
                <w:sz w:val="18"/>
                <w:szCs w:val="18"/>
              </w:rPr>
              <w:t>34</w:t>
            </w:r>
            <w:r w:rsidR="00DE60F0">
              <w:rPr>
                <w:rFonts w:eastAsia="Times New Roman" w:cs="Tahoma"/>
                <w:b/>
                <w:color w:val="000000"/>
                <w:sz w:val="18"/>
                <w:szCs w:val="18"/>
              </w:rPr>
              <w:t>.2</w:t>
            </w:r>
            <w:r w:rsidRPr="003A149D">
              <w:rPr>
                <w:rFonts w:eastAsia="Times New Roman" w:cs="Tahoma"/>
                <w:b/>
                <w:color w:val="000000"/>
                <w:sz w:val="18"/>
                <w:szCs w:val="18"/>
              </w:rPr>
              <w:t>48,95</w:t>
            </w:r>
          </w:p>
        </w:tc>
        <w:tc>
          <w:tcPr>
            <w:tcW w:w="1647" w:type="dxa"/>
          </w:tcPr>
          <w:p w14:paraId="0871CC81" w14:textId="77777777" w:rsidR="009D7BA9" w:rsidRPr="003A149D" w:rsidRDefault="009D7BA9" w:rsidP="009D7BA9">
            <w:pPr>
              <w:jc w:val="center"/>
              <w:rPr>
                <w:rFonts w:eastAsia="Times New Roman" w:cs="Tahoma"/>
                <w:b/>
                <w:color w:val="000000"/>
                <w:sz w:val="18"/>
                <w:szCs w:val="18"/>
              </w:rPr>
            </w:pPr>
            <w:r w:rsidRPr="003A149D">
              <w:rPr>
                <w:rFonts w:eastAsia="Times New Roman" w:cs="Tahoma"/>
                <w:b/>
                <w:color w:val="000000"/>
                <w:sz w:val="18"/>
                <w:szCs w:val="18"/>
              </w:rPr>
              <w:t>7.667,25</w:t>
            </w:r>
          </w:p>
        </w:tc>
      </w:tr>
    </w:tbl>
    <w:p w14:paraId="0F18B855" w14:textId="77777777" w:rsidR="009D7BA9" w:rsidRPr="00FD510D" w:rsidRDefault="009D7BA9" w:rsidP="009D7BA9">
      <w:pPr>
        <w:jc w:val="left"/>
        <w:rPr>
          <w:rFonts w:cs="Tahoma"/>
          <w:color w:val="39617A"/>
          <w:sz w:val="18"/>
          <w:szCs w:val="18"/>
        </w:rPr>
      </w:pPr>
      <w:r w:rsidRPr="00FD510D">
        <w:rPr>
          <w:rFonts w:cs="Tahoma"/>
          <w:color w:val="39617A"/>
          <w:sz w:val="18"/>
          <w:szCs w:val="18"/>
        </w:rPr>
        <w:t>Izvor: Bioportal</w:t>
      </w:r>
    </w:p>
    <w:p w14:paraId="3B2C3219" w14:textId="1A95C73C" w:rsidR="009D7BA9" w:rsidRPr="003A149D" w:rsidRDefault="003A149D" w:rsidP="003A149D">
      <w:r>
        <w:t>T</w:t>
      </w:r>
      <w:r w:rsidR="009D7BA9" w:rsidRPr="003A149D">
        <w:t xml:space="preserve">akođer, uz zakonski zaštićene kategorije, na </w:t>
      </w:r>
      <w:r w:rsidR="00023FD8">
        <w:t xml:space="preserve">Većem </w:t>
      </w:r>
      <w:r w:rsidR="009D7BA9" w:rsidRPr="003A149D">
        <w:t>urbanom području</w:t>
      </w:r>
      <w:r w:rsidR="00023FD8">
        <w:t xml:space="preserve"> Karlovac</w:t>
      </w:r>
      <w:r w:rsidR="009D7BA9" w:rsidRPr="003A149D">
        <w:t xml:space="preserve"> evidentiran</w:t>
      </w:r>
      <w:r w:rsidR="00023FD8">
        <w:t xml:space="preserve"> je</w:t>
      </w:r>
      <w:r w:rsidR="009D7BA9" w:rsidRPr="003A149D">
        <w:t xml:space="preserve"> čitav niz vrijednih prirodnih područja koja se također štite temeljem Zakona o zaštiti prirode kroz prostorno pla</w:t>
      </w:r>
      <w:r>
        <w:t>nske odredbe na razini Županije, odnosno kategorije kao što su posebni rezervati (floristički, ori</w:t>
      </w:r>
      <w:r w:rsidR="00192EA4">
        <w:t>n</w:t>
      </w:r>
      <w:r>
        <w:t>tološki, zoološki, spomenici prirode (botanički, paleontološki), značajni krajobrazi (Dobra, dolina Velike i Male Utinje, Korana, Kupa, potok Gradnica, Rečica – Veliko polje), park šume (Domačaj Lug, Dubovac, Kozjača) te spomenici parkovne arhitekture:</w:t>
      </w:r>
    </w:p>
    <w:p w14:paraId="262EEAF4" w14:textId="77777777" w:rsidR="003A149D" w:rsidRPr="003A149D" w:rsidRDefault="003A149D" w:rsidP="00EC1C17">
      <w:pPr>
        <w:pStyle w:val="ListParagraph"/>
        <w:numPr>
          <w:ilvl w:val="0"/>
          <w:numId w:val="35"/>
        </w:numPr>
      </w:pPr>
      <w:r w:rsidRPr="003A149D">
        <w:t xml:space="preserve">Drvored divljih kestena uz Kupu u Karlovcu </w:t>
      </w:r>
    </w:p>
    <w:p w14:paraId="70F862BC" w14:textId="77777777" w:rsidR="003A149D" w:rsidRPr="003A149D" w:rsidRDefault="003A149D" w:rsidP="00EC1C17">
      <w:pPr>
        <w:pStyle w:val="ListParagraph"/>
        <w:numPr>
          <w:ilvl w:val="0"/>
          <w:numId w:val="35"/>
        </w:numPr>
      </w:pPr>
      <w:r w:rsidRPr="003A149D">
        <w:t>Park Dr. Franje Tuđmana u Dugoj Resi</w:t>
      </w:r>
    </w:p>
    <w:p w14:paraId="03F0CD2C" w14:textId="77777777" w:rsidR="003A149D" w:rsidRPr="003A149D" w:rsidRDefault="003A149D" w:rsidP="00EC1C17">
      <w:pPr>
        <w:pStyle w:val="ListParagraph"/>
        <w:numPr>
          <w:ilvl w:val="0"/>
          <w:numId w:val="35"/>
        </w:numPr>
      </w:pPr>
      <w:r w:rsidRPr="003A149D">
        <w:t>Park oko dvorca - Gornje Pokupje</w:t>
      </w:r>
    </w:p>
    <w:p w14:paraId="47FBC2A9" w14:textId="77777777" w:rsidR="003A149D" w:rsidRPr="003A149D" w:rsidRDefault="003A149D" w:rsidP="00EC1C17">
      <w:pPr>
        <w:pStyle w:val="ListParagraph"/>
        <w:numPr>
          <w:ilvl w:val="0"/>
          <w:numId w:val="35"/>
        </w:numPr>
      </w:pPr>
      <w:r w:rsidRPr="003A149D">
        <w:t>Park oko dvorca - Jaškovo</w:t>
      </w:r>
    </w:p>
    <w:p w14:paraId="2067B7A5" w14:textId="77777777" w:rsidR="003A149D" w:rsidRPr="003A149D" w:rsidRDefault="003A149D" w:rsidP="00EC1C17">
      <w:pPr>
        <w:pStyle w:val="ListParagraph"/>
        <w:numPr>
          <w:ilvl w:val="0"/>
          <w:numId w:val="35"/>
        </w:numPr>
      </w:pPr>
      <w:r w:rsidRPr="003A149D">
        <w:t>Karlovačka promenada</w:t>
      </w:r>
    </w:p>
    <w:p w14:paraId="45FCFE25" w14:textId="77777777" w:rsidR="003A149D" w:rsidRPr="003A149D" w:rsidRDefault="003A149D" w:rsidP="00EC1C17">
      <w:pPr>
        <w:pStyle w:val="ListParagraph"/>
        <w:numPr>
          <w:ilvl w:val="0"/>
          <w:numId w:val="35"/>
        </w:numPr>
      </w:pPr>
      <w:r w:rsidRPr="003A149D">
        <w:t>Rečica Park uz kuriju Drašković u Rečici</w:t>
      </w:r>
    </w:p>
    <w:p w14:paraId="15AEBD0B" w14:textId="77777777" w:rsidR="003A149D" w:rsidRPr="003A149D" w:rsidRDefault="003A149D" w:rsidP="00EC1C17">
      <w:pPr>
        <w:pStyle w:val="ListParagraph"/>
        <w:numPr>
          <w:ilvl w:val="0"/>
          <w:numId w:val="35"/>
        </w:numPr>
      </w:pPr>
      <w:r w:rsidRPr="003A149D">
        <w:t>Park oko dvorca - Trešćerovac</w:t>
      </w:r>
    </w:p>
    <w:p w14:paraId="6B96FC2D" w14:textId="77777777" w:rsidR="003A149D" w:rsidRPr="003A149D" w:rsidRDefault="003A149D" w:rsidP="00EC1C17">
      <w:pPr>
        <w:pStyle w:val="ListParagraph"/>
        <w:numPr>
          <w:ilvl w:val="0"/>
          <w:numId w:val="35"/>
        </w:numPr>
      </w:pPr>
      <w:r w:rsidRPr="003A149D">
        <w:t>Park oko dvorca - Zorkovac</w:t>
      </w:r>
    </w:p>
    <w:p w14:paraId="5E69F72E" w14:textId="77777777" w:rsidR="009D7BA9" w:rsidRPr="00FD510D" w:rsidRDefault="009D7BA9" w:rsidP="009D7BA9">
      <w:pPr>
        <w:rPr>
          <w:rFonts w:cs="Tahoma"/>
          <w:sz w:val="20"/>
        </w:rPr>
      </w:pPr>
    </w:p>
    <w:p w14:paraId="7E7AE5EC" w14:textId="5D1D5C78" w:rsidR="009D7BA9" w:rsidRDefault="009D7BA9" w:rsidP="009D7BA9">
      <w:r w:rsidRPr="003A149D">
        <w:t>Ekološka mreža Republike Hrvatske utvrđena je Uredbom o ekološkoj mreži (NN 124/13 i 105/15)</w:t>
      </w:r>
      <w:r w:rsidR="00023FD8">
        <w:t xml:space="preserve">, a ujedno </w:t>
      </w:r>
      <w:r w:rsidRPr="003A149D">
        <w:t>predstavlja</w:t>
      </w:r>
      <w:r w:rsidR="00023FD8">
        <w:t xml:space="preserve"> i</w:t>
      </w:r>
      <w:r w:rsidRPr="003A149D">
        <w:t xml:space="preserve"> područja ekološke mreže Europske unije – Natura 2000, odnosno područja od europske važnosti, izdvojenih radi očuvanja rijetkih i ugroženih prirodnih i poluprirodnih staništa </w:t>
      </w:r>
      <w:r w:rsidR="00023FD8">
        <w:t>te</w:t>
      </w:r>
      <w:r w:rsidRPr="003A149D">
        <w:t xml:space="preserve"> biljnih i životinjskih vrsta zaštićenih Direktivama Europske unije. Ekološku mrežu RH čine područja očuvanja značajna za ptice – POP područja te područja očuvanja značajna za vrste i stanišne tipove – POVS područja. S obzirom </w:t>
      </w:r>
      <w:r w:rsidR="00023FD8">
        <w:t xml:space="preserve">na to </w:t>
      </w:r>
      <w:r w:rsidRPr="003A149D">
        <w:t xml:space="preserve">da je na </w:t>
      </w:r>
      <w:r w:rsidRPr="003A149D">
        <w:rPr>
          <w:b/>
        </w:rPr>
        <w:t xml:space="preserve">čitavom području Županije prisutna gotovo polovina ugroženih te više od 50% osjetljivih biljnih vrsta Hrvatske </w:t>
      </w:r>
      <w:r w:rsidR="00023FD8">
        <w:rPr>
          <w:b/>
        </w:rPr>
        <w:t>i</w:t>
      </w:r>
      <w:r w:rsidRPr="003A149D">
        <w:rPr>
          <w:b/>
        </w:rPr>
        <w:t xml:space="preserve"> nešto više od 1/3 ugroženih i osjetljivih životinjskih vrsta</w:t>
      </w:r>
      <w:r w:rsidRPr="003A149D">
        <w:t>, vidljivo je kako postojeća Natura 2000 područja značajno doprinose očuvanju ovih vrsta. Konkretno, na području Karlovačke županije uspostavljena su 3 POP i 47 POVS područja od kojih se (dijelom ili u cijelosti) na urban</w:t>
      </w:r>
      <w:r w:rsidR="003A149D" w:rsidRPr="003A149D">
        <w:t>o</w:t>
      </w:r>
      <w:r w:rsidRPr="003A149D">
        <w:t>m području nalazi 1 POP i 8 POVS područja. Područja očuvanja značajna za ptice smještena su na rubnim dijelovima ozaljskog i karlovačkog urbanog područja te svojom površinom obuhvaćajući i susjedne županije. Ovdje je riječ o POP području Pokupski bazen koji ujedno ima i najveću površinu u Karlovačkoj županiji (19.244,93 ha), a od 8 POVS područja (na urbanom području) čak 5 ih je u cijelosti svojom površinom smješteno unutar granica Županije, što upućuje na visoku očuvanost bioraznolikosti, ali i osjetljivost ovih staništa.</w:t>
      </w:r>
    </w:p>
    <w:p w14:paraId="7ABB5269" w14:textId="77777777" w:rsidR="004914B1" w:rsidRPr="003A149D" w:rsidRDefault="004914B1" w:rsidP="009D7BA9"/>
    <w:p w14:paraId="4BD3783C" w14:textId="1401ACBE" w:rsidR="009D7BA9" w:rsidRPr="00FD510D" w:rsidRDefault="009D7BA9" w:rsidP="009D7BA9">
      <w:pPr>
        <w:pStyle w:val="Caption"/>
      </w:pPr>
      <w:bookmarkStart w:id="70" w:name="_Toc420581474"/>
      <w:bookmarkStart w:id="71" w:name="_Toc437387503"/>
      <w:r w:rsidRPr="00FD510D">
        <w:t xml:space="preserve">Tablica </w:t>
      </w:r>
      <w:r>
        <w:fldChar w:fldCharType="begin"/>
      </w:r>
      <w:r>
        <w:instrText xml:space="preserve"> SEQ Tablica \* ARABIC </w:instrText>
      </w:r>
      <w:r>
        <w:fldChar w:fldCharType="separate"/>
      </w:r>
      <w:r w:rsidR="001358A9">
        <w:rPr>
          <w:noProof/>
        </w:rPr>
        <w:t>30</w:t>
      </w:r>
      <w:r>
        <w:rPr>
          <w:noProof/>
        </w:rPr>
        <w:fldChar w:fldCharType="end"/>
      </w:r>
      <w:r w:rsidRPr="00FD510D">
        <w:t xml:space="preserve">. </w:t>
      </w:r>
      <w:r w:rsidR="003A149D">
        <w:t>NATURA 2000</w:t>
      </w:r>
      <w:r w:rsidRPr="00FD510D">
        <w:t xml:space="preserve"> na Većem urbanom području Karlovac</w:t>
      </w:r>
      <w:bookmarkEnd w:id="70"/>
      <w:bookmarkEnd w:id="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7"/>
        <w:gridCol w:w="2716"/>
        <w:gridCol w:w="1134"/>
        <w:gridCol w:w="2268"/>
        <w:gridCol w:w="1962"/>
      </w:tblGrid>
      <w:tr w:rsidR="009D7BA9" w:rsidRPr="00FD510D" w14:paraId="4CBF8EE2" w14:textId="77777777" w:rsidTr="009D7BA9">
        <w:trPr>
          <w:trHeight w:val="217"/>
          <w:tblHeader/>
        </w:trPr>
        <w:tc>
          <w:tcPr>
            <w:tcW w:w="0" w:type="auto"/>
            <w:shd w:val="clear" w:color="auto" w:fill="39617A"/>
            <w:vAlign w:val="center"/>
          </w:tcPr>
          <w:p w14:paraId="0AB8660C"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Kod područja</w:t>
            </w:r>
          </w:p>
        </w:tc>
        <w:tc>
          <w:tcPr>
            <w:tcW w:w="2716" w:type="dxa"/>
            <w:shd w:val="clear" w:color="auto" w:fill="39617A"/>
            <w:vAlign w:val="center"/>
          </w:tcPr>
          <w:p w14:paraId="5F2FA270"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Naziv područja</w:t>
            </w:r>
          </w:p>
        </w:tc>
        <w:tc>
          <w:tcPr>
            <w:tcW w:w="1134" w:type="dxa"/>
            <w:shd w:val="clear" w:color="auto" w:fill="39617A"/>
            <w:vAlign w:val="center"/>
          </w:tcPr>
          <w:p w14:paraId="417798DA"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Vrsta područja</w:t>
            </w:r>
          </w:p>
        </w:tc>
        <w:tc>
          <w:tcPr>
            <w:tcW w:w="2268" w:type="dxa"/>
            <w:shd w:val="clear" w:color="auto" w:fill="39617A"/>
            <w:vAlign w:val="center"/>
          </w:tcPr>
          <w:p w14:paraId="242FA7D5"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Površina područja unutar Županije (ha)</w:t>
            </w:r>
          </w:p>
        </w:tc>
        <w:tc>
          <w:tcPr>
            <w:tcW w:w="1962" w:type="dxa"/>
            <w:shd w:val="clear" w:color="auto" w:fill="39617A"/>
            <w:vAlign w:val="center"/>
          </w:tcPr>
          <w:p w14:paraId="5346588A"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Udio područja unutar Županije (%)</w:t>
            </w:r>
          </w:p>
        </w:tc>
      </w:tr>
      <w:tr w:rsidR="009D7BA9" w:rsidRPr="00FD510D" w14:paraId="57FF364C" w14:textId="77777777" w:rsidTr="009D7BA9">
        <w:trPr>
          <w:trHeight w:val="252"/>
        </w:trPr>
        <w:tc>
          <w:tcPr>
            <w:tcW w:w="0" w:type="auto"/>
          </w:tcPr>
          <w:p w14:paraId="6BD94B64"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lastRenderedPageBreak/>
              <w:t>HR1000001</w:t>
            </w:r>
          </w:p>
        </w:tc>
        <w:tc>
          <w:tcPr>
            <w:tcW w:w="2716" w:type="dxa"/>
          </w:tcPr>
          <w:p w14:paraId="0A2E2CA0"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 xml:space="preserve">Pokupski bazen </w:t>
            </w:r>
          </w:p>
        </w:tc>
        <w:tc>
          <w:tcPr>
            <w:tcW w:w="1134" w:type="dxa"/>
          </w:tcPr>
          <w:p w14:paraId="28729BD1"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POP</w:t>
            </w:r>
          </w:p>
        </w:tc>
        <w:tc>
          <w:tcPr>
            <w:tcW w:w="2268" w:type="dxa"/>
          </w:tcPr>
          <w:p w14:paraId="4FD0626A"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19.244,93</w:t>
            </w:r>
          </w:p>
        </w:tc>
        <w:tc>
          <w:tcPr>
            <w:tcW w:w="1962" w:type="dxa"/>
          </w:tcPr>
          <w:p w14:paraId="085C4CE9"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54,85</w:t>
            </w:r>
          </w:p>
        </w:tc>
      </w:tr>
      <w:tr w:rsidR="009D7BA9" w:rsidRPr="00FD510D" w14:paraId="0A8A3DCE" w14:textId="77777777" w:rsidTr="009D7BA9">
        <w:trPr>
          <w:trHeight w:val="252"/>
        </w:trPr>
        <w:tc>
          <w:tcPr>
            <w:tcW w:w="0" w:type="auto"/>
          </w:tcPr>
          <w:p w14:paraId="74D2EF87"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HR2000642</w:t>
            </w:r>
          </w:p>
        </w:tc>
        <w:tc>
          <w:tcPr>
            <w:tcW w:w="2716" w:type="dxa"/>
          </w:tcPr>
          <w:p w14:paraId="5B3BF9CA"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 xml:space="preserve">Kupa </w:t>
            </w:r>
          </w:p>
        </w:tc>
        <w:tc>
          <w:tcPr>
            <w:tcW w:w="1134" w:type="dxa"/>
          </w:tcPr>
          <w:p w14:paraId="26EA9C04"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POVS</w:t>
            </w:r>
          </w:p>
        </w:tc>
        <w:tc>
          <w:tcPr>
            <w:tcW w:w="2268" w:type="dxa"/>
          </w:tcPr>
          <w:p w14:paraId="117012EF"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1.522,69</w:t>
            </w:r>
          </w:p>
        </w:tc>
        <w:tc>
          <w:tcPr>
            <w:tcW w:w="1962" w:type="dxa"/>
          </w:tcPr>
          <w:p w14:paraId="13930742"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28,39</w:t>
            </w:r>
          </w:p>
        </w:tc>
      </w:tr>
      <w:tr w:rsidR="009D7BA9" w:rsidRPr="00FD510D" w14:paraId="48C6FE19" w14:textId="77777777" w:rsidTr="009D7BA9">
        <w:trPr>
          <w:trHeight w:val="252"/>
        </w:trPr>
        <w:tc>
          <w:tcPr>
            <w:tcW w:w="0" w:type="auto"/>
          </w:tcPr>
          <w:p w14:paraId="7471BE9B"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HR2000593</w:t>
            </w:r>
          </w:p>
        </w:tc>
        <w:tc>
          <w:tcPr>
            <w:tcW w:w="2716" w:type="dxa"/>
          </w:tcPr>
          <w:p w14:paraId="4AAA380B" w14:textId="77777777" w:rsidR="009D7BA9" w:rsidRPr="00FD510D" w:rsidRDefault="009D7BA9" w:rsidP="009D7BA9">
            <w:pPr>
              <w:rPr>
                <w:rFonts w:eastAsia="Times New Roman" w:cs="Tahoma"/>
                <w:color w:val="000000"/>
                <w:sz w:val="18"/>
                <w:szCs w:val="18"/>
              </w:rPr>
            </w:pPr>
            <w:r w:rsidRPr="00FD510D">
              <w:rPr>
                <w:rFonts w:eastAsia="Times New Roman" w:cs="Tahoma"/>
                <w:color w:val="000000"/>
                <w:sz w:val="18"/>
                <w:szCs w:val="18"/>
              </w:rPr>
              <w:t xml:space="preserve">Mrežnica - Tounjčica </w:t>
            </w:r>
          </w:p>
        </w:tc>
        <w:tc>
          <w:tcPr>
            <w:tcW w:w="1134" w:type="dxa"/>
          </w:tcPr>
          <w:p w14:paraId="7F34E206"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POVS</w:t>
            </w:r>
          </w:p>
        </w:tc>
        <w:tc>
          <w:tcPr>
            <w:tcW w:w="2268" w:type="dxa"/>
          </w:tcPr>
          <w:p w14:paraId="2ACFECD4"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1.095,98</w:t>
            </w:r>
          </w:p>
        </w:tc>
        <w:tc>
          <w:tcPr>
            <w:tcW w:w="1962" w:type="dxa"/>
          </w:tcPr>
          <w:p w14:paraId="05BD432E"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100</w:t>
            </w:r>
          </w:p>
        </w:tc>
      </w:tr>
      <w:tr w:rsidR="009D7BA9" w:rsidRPr="00FD510D" w14:paraId="08EF2C90" w14:textId="77777777" w:rsidTr="009D7BA9">
        <w:trPr>
          <w:trHeight w:val="252"/>
        </w:trPr>
        <w:tc>
          <w:tcPr>
            <w:tcW w:w="0" w:type="auto"/>
          </w:tcPr>
          <w:p w14:paraId="150EDC60"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HR2000094</w:t>
            </w:r>
          </w:p>
        </w:tc>
        <w:tc>
          <w:tcPr>
            <w:tcW w:w="2716" w:type="dxa"/>
          </w:tcPr>
          <w:p w14:paraId="762919CD" w14:textId="77777777" w:rsidR="009D7BA9" w:rsidRPr="00FD510D" w:rsidRDefault="009D7BA9" w:rsidP="009D7BA9">
            <w:pPr>
              <w:rPr>
                <w:rFonts w:eastAsia="Times New Roman" w:cs="Tahoma"/>
                <w:color w:val="000000"/>
                <w:sz w:val="18"/>
                <w:szCs w:val="18"/>
              </w:rPr>
            </w:pPr>
            <w:r w:rsidRPr="00FD510D">
              <w:rPr>
                <w:rFonts w:eastAsia="Times New Roman" w:cs="Tahoma"/>
                <w:color w:val="000000"/>
                <w:sz w:val="18"/>
                <w:szCs w:val="18"/>
              </w:rPr>
              <w:t>Ozaljska špilja</w:t>
            </w:r>
          </w:p>
        </w:tc>
        <w:tc>
          <w:tcPr>
            <w:tcW w:w="1134" w:type="dxa"/>
          </w:tcPr>
          <w:p w14:paraId="21CFBFE4"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POVS</w:t>
            </w:r>
          </w:p>
        </w:tc>
        <w:tc>
          <w:tcPr>
            <w:tcW w:w="2268" w:type="dxa"/>
          </w:tcPr>
          <w:p w14:paraId="3A014F64"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0,78</w:t>
            </w:r>
          </w:p>
        </w:tc>
        <w:tc>
          <w:tcPr>
            <w:tcW w:w="1962" w:type="dxa"/>
          </w:tcPr>
          <w:p w14:paraId="5F4F86B1"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100</w:t>
            </w:r>
          </w:p>
        </w:tc>
      </w:tr>
      <w:tr w:rsidR="009D7BA9" w:rsidRPr="00FD510D" w14:paraId="5ED23C40" w14:textId="77777777" w:rsidTr="009D7BA9">
        <w:trPr>
          <w:trHeight w:val="252"/>
        </w:trPr>
        <w:tc>
          <w:tcPr>
            <w:tcW w:w="0" w:type="auto"/>
          </w:tcPr>
          <w:p w14:paraId="5A8D583E"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HR2000449</w:t>
            </w:r>
          </w:p>
        </w:tc>
        <w:tc>
          <w:tcPr>
            <w:tcW w:w="2716" w:type="dxa"/>
          </w:tcPr>
          <w:p w14:paraId="7B7F2ABF" w14:textId="77777777" w:rsidR="009D7BA9" w:rsidRPr="00FD510D" w:rsidRDefault="009D7BA9" w:rsidP="009D7BA9">
            <w:pPr>
              <w:rPr>
                <w:rFonts w:eastAsia="Times New Roman" w:cs="Tahoma"/>
                <w:color w:val="000000"/>
                <w:sz w:val="18"/>
                <w:szCs w:val="18"/>
              </w:rPr>
            </w:pPr>
            <w:r w:rsidRPr="00FD510D">
              <w:rPr>
                <w:rFonts w:eastAsia="Times New Roman" w:cs="Tahoma"/>
                <w:color w:val="000000"/>
                <w:sz w:val="18"/>
                <w:szCs w:val="18"/>
              </w:rPr>
              <w:t>Ribnjaci Crna Mlaka</w:t>
            </w:r>
          </w:p>
        </w:tc>
        <w:tc>
          <w:tcPr>
            <w:tcW w:w="1134" w:type="dxa"/>
          </w:tcPr>
          <w:p w14:paraId="5897D4A0"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POVS</w:t>
            </w:r>
          </w:p>
        </w:tc>
        <w:tc>
          <w:tcPr>
            <w:tcW w:w="2268" w:type="dxa"/>
          </w:tcPr>
          <w:p w14:paraId="53C4E60D"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0,84</w:t>
            </w:r>
          </w:p>
        </w:tc>
        <w:tc>
          <w:tcPr>
            <w:tcW w:w="1962" w:type="dxa"/>
          </w:tcPr>
          <w:p w14:paraId="43BA5817"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0,12</w:t>
            </w:r>
          </w:p>
        </w:tc>
      </w:tr>
      <w:tr w:rsidR="009D7BA9" w:rsidRPr="00FD510D" w14:paraId="1526C0C2" w14:textId="77777777" w:rsidTr="009D7BA9">
        <w:trPr>
          <w:trHeight w:val="252"/>
        </w:trPr>
        <w:tc>
          <w:tcPr>
            <w:tcW w:w="0" w:type="auto"/>
          </w:tcPr>
          <w:p w14:paraId="425E518B"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HR2000450</w:t>
            </w:r>
          </w:p>
        </w:tc>
        <w:tc>
          <w:tcPr>
            <w:tcW w:w="2716" w:type="dxa"/>
          </w:tcPr>
          <w:p w14:paraId="376B29B9" w14:textId="77777777" w:rsidR="009D7BA9" w:rsidRPr="00FD510D" w:rsidRDefault="009D7BA9" w:rsidP="009D7BA9">
            <w:pPr>
              <w:rPr>
                <w:rFonts w:eastAsia="Times New Roman" w:cs="Tahoma"/>
                <w:color w:val="000000"/>
                <w:sz w:val="18"/>
                <w:szCs w:val="18"/>
              </w:rPr>
            </w:pPr>
            <w:r w:rsidRPr="00FD510D">
              <w:rPr>
                <w:rFonts w:eastAsia="Times New Roman" w:cs="Tahoma"/>
                <w:color w:val="000000"/>
                <w:sz w:val="18"/>
                <w:szCs w:val="18"/>
              </w:rPr>
              <w:t>Ribnjaci Draganići</w:t>
            </w:r>
          </w:p>
        </w:tc>
        <w:tc>
          <w:tcPr>
            <w:tcW w:w="1134" w:type="dxa"/>
          </w:tcPr>
          <w:p w14:paraId="252C6B16"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POVS</w:t>
            </w:r>
          </w:p>
        </w:tc>
        <w:tc>
          <w:tcPr>
            <w:tcW w:w="2268" w:type="dxa"/>
          </w:tcPr>
          <w:p w14:paraId="3414EC68"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390,94</w:t>
            </w:r>
          </w:p>
        </w:tc>
        <w:tc>
          <w:tcPr>
            <w:tcW w:w="1962" w:type="dxa"/>
          </w:tcPr>
          <w:p w14:paraId="21BE1B37"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100</w:t>
            </w:r>
          </w:p>
        </w:tc>
      </w:tr>
      <w:tr w:rsidR="009D7BA9" w:rsidRPr="00FD510D" w14:paraId="5E16E44A" w14:textId="77777777" w:rsidTr="009D7BA9">
        <w:trPr>
          <w:trHeight w:val="252"/>
        </w:trPr>
        <w:tc>
          <w:tcPr>
            <w:tcW w:w="0" w:type="auto"/>
          </w:tcPr>
          <w:p w14:paraId="0ABD99A9"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HR2001505</w:t>
            </w:r>
          </w:p>
        </w:tc>
        <w:tc>
          <w:tcPr>
            <w:tcW w:w="2716" w:type="dxa"/>
          </w:tcPr>
          <w:p w14:paraId="26BCB14D" w14:textId="77777777" w:rsidR="009D7BA9" w:rsidRPr="00FD510D" w:rsidRDefault="009D7BA9" w:rsidP="009D7BA9">
            <w:pPr>
              <w:rPr>
                <w:rFonts w:eastAsia="Times New Roman" w:cs="Tahoma"/>
                <w:color w:val="000000"/>
                <w:sz w:val="18"/>
                <w:szCs w:val="18"/>
              </w:rPr>
            </w:pPr>
            <w:r w:rsidRPr="00FD510D">
              <w:rPr>
                <w:rFonts w:eastAsia="Times New Roman" w:cs="Tahoma"/>
                <w:color w:val="000000"/>
                <w:sz w:val="18"/>
                <w:szCs w:val="18"/>
              </w:rPr>
              <w:t>Korana nizvodno od Slunja</w:t>
            </w:r>
          </w:p>
        </w:tc>
        <w:tc>
          <w:tcPr>
            <w:tcW w:w="1134" w:type="dxa"/>
          </w:tcPr>
          <w:p w14:paraId="2FEAA6B3"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POVS</w:t>
            </w:r>
          </w:p>
        </w:tc>
        <w:tc>
          <w:tcPr>
            <w:tcW w:w="2268" w:type="dxa"/>
          </w:tcPr>
          <w:p w14:paraId="5809DEB1"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588,50</w:t>
            </w:r>
          </w:p>
        </w:tc>
        <w:tc>
          <w:tcPr>
            <w:tcW w:w="1962" w:type="dxa"/>
          </w:tcPr>
          <w:p w14:paraId="0DB118F3"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100</w:t>
            </w:r>
          </w:p>
        </w:tc>
      </w:tr>
      <w:tr w:rsidR="009D7BA9" w:rsidRPr="00FD510D" w14:paraId="08B95610" w14:textId="77777777" w:rsidTr="009D7BA9">
        <w:trPr>
          <w:trHeight w:val="252"/>
        </w:trPr>
        <w:tc>
          <w:tcPr>
            <w:tcW w:w="0" w:type="auto"/>
          </w:tcPr>
          <w:p w14:paraId="2F40C5B2"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HR2001381</w:t>
            </w:r>
          </w:p>
        </w:tc>
        <w:tc>
          <w:tcPr>
            <w:tcW w:w="2716" w:type="dxa"/>
          </w:tcPr>
          <w:p w14:paraId="62ED1D32" w14:textId="77777777" w:rsidR="009D7BA9" w:rsidRPr="00FD510D" w:rsidRDefault="009D7BA9" w:rsidP="009D7BA9">
            <w:pPr>
              <w:rPr>
                <w:rFonts w:eastAsia="Times New Roman" w:cs="Tahoma"/>
                <w:color w:val="000000"/>
                <w:sz w:val="18"/>
                <w:szCs w:val="18"/>
              </w:rPr>
            </w:pPr>
            <w:r w:rsidRPr="00FD510D">
              <w:rPr>
                <w:rFonts w:eastAsia="Times New Roman" w:cs="Tahoma"/>
                <w:color w:val="000000"/>
                <w:sz w:val="18"/>
                <w:szCs w:val="18"/>
              </w:rPr>
              <w:t xml:space="preserve">Vukmanić - cret </w:t>
            </w:r>
          </w:p>
        </w:tc>
        <w:tc>
          <w:tcPr>
            <w:tcW w:w="1134" w:type="dxa"/>
          </w:tcPr>
          <w:p w14:paraId="3D85F7B5"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POVS</w:t>
            </w:r>
          </w:p>
        </w:tc>
        <w:tc>
          <w:tcPr>
            <w:tcW w:w="2268" w:type="dxa"/>
          </w:tcPr>
          <w:p w14:paraId="577CADD9"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14,54</w:t>
            </w:r>
          </w:p>
        </w:tc>
        <w:tc>
          <w:tcPr>
            <w:tcW w:w="1962" w:type="dxa"/>
          </w:tcPr>
          <w:p w14:paraId="65264887"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100</w:t>
            </w:r>
          </w:p>
        </w:tc>
      </w:tr>
      <w:tr w:rsidR="009D7BA9" w:rsidRPr="00FD510D" w14:paraId="4C07CE37" w14:textId="77777777" w:rsidTr="009D7BA9">
        <w:trPr>
          <w:trHeight w:val="252"/>
        </w:trPr>
        <w:tc>
          <w:tcPr>
            <w:tcW w:w="0" w:type="auto"/>
          </w:tcPr>
          <w:p w14:paraId="49275052"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HR2000586</w:t>
            </w:r>
          </w:p>
        </w:tc>
        <w:tc>
          <w:tcPr>
            <w:tcW w:w="2716" w:type="dxa"/>
          </w:tcPr>
          <w:p w14:paraId="04412F96" w14:textId="77777777" w:rsidR="009D7BA9" w:rsidRPr="00FD510D" w:rsidRDefault="009D7BA9" w:rsidP="009D7BA9">
            <w:pPr>
              <w:rPr>
                <w:rFonts w:eastAsia="Times New Roman" w:cs="Tahoma"/>
                <w:color w:val="000000"/>
                <w:sz w:val="18"/>
                <w:szCs w:val="18"/>
              </w:rPr>
            </w:pPr>
            <w:r w:rsidRPr="00FD510D">
              <w:rPr>
                <w:rFonts w:eastAsia="Times New Roman" w:cs="Tahoma"/>
                <w:color w:val="000000"/>
                <w:sz w:val="18"/>
                <w:szCs w:val="18"/>
              </w:rPr>
              <w:t>Žumberak - Samoborsko gorje</w:t>
            </w:r>
          </w:p>
        </w:tc>
        <w:tc>
          <w:tcPr>
            <w:tcW w:w="1134" w:type="dxa"/>
          </w:tcPr>
          <w:p w14:paraId="53CB4025"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POVS</w:t>
            </w:r>
          </w:p>
        </w:tc>
        <w:tc>
          <w:tcPr>
            <w:tcW w:w="2268" w:type="dxa"/>
          </w:tcPr>
          <w:p w14:paraId="37689D30"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7.654,22</w:t>
            </w:r>
          </w:p>
        </w:tc>
        <w:tc>
          <w:tcPr>
            <w:tcW w:w="1962" w:type="dxa"/>
          </w:tcPr>
          <w:p w14:paraId="43631ACC"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22,36</w:t>
            </w:r>
          </w:p>
        </w:tc>
      </w:tr>
    </w:tbl>
    <w:p w14:paraId="627EE01B" w14:textId="77777777" w:rsidR="009D7BA9" w:rsidRPr="00FD510D" w:rsidRDefault="009D7BA9" w:rsidP="009D7BA9">
      <w:pPr>
        <w:jc w:val="left"/>
        <w:rPr>
          <w:rFonts w:cs="Tahoma"/>
          <w:color w:val="39617A"/>
          <w:sz w:val="18"/>
          <w:szCs w:val="18"/>
        </w:rPr>
      </w:pPr>
      <w:r w:rsidRPr="00FD510D">
        <w:rPr>
          <w:rFonts w:cs="Tahoma"/>
          <w:color w:val="39617A"/>
          <w:sz w:val="18"/>
          <w:szCs w:val="18"/>
        </w:rPr>
        <w:t>Izvor: Bioportal</w:t>
      </w:r>
    </w:p>
    <w:p w14:paraId="38685AA1" w14:textId="63EC6A21" w:rsidR="009D7BA9" w:rsidRDefault="00DE60F0" w:rsidP="00DE60F0">
      <w:pPr>
        <w:pStyle w:val="Heading4"/>
      </w:pPr>
      <w:r>
        <w:t>Urbano zelenilo</w:t>
      </w:r>
    </w:p>
    <w:p w14:paraId="29A0CFF3" w14:textId="18377E25" w:rsidR="00DE60F0" w:rsidRPr="00FD510D" w:rsidRDefault="00DE60F0" w:rsidP="00DE60F0">
      <w:r w:rsidRPr="00FD510D">
        <w:t xml:space="preserve">Zelene površine gradova urbanog područja održavaju javna komunalna poduzeća. Primjerice u Karlovcu </w:t>
      </w:r>
      <w:r w:rsidR="00023FD8">
        <w:t xml:space="preserve">je </w:t>
      </w:r>
      <w:r w:rsidRPr="00FD510D">
        <w:t>za održavanje javnih zelenih površina zaduženo komunalno poduzeće Zelenilo d.o.o. – Karlovac u čijoj je nadležnosti sveukupno 1.421.843 m²</w:t>
      </w:r>
      <w:r>
        <w:t xml:space="preserve"> zelenih površina, što u odnosu na broj stanovnika (2011) iznosi</w:t>
      </w:r>
      <w:r w:rsidRPr="00FD510D">
        <w:t xml:space="preserve"> 25,5 m</w:t>
      </w:r>
      <w:r w:rsidRPr="00DE60F0">
        <w:rPr>
          <w:vertAlign w:val="superscript"/>
        </w:rPr>
        <w:t>2</w:t>
      </w:r>
      <w:r w:rsidRPr="00FD510D">
        <w:t xml:space="preserve"> po st</w:t>
      </w:r>
      <w:r w:rsidR="00023FD8">
        <w:t>anovniku. Na području Grada Duge</w:t>
      </w:r>
      <w:r w:rsidRPr="00FD510D">
        <w:t xml:space="preserve"> Rese uređuje se ukupno 134.312 m</w:t>
      </w:r>
      <w:r w:rsidRPr="00DE60F0">
        <w:rPr>
          <w:vertAlign w:val="superscript"/>
        </w:rPr>
        <w:t>2</w:t>
      </w:r>
      <w:r w:rsidRPr="00FD510D">
        <w:t xml:space="preserve"> javnih zelenih površina, </w:t>
      </w:r>
      <w:r>
        <w:t>što je</w:t>
      </w:r>
      <w:r w:rsidRPr="00FD510D">
        <w:t xml:space="preserve"> 12,0 m</w:t>
      </w:r>
      <w:r w:rsidRPr="00DE60F0">
        <w:rPr>
          <w:vertAlign w:val="superscript"/>
        </w:rPr>
        <w:t>2</w:t>
      </w:r>
      <w:r w:rsidRPr="00FD510D">
        <w:t xml:space="preserve"> javnih zelenih površina po stanovniku. Na području Grada Ozlja za uređivanje u 2019. godini predviđeno je ukupno 12.230 m</w:t>
      </w:r>
      <w:r w:rsidRPr="00DE60F0">
        <w:rPr>
          <w:vertAlign w:val="superscript"/>
        </w:rPr>
        <w:t>2</w:t>
      </w:r>
      <w:r w:rsidRPr="00FD510D">
        <w:t xml:space="preserve"> javnih zelenih površina što iznosi svega 1,8 m</w:t>
      </w:r>
      <w:r w:rsidRPr="00DE60F0">
        <w:rPr>
          <w:vertAlign w:val="superscript"/>
        </w:rPr>
        <w:t>2</w:t>
      </w:r>
      <w:r w:rsidRPr="00FD510D">
        <w:t xml:space="preserve"> po stanovniku.</w:t>
      </w:r>
    </w:p>
    <w:p w14:paraId="3F16ACB5" w14:textId="77777777" w:rsidR="00DE60F0" w:rsidRPr="003A149D" w:rsidRDefault="00DE60F0" w:rsidP="003A149D"/>
    <w:p w14:paraId="16699EC5" w14:textId="386EE4F2" w:rsidR="009D7BA9" w:rsidRPr="00FD510D" w:rsidRDefault="003A149D" w:rsidP="003A149D">
      <w:pPr>
        <w:pStyle w:val="Heading4"/>
      </w:pPr>
      <w:r>
        <w:t>Gospodarenje otpadom</w:t>
      </w:r>
    </w:p>
    <w:p w14:paraId="31EA009E" w14:textId="018B71C9" w:rsidR="009D7BA9" w:rsidRPr="003A149D" w:rsidRDefault="009D7BA9" w:rsidP="003A149D">
      <w:r w:rsidRPr="003A149D">
        <w:t>Na predmetnom urbanom području</w:t>
      </w:r>
      <w:r w:rsidR="00023FD8">
        <w:t>,</w:t>
      </w:r>
      <w:r w:rsidRPr="003A149D">
        <w:t xml:space="preserve"> većina stanovništva obuhvaćena je organiziranim skupljanjem otpada. U Karlovcu </w:t>
      </w:r>
      <w:r w:rsidR="00023FD8">
        <w:t xml:space="preserve">je </w:t>
      </w:r>
      <w:r w:rsidRPr="003A149D">
        <w:t>organiziranim odvozom komunalnog otpada obuhvaćeno 98% stanovnika, u Ozlju su organiziranim skupljanjem i odvozom komunalnog otpada obuhvaćena sva naselja, a slično vrijedi i za područje Grada Duga Resa. Na području Grada Karlovca organizirano skupljanje otpada obavlja komunalno poduzeće Čisto</w:t>
      </w:r>
      <w:r w:rsidR="00023FD8">
        <w:t>ća d.o.o. Karlovac, u Gradu Dugoj</w:t>
      </w:r>
      <w:r w:rsidRPr="003A149D">
        <w:t xml:space="preserve"> Resi nadležna je tvrtka Čistoća Duga Resa d.o.o., a u Ozlju Azelija eko d.o.o. Osnovne djelatnosti ovih poduzeća, uključuju održavanje čistoće, odlaganje komunalnog otpada, djelatnosti prijevoza i skupljanja otpada, održavanje javnih površina te čistoće javno-prometnih površina (kolnika, pločnika, trgova, pothodnika, javnih stuba i prolaza), tržnice na malo i veliko, održavanje groblja i dr.</w:t>
      </w:r>
    </w:p>
    <w:p w14:paraId="55B7857D" w14:textId="495C71C7" w:rsidR="009D7BA9" w:rsidRPr="003A149D" w:rsidRDefault="003A149D" w:rsidP="003A149D">
      <w:r>
        <w:t>Na</w:t>
      </w:r>
      <w:r w:rsidR="009D7BA9" w:rsidRPr="003A149D">
        <w:t xml:space="preserve"> urbanom </w:t>
      </w:r>
      <w:r w:rsidR="00023FD8">
        <w:t xml:space="preserve">području uspostavljen je </w:t>
      </w:r>
      <w:r w:rsidR="009D7BA9" w:rsidRPr="003A149D">
        <w:t>sustav odvojenog prikupljanja otpada za koji se koriste namjenski kontejneri raspoređeni na oko 100-</w:t>
      </w:r>
      <w:r w:rsidR="00023FD8">
        <w:t>tinj</w:t>
      </w:r>
      <w:r w:rsidR="009D7BA9" w:rsidRPr="003A149D">
        <w:t xml:space="preserve">ak lokacija tzv. "zelenih otoka" od kojih se više od 70% nalazi u gradu Karlovcu. Odvoz glomaznog otpada provodi se putem otvorenih kontejnera postavljenih na javnim površinama prema unaprijed utvrđenom rasporedu po gradskim četvrtima i mjesnim odborima, a građani grada Karlovca imaju </w:t>
      </w:r>
      <w:r w:rsidR="00023FD8">
        <w:t xml:space="preserve">i </w:t>
      </w:r>
      <w:r w:rsidR="009D7BA9" w:rsidRPr="003A149D">
        <w:t xml:space="preserve">mogućnost korištenja besplatnog odvoza glomaznog otpada </w:t>
      </w:r>
      <w:r w:rsidR="00023FD8">
        <w:t>na zahtjev</w:t>
      </w:r>
      <w:r w:rsidR="009D7BA9" w:rsidRPr="003A149D">
        <w:t>. Elektr</w:t>
      </w:r>
      <w:r w:rsidR="00C035AE">
        <w:t xml:space="preserve">ični i elektronički </w:t>
      </w:r>
      <w:r w:rsidR="009D7BA9" w:rsidRPr="003A149D">
        <w:t xml:space="preserve">otpad </w:t>
      </w:r>
      <w:r w:rsidR="00C035AE">
        <w:t>preuzimaju ovlašteni sakupljači i predaju obrađivaču</w:t>
      </w:r>
      <w:r w:rsidR="009D7BA9" w:rsidRPr="003A149D">
        <w:t>.</w:t>
      </w:r>
      <w:r w:rsidR="00C035AE">
        <w:t xml:space="preserve"> Građani na reciklažnim dvorištima mogu odložiti posebne vrste otpada izdvojene iz komunalnog otpada.</w:t>
      </w:r>
    </w:p>
    <w:p w14:paraId="2A27003C" w14:textId="09DAF31D" w:rsidR="009D7BA9" w:rsidRPr="00251E45" w:rsidRDefault="009D7BA9" w:rsidP="00251E45">
      <w:r w:rsidRPr="00251E45">
        <w:t xml:space="preserve">Miješani komunalni otpad se prikuplja i odvozi na </w:t>
      </w:r>
      <w:r w:rsidRPr="00251E45">
        <w:rPr>
          <w:b/>
        </w:rPr>
        <w:t>odlagalište otpada Ilovac</w:t>
      </w:r>
      <w:r w:rsidRPr="00251E45">
        <w:t xml:space="preserve">, gdje se obrađuje i trajno odlaže. Riječ je o odlagalištu površine 18 ha </w:t>
      </w:r>
      <w:r w:rsidR="00C40785">
        <w:t xml:space="preserve">koje je trenutno u procesu saniranja, a </w:t>
      </w:r>
      <w:r w:rsidR="003A5AF2">
        <w:t xml:space="preserve">predviđeno je i njegovo zatvaranje </w:t>
      </w:r>
      <w:r w:rsidR="00C40785">
        <w:t xml:space="preserve">nakon izgradnje </w:t>
      </w:r>
      <w:r w:rsidR="00C40785" w:rsidRPr="00251E45">
        <w:t>Regionalnog centra za gospodarenje otpadom Babina Gora</w:t>
      </w:r>
      <w:r w:rsidR="003A5AF2">
        <w:t xml:space="preserve">. </w:t>
      </w:r>
      <w:r w:rsidR="003A5AF2">
        <w:lastRenderedPageBreak/>
        <w:t xml:space="preserve">Lokacija </w:t>
      </w:r>
      <w:r w:rsidR="00C40785">
        <w:t xml:space="preserve">Ilovac </w:t>
      </w:r>
      <w:r w:rsidR="003A5AF2">
        <w:t xml:space="preserve">će nakon puštanja u rad RCGO </w:t>
      </w:r>
      <w:r w:rsidR="00023FD8">
        <w:t xml:space="preserve">Babina Gora </w:t>
      </w:r>
      <w:r w:rsidR="003A5AF2">
        <w:t>služiti kao pretovarna stanica s postrojenjem za sortiranje odvojeno prikupljenog otpada i reciklažnim dvorištem</w:t>
      </w:r>
      <w:r w:rsidRPr="00251E45">
        <w:t xml:space="preserve">. Ukupna vrijednost projekta </w:t>
      </w:r>
      <w:r w:rsidR="00023FD8">
        <w:t>R</w:t>
      </w:r>
      <w:r w:rsidRPr="00251E45">
        <w:t xml:space="preserve">CGO Babina </w:t>
      </w:r>
      <w:r w:rsidR="00023FD8">
        <w:t>Gora</w:t>
      </w:r>
      <w:r w:rsidRPr="00251E45">
        <w:t xml:space="preserve"> iznosi 7,9 milijuna kuna, a najveći dio sufinancirat će se sredstvima europskih fondova, točnije kroz Mjeru 7 Programa ruralnog razvoja. Kapaciteti Centra zadovoljit će potrebe za 150.000 stanovnika u Karlovačkoj županiji, ali i onih dijelova Ličko-senjske i Sisačko-moslavačke županije koji se nalaze u gravitacijskom području Karlovačke županije. Na odlagalište Ilovac komunalni otpad odlažu i sljedeće općine s područja Karlovačke županije: Barilović, Bosiljevo, Draganić, </w:t>
      </w:r>
      <w:r w:rsidR="003A5AF2">
        <w:t xml:space="preserve">Cetingrad, </w:t>
      </w:r>
      <w:r w:rsidRPr="00251E45">
        <w:t xml:space="preserve">Generalski Stol, Kamanje, </w:t>
      </w:r>
      <w:r w:rsidR="003A5AF2">
        <w:t xml:space="preserve">Krnjak, </w:t>
      </w:r>
      <w:r w:rsidRPr="00251E45">
        <w:t>Netretić, Ribnik</w:t>
      </w:r>
      <w:r w:rsidR="003A5AF2">
        <w:t>, Tounj, Vojnić</w:t>
      </w:r>
      <w:r w:rsidRPr="00251E45">
        <w:t xml:space="preserve"> i Žakanje</w:t>
      </w:r>
      <w:r w:rsidR="003A5AF2">
        <w:t xml:space="preserve"> te gradovi Duga Resa i Ozalj</w:t>
      </w:r>
      <w:r w:rsidRPr="00251E45">
        <w:t>.</w:t>
      </w:r>
      <w:r w:rsidR="00251E45">
        <w:t xml:space="preserve"> N</w:t>
      </w:r>
      <w:r w:rsidR="00251E45" w:rsidRPr="00251E45">
        <w:t>a odlagalištu Ilovac također je uspostavljeno reciklažno dvorište površine 4.210 m</w:t>
      </w:r>
      <w:r w:rsidR="00251E45" w:rsidRPr="002C72B6">
        <w:rPr>
          <w:vertAlign w:val="superscript"/>
        </w:rPr>
        <w:t>2</w:t>
      </w:r>
      <w:r w:rsidR="00251E45">
        <w:t xml:space="preserve"> gdje su </w:t>
      </w:r>
      <w:r w:rsidR="00251E45" w:rsidRPr="00251E45">
        <w:t>raspoređeni kontejneri za privremeno skladištenje 33 vrste otpada, a građani mogu otpad besplatno dovesti i odložiti u odgovarajuće kontejnere</w:t>
      </w:r>
      <w:r w:rsidR="00251E45">
        <w:t>.</w:t>
      </w:r>
    </w:p>
    <w:p w14:paraId="120AEBFF" w14:textId="2FAD4F57" w:rsidR="009D7BA9" w:rsidRPr="00251E45" w:rsidRDefault="009D7BA9" w:rsidP="00251E45">
      <w:r w:rsidRPr="00251E45">
        <w:rPr>
          <w:b/>
        </w:rPr>
        <w:t>Količine sakupljenog miješanog komunalnog otpada</w:t>
      </w:r>
      <w:r w:rsidRPr="00251E45">
        <w:t xml:space="preserve"> (MKO) na predmetnom području u pravilu </w:t>
      </w:r>
      <w:r w:rsidRPr="00251E45">
        <w:rPr>
          <w:b/>
        </w:rPr>
        <w:t>pokazuju</w:t>
      </w:r>
      <w:r w:rsidRPr="00251E45">
        <w:t xml:space="preserve"> </w:t>
      </w:r>
      <w:r w:rsidRPr="00251E45">
        <w:rPr>
          <w:b/>
        </w:rPr>
        <w:t>trend smanjivanja</w:t>
      </w:r>
      <w:r w:rsidRPr="00251E45">
        <w:t>. U 2016. godini količina MKO iznosila je 15.820,57 tona odnosno 48,4% od sveukupno 32.709,82 t prikupljenog komunalnog otpada na području Karlovačke županije. Vidljivo je također kako je u 2016. godini došlo do smanjivanja ukupno odloženog otpada na odlagalište Ilovac</w:t>
      </w:r>
      <w:r w:rsidR="00023FD8">
        <w:t>,</w:t>
      </w:r>
      <w:r w:rsidRPr="00251E45">
        <w:t xml:space="preserve"> prvenstveno zbog provođenja aktivnosti na odvojenom prikupljanju otpada te općenito </w:t>
      </w:r>
      <w:r w:rsidR="00251E45">
        <w:t xml:space="preserve">unaprijeđenog sustava </w:t>
      </w:r>
      <w:r w:rsidRPr="00251E45">
        <w:t>gospodarenja komunalnim otpadom.</w:t>
      </w:r>
    </w:p>
    <w:p w14:paraId="480C4A29" w14:textId="77777777" w:rsidR="009D7BA9" w:rsidRPr="00FD510D" w:rsidRDefault="009D7BA9" w:rsidP="009D7BA9">
      <w:pPr>
        <w:pStyle w:val="Caption"/>
      </w:pPr>
      <w:bookmarkStart w:id="72" w:name="_Toc420581475"/>
      <w:bookmarkStart w:id="73" w:name="_Toc437387504"/>
      <w:r w:rsidRPr="00FD510D">
        <w:t xml:space="preserve">Tablica </w:t>
      </w:r>
      <w:r>
        <w:fldChar w:fldCharType="begin"/>
      </w:r>
      <w:r>
        <w:instrText xml:space="preserve"> SEQ Tablica \* ARABIC </w:instrText>
      </w:r>
      <w:r>
        <w:fldChar w:fldCharType="separate"/>
      </w:r>
      <w:r w:rsidR="001358A9">
        <w:rPr>
          <w:noProof/>
        </w:rPr>
        <w:t>31</w:t>
      </w:r>
      <w:r>
        <w:rPr>
          <w:noProof/>
        </w:rPr>
        <w:fldChar w:fldCharType="end"/>
      </w:r>
      <w:r w:rsidRPr="00FD510D">
        <w:t>. Količine odloženog miješanog komunalnog otpada na odlagalištu Ilovac 2013. – 2016. godina (u t)</w:t>
      </w:r>
      <w:bookmarkEnd w:id="72"/>
      <w:bookmarkEnd w:id="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7"/>
        <w:gridCol w:w="1610"/>
        <w:gridCol w:w="1609"/>
        <w:gridCol w:w="1609"/>
        <w:gridCol w:w="1609"/>
      </w:tblGrid>
      <w:tr w:rsidR="009D7BA9" w:rsidRPr="00FD510D" w14:paraId="03A13E3E" w14:textId="77777777" w:rsidTr="009D7BA9">
        <w:trPr>
          <w:trHeight w:val="217"/>
          <w:tblHeader/>
        </w:trPr>
        <w:tc>
          <w:tcPr>
            <w:tcW w:w="1555" w:type="pct"/>
            <w:shd w:val="clear" w:color="auto" w:fill="39617A"/>
            <w:vAlign w:val="center"/>
          </w:tcPr>
          <w:p w14:paraId="1A85ED66"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Teritorijalna jedinica</w:t>
            </w:r>
          </w:p>
        </w:tc>
        <w:tc>
          <w:tcPr>
            <w:tcW w:w="861" w:type="pct"/>
            <w:shd w:val="clear" w:color="auto" w:fill="39617A"/>
            <w:vAlign w:val="center"/>
          </w:tcPr>
          <w:p w14:paraId="1EF1281D"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2013.</w:t>
            </w:r>
          </w:p>
        </w:tc>
        <w:tc>
          <w:tcPr>
            <w:tcW w:w="861" w:type="pct"/>
            <w:shd w:val="clear" w:color="auto" w:fill="39617A"/>
            <w:vAlign w:val="center"/>
          </w:tcPr>
          <w:p w14:paraId="249CB402"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2014.</w:t>
            </w:r>
          </w:p>
        </w:tc>
        <w:tc>
          <w:tcPr>
            <w:tcW w:w="861" w:type="pct"/>
            <w:shd w:val="clear" w:color="auto" w:fill="39617A"/>
            <w:vAlign w:val="center"/>
          </w:tcPr>
          <w:p w14:paraId="2AB2718B"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2015.</w:t>
            </w:r>
          </w:p>
        </w:tc>
        <w:tc>
          <w:tcPr>
            <w:tcW w:w="861" w:type="pct"/>
            <w:shd w:val="clear" w:color="auto" w:fill="39617A"/>
            <w:vAlign w:val="center"/>
          </w:tcPr>
          <w:p w14:paraId="1ABA998C"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2016.</w:t>
            </w:r>
          </w:p>
        </w:tc>
      </w:tr>
      <w:tr w:rsidR="009D7BA9" w:rsidRPr="00FD510D" w14:paraId="5F737124" w14:textId="77777777" w:rsidTr="009D7BA9">
        <w:trPr>
          <w:trHeight w:val="252"/>
        </w:trPr>
        <w:tc>
          <w:tcPr>
            <w:tcW w:w="1555" w:type="pct"/>
          </w:tcPr>
          <w:p w14:paraId="5BDD94B5"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Karlovac</w:t>
            </w:r>
          </w:p>
        </w:tc>
        <w:tc>
          <w:tcPr>
            <w:tcW w:w="861" w:type="pct"/>
            <w:vAlign w:val="center"/>
          </w:tcPr>
          <w:p w14:paraId="5E9EC8D5"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12.754,20</w:t>
            </w:r>
          </w:p>
        </w:tc>
        <w:tc>
          <w:tcPr>
            <w:tcW w:w="861" w:type="pct"/>
            <w:vAlign w:val="center"/>
          </w:tcPr>
          <w:p w14:paraId="0C8B6E7F"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14.591,08</w:t>
            </w:r>
          </w:p>
        </w:tc>
        <w:tc>
          <w:tcPr>
            <w:tcW w:w="861" w:type="pct"/>
            <w:vAlign w:val="center"/>
          </w:tcPr>
          <w:p w14:paraId="5C1AACD1"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14.870,26</w:t>
            </w:r>
          </w:p>
        </w:tc>
        <w:tc>
          <w:tcPr>
            <w:tcW w:w="861" w:type="pct"/>
            <w:vAlign w:val="center"/>
          </w:tcPr>
          <w:p w14:paraId="0664ADFD"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12.552,32</w:t>
            </w:r>
          </w:p>
        </w:tc>
      </w:tr>
      <w:tr w:rsidR="009D7BA9" w:rsidRPr="00FD510D" w14:paraId="0F58CD62" w14:textId="77777777" w:rsidTr="009D7BA9">
        <w:trPr>
          <w:trHeight w:val="252"/>
        </w:trPr>
        <w:tc>
          <w:tcPr>
            <w:tcW w:w="1555" w:type="pct"/>
          </w:tcPr>
          <w:p w14:paraId="6AC84EB0"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Duga Resa</w:t>
            </w:r>
          </w:p>
        </w:tc>
        <w:tc>
          <w:tcPr>
            <w:tcW w:w="861" w:type="pct"/>
            <w:vAlign w:val="center"/>
          </w:tcPr>
          <w:p w14:paraId="217FA343"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2.225,52</w:t>
            </w:r>
          </w:p>
        </w:tc>
        <w:tc>
          <w:tcPr>
            <w:tcW w:w="861" w:type="pct"/>
            <w:vAlign w:val="center"/>
          </w:tcPr>
          <w:p w14:paraId="38A6F56A"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2.344,62</w:t>
            </w:r>
          </w:p>
        </w:tc>
        <w:tc>
          <w:tcPr>
            <w:tcW w:w="861" w:type="pct"/>
            <w:vAlign w:val="center"/>
          </w:tcPr>
          <w:p w14:paraId="7821C68F"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2.193,18</w:t>
            </w:r>
          </w:p>
        </w:tc>
        <w:tc>
          <w:tcPr>
            <w:tcW w:w="861" w:type="pct"/>
            <w:vAlign w:val="center"/>
          </w:tcPr>
          <w:p w14:paraId="42CB6119"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2.120,96</w:t>
            </w:r>
          </w:p>
        </w:tc>
      </w:tr>
      <w:tr w:rsidR="009D7BA9" w:rsidRPr="00FD510D" w14:paraId="3DB0FA8E" w14:textId="77777777" w:rsidTr="009D7BA9">
        <w:trPr>
          <w:trHeight w:val="252"/>
        </w:trPr>
        <w:tc>
          <w:tcPr>
            <w:tcW w:w="1555" w:type="pct"/>
          </w:tcPr>
          <w:p w14:paraId="5CCBDF26"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Ozalj</w:t>
            </w:r>
          </w:p>
        </w:tc>
        <w:tc>
          <w:tcPr>
            <w:tcW w:w="861" w:type="pct"/>
            <w:vAlign w:val="center"/>
          </w:tcPr>
          <w:p w14:paraId="143C97A3"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1.231,36</w:t>
            </w:r>
          </w:p>
        </w:tc>
        <w:tc>
          <w:tcPr>
            <w:tcW w:w="861" w:type="pct"/>
            <w:vAlign w:val="center"/>
          </w:tcPr>
          <w:p w14:paraId="73921217"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1.254,83</w:t>
            </w:r>
          </w:p>
        </w:tc>
        <w:tc>
          <w:tcPr>
            <w:tcW w:w="861" w:type="pct"/>
            <w:vAlign w:val="center"/>
          </w:tcPr>
          <w:p w14:paraId="45CD004E"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1.157,23</w:t>
            </w:r>
          </w:p>
        </w:tc>
        <w:tc>
          <w:tcPr>
            <w:tcW w:w="861" w:type="pct"/>
            <w:vAlign w:val="center"/>
          </w:tcPr>
          <w:p w14:paraId="6491853A"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1.147,29</w:t>
            </w:r>
          </w:p>
        </w:tc>
      </w:tr>
      <w:tr w:rsidR="009D7BA9" w:rsidRPr="00FD510D" w14:paraId="74F9D12B" w14:textId="77777777" w:rsidTr="009D7BA9">
        <w:trPr>
          <w:trHeight w:val="252"/>
        </w:trPr>
        <w:tc>
          <w:tcPr>
            <w:tcW w:w="1555" w:type="pct"/>
          </w:tcPr>
          <w:p w14:paraId="4988F66C" w14:textId="77777777" w:rsidR="009D7BA9" w:rsidRPr="00FD510D" w:rsidRDefault="009D7BA9" w:rsidP="009D7BA9">
            <w:pPr>
              <w:jc w:val="left"/>
              <w:rPr>
                <w:rFonts w:eastAsia="Times New Roman" w:cs="Tahoma"/>
                <w:b/>
                <w:color w:val="000000"/>
                <w:sz w:val="18"/>
                <w:szCs w:val="18"/>
              </w:rPr>
            </w:pPr>
            <w:r w:rsidRPr="00FD510D">
              <w:rPr>
                <w:rFonts w:eastAsia="Times New Roman" w:cs="Tahoma"/>
                <w:b/>
                <w:color w:val="000000"/>
                <w:sz w:val="18"/>
                <w:szCs w:val="18"/>
              </w:rPr>
              <w:t>Ukupno</w:t>
            </w:r>
          </w:p>
        </w:tc>
        <w:tc>
          <w:tcPr>
            <w:tcW w:w="861" w:type="pct"/>
            <w:vAlign w:val="center"/>
          </w:tcPr>
          <w:p w14:paraId="26626919" w14:textId="77777777" w:rsidR="009D7BA9" w:rsidRPr="00FD510D" w:rsidRDefault="009D7BA9" w:rsidP="009D7BA9">
            <w:pPr>
              <w:jc w:val="center"/>
              <w:rPr>
                <w:rFonts w:eastAsia="Times New Roman" w:cs="Tahoma"/>
                <w:b/>
                <w:color w:val="000000"/>
                <w:sz w:val="18"/>
                <w:szCs w:val="18"/>
              </w:rPr>
            </w:pPr>
            <w:r w:rsidRPr="00FD510D">
              <w:rPr>
                <w:rFonts w:eastAsia="Times New Roman" w:cs="Tahoma"/>
                <w:b/>
                <w:color w:val="000000"/>
                <w:sz w:val="18"/>
                <w:szCs w:val="18"/>
              </w:rPr>
              <w:t>16.211,08</w:t>
            </w:r>
          </w:p>
        </w:tc>
        <w:tc>
          <w:tcPr>
            <w:tcW w:w="861" w:type="pct"/>
            <w:vAlign w:val="center"/>
          </w:tcPr>
          <w:p w14:paraId="2866B216" w14:textId="77777777" w:rsidR="009D7BA9" w:rsidRPr="00FD510D" w:rsidRDefault="009D7BA9" w:rsidP="009D7BA9">
            <w:pPr>
              <w:jc w:val="center"/>
              <w:rPr>
                <w:rFonts w:eastAsia="Times New Roman" w:cs="Tahoma"/>
                <w:b/>
                <w:color w:val="000000"/>
                <w:sz w:val="18"/>
                <w:szCs w:val="18"/>
              </w:rPr>
            </w:pPr>
            <w:r w:rsidRPr="00FD510D">
              <w:rPr>
                <w:rFonts w:eastAsia="Times New Roman" w:cs="Tahoma"/>
                <w:b/>
                <w:color w:val="000000"/>
                <w:sz w:val="18"/>
                <w:szCs w:val="18"/>
              </w:rPr>
              <w:t>18.190,53</w:t>
            </w:r>
          </w:p>
        </w:tc>
        <w:tc>
          <w:tcPr>
            <w:tcW w:w="861" w:type="pct"/>
            <w:vAlign w:val="center"/>
          </w:tcPr>
          <w:p w14:paraId="06CAACD8" w14:textId="77777777" w:rsidR="009D7BA9" w:rsidRPr="00FD510D" w:rsidRDefault="009D7BA9" w:rsidP="009D7BA9">
            <w:pPr>
              <w:jc w:val="center"/>
              <w:rPr>
                <w:rFonts w:eastAsia="Times New Roman" w:cs="Tahoma"/>
                <w:b/>
                <w:color w:val="000000"/>
                <w:sz w:val="18"/>
                <w:szCs w:val="18"/>
              </w:rPr>
            </w:pPr>
            <w:r w:rsidRPr="00FD510D">
              <w:rPr>
                <w:rFonts w:eastAsia="Times New Roman" w:cs="Tahoma"/>
                <w:b/>
                <w:color w:val="000000"/>
                <w:sz w:val="18"/>
                <w:szCs w:val="18"/>
              </w:rPr>
              <w:t>18.220,67</w:t>
            </w:r>
          </w:p>
        </w:tc>
        <w:tc>
          <w:tcPr>
            <w:tcW w:w="861" w:type="pct"/>
            <w:vAlign w:val="center"/>
          </w:tcPr>
          <w:p w14:paraId="28558C73" w14:textId="77777777" w:rsidR="009D7BA9" w:rsidRPr="00FD510D" w:rsidRDefault="009D7BA9" w:rsidP="009D7BA9">
            <w:pPr>
              <w:jc w:val="center"/>
              <w:rPr>
                <w:rFonts w:eastAsia="Times New Roman" w:cs="Tahoma"/>
                <w:b/>
                <w:color w:val="000000"/>
                <w:sz w:val="18"/>
                <w:szCs w:val="18"/>
              </w:rPr>
            </w:pPr>
            <w:r w:rsidRPr="00FD510D">
              <w:rPr>
                <w:rFonts w:eastAsia="Times New Roman" w:cs="Tahoma"/>
                <w:b/>
                <w:color w:val="000000"/>
                <w:sz w:val="18"/>
                <w:szCs w:val="18"/>
              </w:rPr>
              <w:t>15.820,57</w:t>
            </w:r>
          </w:p>
        </w:tc>
      </w:tr>
    </w:tbl>
    <w:p w14:paraId="3B9345CE" w14:textId="3F709CE1" w:rsidR="009D7BA9" w:rsidRPr="00251E45" w:rsidRDefault="009D7BA9" w:rsidP="00251E45">
      <w:pPr>
        <w:jc w:val="left"/>
        <w:rPr>
          <w:rFonts w:cs="Tahoma"/>
          <w:color w:val="39617A"/>
          <w:sz w:val="18"/>
          <w:szCs w:val="18"/>
        </w:rPr>
      </w:pPr>
      <w:r w:rsidRPr="00FD510D">
        <w:rPr>
          <w:rFonts w:cs="Tahoma"/>
          <w:color w:val="39617A"/>
          <w:sz w:val="18"/>
          <w:szCs w:val="18"/>
        </w:rPr>
        <w:t>Izvor: Čistoća d.o.o. Karlovac, Čistoća d.o.o. Duga Resa, ROO</w:t>
      </w:r>
    </w:p>
    <w:p w14:paraId="7429D529" w14:textId="1D3F345E" w:rsidR="009D7BA9" w:rsidRPr="00251E45" w:rsidRDefault="009D7BA9" w:rsidP="009D7BA9">
      <w:r w:rsidRPr="00251E45">
        <w:t xml:space="preserve">U kategoriji odvojenog prikupljanja otpada u 2016. </w:t>
      </w:r>
      <w:r w:rsidR="00023FD8" w:rsidRPr="00251E45">
        <w:t>G</w:t>
      </w:r>
      <w:r w:rsidRPr="00251E45">
        <w:t>odini</w:t>
      </w:r>
      <w:r w:rsidR="00023FD8">
        <w:t>,</w:t>
      </w:r>
      <w:r w:rsidRPr="00251E45">
        <w:t xml:space="preserve"> najviše je bilo prikupljeno papira i kartona, te plastike i stakla, a količine odvojeno prikupljenog otpada koji je prijavljen u odnosu na 2015. godinu uglavnom su povećane</w:t>
      </w:r>
      <w:r w:rsidR="00023FD8">
        <w:t>,</w:t>
      </w:r>
      <w:r w:rsidRPr="00251E45">
        <w:t xml:space="preserve"> pr</w:t>
      </w:r>
      <w:r w:rsidR="00192EA4">
        <w:t>i</w:t>
      </w:r>
      <w:r w:rsidRPr="00251E45">
        <w:t>je svega zbog povećane edukacije građana o odvojenom prikupljanju otpada koja se provodi u svim gradovima urbanog područja. Ovo potvrđuje i činjenica kako je odnos posebno izdvojenog otpada i ukupno proizvedenog/prikupljenog miješanog komunalnog otpada na analiziranom području u 2016. godini iznosio 6,7%</w:t>
      </w:r>
      <w:r w:rsidR="00023FD8">
        <w:t>,</w:t>
      </w:r>
      <w:r w:rsidRPr="00251E45">
        <w:t xml:space="preserve"> što je više u odnosu na prethodnu 2015. godinu kada je ovaj omjer bio manji te je iznosio 5,4%. </w:t>
      </w:r>
    </w:p>
    <w:p w14:paraId="03E38893" w14:textId="77777777" w:rsidR="009D7BA9" w:rsidRPr="00FD510D" w:rsidRDefault="009D7BA9" w:rsidP="009D7BA9">
      <w:pPr>
        <w:pStyle w:val="Caption"/>
      </w:pPr>
      <w:bookmarkStart w:id="74" w:name="_Toc420581476"/>
      <w:bookmarkStart w:id="75" w:name="_Toc437387505"/>
      <w:r w:rsidRPr="00FD510D">
        <w:t xml:space="preserve">Tablica </w:t>
      </w:r>
      <w:r>
        <w:fldChar w:fldCharType="begin"/>
      </w:r>
      <w:r>
        <w:instrText xml:space="preserve"> SEQ Tablica \* ARABIC </w:instrText>
      </w:r>
      <w:r>
        <w:fldChar w:fldCharType="separate"/>
      </w:r>
      <w:r w:rsidR="001358A9">
        <w:rPr>
          <w:noProof/>
        </w:rPr>
        <w:t>32</w:t>
      </w:r>
      <w:r>
        <w:rPr>
          <w:noProof/>
        </w:rPr>
        <w:fldChar w:fldCharType="end"/>
      </w:r>
      <w:r w:rsidRPr="00FD510D">
        <w:t>. Količine odvojeno prikupljenog otpada na urbanom području 2013. – 2016. godina (u t)</w:t>
      </w:r>
      <w:bookmarkEnd w:id="74"/>
      <w:bookmarkEnd w:id="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7"/>
        <w:gridCol w:w="1610"/>
        <w:gridCol w:w="1609"/>
        <w:gridCol w:w="1609"/>
        <w:gridCol w:w="1609"/>
      </w:tblGrid>
      <w:tr w:rsidR="009D7BA9" w:rsidRPr="00FD510D" w14:paraId="5EA935C8" w14:textId="77777777" w:rsidTr="009D7BA9">
        <w:trPr>
          <w:trHeight w:val="217"/>
          <w:tblHeader/>
        </w:trPr>
        <w:tc>
          <w:tcPr>
            <w:tcW w:w="1555" w:type="pct"/>
            <w:shd w:val="clear" w:color="auto" w:fill="39617A"/>
            <w:vAlign w:val="center"/>
          </w:tcPr>
          <w:p w14:paraId="4AFB1A7C"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Teritorijalna jedinica</w:t>
            </w:r>
          </w:p>
        </w:tc>
        <w:tc>
          <w:tcPr>
            <w:tcW w:w="861" w:type="pct"/>
            <w:shd w:val="clear" w:color="auto" w:fill="39617A"/>
            <w:vAlign w:val="center"/>
          </w:tcPr>
          <w:p w14:paraId="1E33F1E6"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2013.</w:t>
            </w:r>
          </w:p>
        </w:tc>
        <w:tc>
          <w:tcPr>
            <w:tcW w:w="861" w:type="pct"/>
            <w:shd w:val="clear" w:color="auto" w:fill="39617A"/>
            <w:vAlign w:val="center"/>
          </w:tcPr>
          <w:p w14:paraId="49D3B8C8"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2014.</w:t>
            </w:r>
          </w:p>
        </w:tc>
        <w:tc>
          <w:tcPr>
            <w:tcW w:w="861" w:type="pct"/>
            <w:shd w:val="clear" w:color="auto" w:fill="39617A"/>
            <w:vAlign w:val="center"/>
          </w:tcPr>
          <w:p w14:paraId="5A649B49"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2015.</w:t>
            </w:r>
          </w:p>
        </w:tc>
        <w:tc>
          <w:tcPr>
            <w:tcW w:w="861" w:type="pct"/>
            <w:shd w:val="clear" w:color="auto" w:fill="39617A"/>
            <w:vAlign w:val="center"/>
          </w:tcPr>
          <w:p w14:paraId="60A6160F" w14:textId="77777777" w:rsidR="009D7BA9" w:rsidRPr="00FD510D" w:rsidRDefault="009D7BA9" w:rsidP="009D7BA9">
            <w:pPr>
              <w:jc w:val="center"/>
              <w:rPr>
                <w:rFonts w:cs="Tahoma"/>
                <w:bCs/>
                <w:color w:val="FFFFFF" w:themeColor="background1"/>
                <w:sz w:val="18"/>
                <w:szCs w:val="18"/>
              </w:rPr>
            </w:pPr>
            <w:r w:rsidRPr="00FD510D">
              <w:rPr>
                <w:rFonts w:cs="Tahoma"/>
                <w:bCs/>
                <w:color w:val="FFFFFF" w:themeColor="background1"/>
                <w:sz w:val="18"/>
                <w:szCs w:val="18"/>
              </w:rPr>
              <w:t>2016.</w:t>
            </w:r>
          </w:p>
        </w:tc>
      </w:tr>
      <w:tr w:rsidR="009D7BA9" w:rsidRPr="00FD510D" w14:paraId="0CB1ED6A" w14:textId="77777777" w:rsidTr="009D7BA9">
        <w:trPr>
          <w:trHeight w:val="252"/>
        </w:trPr>
        <w:tc>
          <w:tcPr>
            <w:tcW w:w="1555" w:type="pct"/>
          </w:tcPr>
          <w:p w14:paraId="1C812EEC"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Karlovac</w:t>
            </w:r>
          </w:p>
        </w:tc>
        <w:tc>
          <w:tcPr>
            <w:tcW w:w="861" w:type="pct"/>
            <w:vAlign w:val="center"/>
          </w:tcPr>
          <w:p w14:paraId="22F1D17A"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1.207,05</w:t>
            </w:r>
          </w:p>
        </w:tc>
        <w:tc>
          <w:tcPr>
            <w:tcW w:w="861" w:type="pct"/>
            <w:vAlign w:val="center"/>
          </w:tcPr>
          <w:p w14:paraId="31FE0293"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1.092,73</w:t>
            </w:r>
          </w:p>
        </w:tc>
        <w:tc>
          <w:tcPr>
            <w:tcW w:w="861" w:type="pct"/>
            <w:vAlign w:val="center"/>
          </w:tcPr>
          <w:p w14:paraId="78B57F4A"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825,70</w:t>
            </w:r>
          </w:p>
        </w:tc>
        <w:tc>
          <w:tcPr>
            <w:tcW w:w="861" w:type="pct"/>
            <w:vAlign w:val="center"/>
          </w:tcPr>
          <w:p w14:paraId="65E13B6F"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913,02</w:t>
            </w:r>
          </w:p>
        </w:tc>
      </w:tr>
      <w:tr w:rsidR="009D7BA9" w:rsidRPr="00FD510D" w14:paraId="0985A3FC" w14:textId="77777777" w:rsidTr="009D7BA9">
        <w:trPr>
          <w:trHeight w:val="252"/>
        </w:trPr>
        <w:tc>
          <w:tcPr>
            <w:tcW w:w="1555" w:type="pct"/>
          </w:tcPr>
          <w:p w14:paraId="20EDB80D"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Duga Resa</w:t>
            </w:r>
          </w:p>
        </w:tc>
        <w:tc>
          <w:tcPr>
            <w:tcW w:w="861" w:type="pct"/>
            <w:vAlign w:val="center"/>
          </w:tcPr>
          <w:p w14:paraId="5ABA9B92"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68,40</w:t>
            </w:r>
          </w:p>
        </w:tc>
        <w:tc>
          <w:tcPr>
            <w:tcW w:w="861" w:type="pct"/>
            <w:vAlign w:val="center"/>
          </w:tcPr>
          <w:p w14:paraId="43EF0981"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132,77</w:t>
            </w:r>
          </w:p>
        </w:tc>
        <w:tc>
          <w:tcPr>
            <w:tcW w:w="861" w:type="pct"/>
            <w:vAlign w:val="center"/>
          </w:tcPr>
          <w:p w14:paraId="444C6F0F"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149,50</w:t>
            </w:r>
          </w:p>
        </w:tc>
        <w:tc>
          <w:tcPr>
            <w:tcW w:w="861" w:type="pct"/>
            <w:vAlign w:val="center"/>
          </w:tcPr>
          <w:p w14:paraId="434D5A15"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141,43</w:t>
            </w:r>
          </w:p>
        </w:tc>
      </w:tr>
      <w:tr w:rsidR="009D7BA9" w:rsidRPr="00FD510D" w14:paraId="02D3C12B" w14:textId="77777777" w:rsidTr="009D7BA9">
        <w:trPr>
          <w:trHeight w:val="252"/>
        </w:trPr>
        <w:tc>
          <w:tcPr>
            <w:tcW w:w="1555" w:type="pct"/>
          </w:tcPr>
          <w:p w14:paraId="66F0B18B" w14:textId="77777777" w:rsidR="009D7BA9" w:rsidRPr="00FD510D" w:rsidRDefault="009D7BA9" w:rsidP="009D7BA9">
            <w:pPr>
              <w:jc w:val="left"/>
              <w:rPr>
                <w:rFonts w:eastAsia="Times New Roman" w:cs="Tahoma"/>
                <w:color w:val="000000"/>
                <w:sz w:val="18"/>
                <w:szCs w:val="18"/>
              </w:rPr>
            </w:pPr>
            <w:r w:rsidRPr="00FD510D">
              <w:rPr>
                <w:rFonts w:eastAsia="Times New Roman" w:cs="Tahoma"/>
                <w:color w:val="000000"/>
                <w:sz w:val="18"/>
                <w:szCs w:val="18"/>
              </w:rPr>
              <w:t>Ozalj</w:t>
            </w:r>
          </w:p>
        </w:tc>
        <w:tc>
          <w:tcPr>
            <w:tcW w:w="861" w:type="pct"/>
            <w:vAlign w:val="center"/>
          </w:tcPr>
          <w:p w14:paraId="3AD807C6"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12,56</w:t>
            </w:r>
          </w:p>
        </w:tc>
        <w:tc>
          <w:tcPr>
            <w:tcW w:w="861" w:type="pct"/>
            <w:vAlign w:val="center"/>
          </w:tcPr>
          <w:p w14:paraId="0CAF0E73"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10,92</w:t>
            </w:r>
          </w:p>
        </w:tc>
        <w:tc>
          <w:tcPr>
            <w:tcW w:w="861" w:type="pct"/>
            <w:vAlign w:val="center"/>
          </w:tcPr>
          <w:p w14:paraId="32CA0B40"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5,82</w:t>
            </w:r>
          </w:p>
        </w:tc>
        <w:tc>
          <w:tcPr>
            <w:tcW w:w="861" w:type="pct"/>
            <w:vAlign w:val="center"/>
          </w:tcPr>
          <w:p w14:paraId="0C1E55F1" w14:textId="77777777" w:rsidR="009D7BA9" w:rsidRPr="00FD510D" w:rsidRDefault="009D7BA9" w:rsidP="009D7BA9">
            <w:pPr>
              <w:jc w:val="center"/>
              <w:rPr>
                <w:rFonts w:eastAsia="Times New Roman" w:cs="Tahoma"/>
                <w:color w:val="000000"/>
                <w:sz w:val="18"/>
                <w:szCs w:val="18"/>
              </w:rPr>
            </w:pPr>
            <w:r w:rsidRPr="00FD510D">
              <w:rPr>
                <w:rFonts w:eastAsia="Times New Roman" w:cs="Tahoma"/>
                <w:color w:val="000000"/>
                <w:sz w:val="18"/>
                <w:szCs w:val="18"/>
              </w:rPr>
              <w:t>9,02</w:t>
            </w:r>
          </w:p>
        </w:tc>
      </w:tr>
      <w:tr w:rsidR="009D7BA9" w:rsidRPr="00FD510D" w14:paraId="17ABE862" w14:textId="77777777" w:rsidTr="009D7BA9">
        <w:trPr>
          <w:trHeight w:val="252"/>
        </w:trPr>
        <w:tc>
          <w:tcPr>
            <w:tcW w:w="1555" w:type="pct"/>
          </w:tcPr>
          <w:p w14:paraId="10A62E18" w14:textId="77777777" w:rsidR="009D7BA9" w:rsidRPr="00FD510D" w:rsidRDefault="009D7BA9" w:rsidP="009D7BA9">
            <w:pPr>
              <w:jc w:val="left"/>
              <w:rPr>
                <w:rFonts w:eastAsia="Times New Roman" w:cs="Tahoma"/>
                <w:b/>
                <w:color w:val="000000"/>
                <w:sz w:val="18"/>
                <w:szCs w:val="18"/>
              </w:rPr>
            </w:pPr>
            <w:r w:rsidRPr="00FD510D">
              <w:rPr>
                <w:rFonts w:eastAsia="Times New Roman" w:cs="Tahoma"/>
                <w:b/>
                <w:color w:val="000000"/>
                <w:sz w:val="18"/>
                <w:szCs w:val="18"/>
              </w:rPr>
              <w:t>Ukupno</w:t>
            </w:r>
          </w:p>
        </w:tc>
        <w:tc>
          <w:tcPr>
            <w:tcW w:w="861" w:type="pct"/>
            <w:vAlign w:val="center"/>
          </w:tcPr>
          <w:p w14:paraId="52430D49" w14:textId="77777777" w:rsidR="009D7BA9" w:rsidRPr="00FD510D" w:rsidRDefault="009D7BA9" w:rsidP="009D7BA9">
            <w:pPr>
              <w:jc w:val="center"/>
              <w:rPr>
                <w:rFonts w:eastAsia="Times New Roman" w:cs="Tahoma"/>
                <w:b/>
                <w:color w:val="000000"/>
                <w:sz w:val="18"/>
                <w:szCs w:val="18"/>
              </w:rPr>
            </w:pPr>
            <w:r w:rsidRPr="00FD510D">
              <w:rPr>
                <w:rFonts w:eastAsia="Times New Roman" w:cs="Tahoma"/>
                <w:b/>
                <w:color w:val="000000"/>
                <w:sz w:val="18"/>
                <w:szCs w:val="18"/>
              </w:rPr>
              <w:t>1.288,01</w:t>
            </w:r>
          </w:p>
        </w:tc>
        <w:tc>
          <w:tcPr>
            <w:tcW w:w="861" w:type="pct"/>
            <w:vAlign w:val="center"/>
          </w:tcPr>
          <w:p w14:paraId="71618DB2" w14:textId="77777777" w:rsidR="009D7BA9" w:rsidRPr="00FD510D" w:rsidRDefault="009D7BA9" w:rsidP="009D7BA9">
            <w:pPr>
              <w:jc w:val="center"/>
              <w:rPr>
                <w:rFonts w:eastAsia="Times New Roman" w:cs="Tahoma"/>
                <w:b/>
                <w:color w:val="000000"/>
                <w:sz w:val="18"/>
                <w:szCs w:val="18"/>
              </w:rPr>
            </w:pPr>
            <w:r w:rsidRPr="00FD510D">
              <w:rPr>
                <w:rFonts w:eastAsia="Times New Roman" w:cs="Tahoma"/>
                <w:b/>
                <w:color w:val="000000"/>
                <w:sz w:val="18"/>
                <w:szCs w:val="18"/>
              </w:rPr>
              <w:t>1.236,42</w:t>
            </w:r>
          </w:p>
        </w:tc>
        <w:tc>
          <w:tcPr>
            <w:tcW w:w="861" w:type="pct"/>
            <w:vAlign w:val="center"/>
          </w:tcPr>
          <w:p w14:paraId="4685E03F" w14:textId="77777777" w:rsidR="009D7BA9" w:rsidRPr="00FD510D" w:rsidRDefault="009D7BA9" w:rsidP="009D7BA9">
            <w:pPr>
              <w:jc w:val="center"/>
              <w:rPr>
                <w:rFonts w:eastAsia="Times New Roman" w:cs="Tahoma"/>
                <w:b/>
                <w:color w:val="000000"/>
                <w:sz w:val="18"/>
                <w:szCs w:val="18"/>
              </w:rPr>
            </w:pPr>
            <w:r w:rsidRPr="00FD510D">
              <w:rPr>
                <w:rFonts w:eastAsia="Times New Roman" w:cs="Tahoma"/>
                <w:b/>
                <w:color w:val="000000"/>
                <w:sz w:val="18"/>
                <w:szCs w:val="18"/>
              </w:rPr>
              <w:t>981,02</w:t>
            </w:r>
          </w:p>
        </w:tc>
        <w:tc>
          <w:tcPr>
            <w:tcW w:w="861" w:type="pct"/>
            <w:vAlign w:val="center"/>
          </w:tcPr>
          <w:p w14:paraId="18F8B106" w14:textId="77777777" w:rsidR="009D7BA9" w:rsidRPr="00FD510D" w:rsidRDefault="009D7BA9" w:rsidP="009D7BA9">
            <w:pPr>
              <w:jc w:val="center"/>
              <w:rPr>
                <w:rFonts w:eastAsia="Times New Roman" w:cs="Tahoma"/>
                <w:b/>
                <w:color w:val="000000"/>
                <w:sz w:val="18"/>
                <w:szCs w:val="18"/>
              </w:rPr>
            </w:pPr>
            <w:r w:rsidRPr="00FD510D">
              <w:rPr>
                <w:rFonts w:eastAsia="Times New Roman" w:cs="Tahoma"/>
                <w:b/>
                <w:color w:val="000000"/>
                <w:sz w:val="18"/>
                <w:szCs w:val="18"/>
              </w:rPr>
              <w:t>1.063,47</w:t>
            </w:r>
          </w:p>
        </w:tc>
      </w:tr>
    </w:tbl>
    <w:p w14:paraId="38FEA9BB" w14:textId="77777777" w:rsidR="009D7BA9" w:rsidRPr="00FD510D" w:rsidRDefault="009D7BA9" w:rsidP="009D7BA9">
      <w:pPr>
        <w:jc w:val="left"/>
        <w:rPr>
          <w:rFonts w:cs="Tahoma"/>
          <w:color w:val="39617A"/>
          <w:sz w:val="18"/>
          <w:szCs w:val="18"/>
        </w:rPr>
      </w:pPr>
      <w:r w:rsidRPr="00FD510D">
        <w:rPr>
          <w:rFonts w:cs="Tahoma"/>
          <w:color w:val="39617A"/>
          <w:sz w:val="18"/>
          <w:szCs w:val="18"/>
        </w:rPr>
        <w:t>Izvor: Čistoća d.o.o. Karlovac, Čistoća d.o.o. Duga Resa, ROO</w:t>
      </w:r>
    </w:p>
    <w:p w14:paraId="610F318B" w14:textId="5E45D06B" w:rsidR="009D7BA9" w:rsidRPr="00251E45" w:rsidRDefault="009D7BA9" w:rsidP="00251E45">
      <w:r w:rsidRPr="00251E45">
        <w:t xml:space="preserve">Iako na urbanom području više </w:t>
      </w:r>
      <w:r w:rsidRPr="00251E45">
        <w:rPr>
          <w:b/>
        </w:rPr>
        <w:t>nema neusklađenih odlagališta otpada</w:t>
      </w:r>
      <w:r w:rsidRPr="00251E45">
        <w:t>, ipak se povremeno stvaraju divlja odlagališta na kojima nadležne službe redovno provode čišćenja</w:t>
      </w:r>
      <w:r w:rsidR="00023FD8">
        <w:t>,</w:t>
      </w:r>
      <w:r w:rsidRPr="00251E45">
        <w:t xml:space="preserve"> što potvrđuju i izvješća o provedbi planova gospodarenja otpadom za svaku jedinicu lokalne samouprave u sastavu </w:t>
      </w:r>
      <w:r w:rsidRPr="00251E45">
        <w:lastRenderedPageBreak/>
        <w:t xml:space="preserve">predmetnog područja. Na području Grada Karlovca krajem 2016. godine saniran je divlji deponij Lemić Brdo pri čemu je uklonjeno ukupno 526 tona miješanog komunalnog otpada, 235 tone crne mase visoke viskoznosti, 3.107 tona onečišćenog tla, 544 kg kiselina te 60 kg otpadnih boja i lakova. Riječ je o površini od 16.000 m2 na kojoj je otpad odlagan u razdoblju od 1975. do 1986. godine. Na području </w:t>
      </w:r>
      <w:r w:rsidR="00516E7A">
        <w:t>sva tri grada</w:t>
      </w:r>
      <w:r w:rsidRPr="00251E45">
        <w:t xml:space="preserve"> većina divljih odlagališta je sanirana, a na području Grada Karlovca i Ozlja uspostavljen je i sustav zaprimanja dojave o istima elektroničkim putem.  </w:t>
      </w:r>
    </w:p>
    <w:p w14:paraId="1EEC8F58" w14:textId="77777777" w:rsidR="009D7BA9" w:rsidRPr="00251E45" w:rsidRDefault="009D7BA9" w:rsidP="00251E45"/>
    <w:p w14:paraId="7443E162" w14:textId="77777777" w:rsidR="009D7BA9" w:rsidRPr="00251E45" w:rsidRDefault="009D7BA9" w:rsidP="00251E45">
      <w:pPr>
        <w:pStyle w:val="Heading4"/>
      </w:pPr>
      <w:r w:rsidRPr="00251E45">
        <w:t>Mapiranje izloženosti prirodnim rizicima i klimatskim opasnostima</w:t>
      </w:r>
    </w:p>
    <w:p w14:paraId="51A07A6B" w14:textId="0F2E0B3E" w:rsidR="009D7BA9" w:rsidRPr="00E17A27" w:rsidRDefault="009D7BA9" w:rsidP="00E17A27">
      <w:r w:rsidRPr="00251E45">
        <w:t xml:space="preserve">Urbano područje izloženo je prirodnim </w:t>
      </w:r>
      <w:r w:rsidR="00251E45">
        <w:t>nepogodama</w:t>
      </w:r>
      <w:r w:rsidRPr="00251E45">
        <w:t xml:space="preserve">, a osobito je pogođeno karlovačko područje na kojem, prilikom velikih oborina, dolazi do brzog porasta vodostaja na slivu Kupe, odnosno na rijekama Kupi, Dobri, Mrežnici i Korani, uslijed čega je cijelo područje izloženo značajnim rizicima od poplava. Riječ je o rijekama koje su u pravilu u svojim gornjim tokovima bujičnog karaktera te dolazi do naglog slijevanja u navedeno područje. Najugroženiji su Grad Karlovac te naselja i nizvodno uz rijeku Kupu. Iako se u samom Gradu nalaze objekti za zaštitu od štetnog djelovanja voda, </w:t>
      </w:r>
      <w:r w:rsidRPr="00E17A27">
        <w:rPr>
          <w:b/>
        </w:rPr>
        <w:t>šire gradsko područje nema riješenu obranu od poplava, a zaštićen je samo uži dio centra grada</w:t>
      </w:r>
      <w:r w:rsidRPr="00251E45">
        <w:t>. S obzirom na značajnu ugroženo</w:t>
      </w:r>
      <w:r w:rsidR="00E17A27">
        <w:t xml:space="preserve">st ovog područja, upravo u vrijeme pisanja ovog dokumenta </w:t>
      </w:r>
      <w:r w:rsidRPr="00251E45">
        <w:t xml:space="preserve">započela </w:t>
      </w:r>
      <w:r w:rsidR="00023FD8">
        <w:t xml:space="preserve">je </w:t>
      </w:r>
      <w:r w:rsidRPr="00251E45">
        <w:t xml:space="preserve">implementacija sustava zaštite od štetnog djelovanja voda koji će integrirano obuhvatiti ugrožene dijelove na karlovačko-sisačkom području, a isti predviđa sljedeće ključne elemente kojima će ostvariti rasterećenje viška protoka Kupe uzvodno od Karlovca: brana Brodarci, preljevni objekt na kanalu Kupa-Kupa, nasipi uz Kupu i Dobru te Koranu i Mrežnicu, izgradnja retencije Kupčina te izgradnja </w:t>
      </w:r>
      <w:r w:rsidR="00023FD8">
        <w:t>s</w:t>
      </w:r>
      <w:r w:rsidRPr="00251E45">
        <w:t>ustava Šišljavić i Kupčina.</w:t>
      </w:r>
    </w:p>
    <w:p w14:paraId="55FBF383" w14:textId="650B9F24" w:rsidR="009D7BA9" w:rsidRPr="00E17A27" w:rsidRDefault="009D7BA9" w:rsidP="00E17A27">
      <w:r w:rsidRPr="00E17A27">
        <w:t>Od ostalih prirodnih rizika, urbano je područje izloženo rizicima od pojave suša, olujnog i orkanskog nevremena, snježnih oborina i poledice. Osim navedenih prirodnih katastrofa, na urbanom području post</w:t>
      </w:r>
      <w:r w:rsidR="00023FD8">
        <w:t>oji mogućnost nastanka tehničko-</w:t>
      </w:r>
      <w:r w:rsidRPr="00E17A27">
        <w:t>tehnoloških nesreća koje potencijalno mogu rezultirati posljedicama većih razmjera, a odnose se prvenstveno na nesreće u gospodarskim objektima, nesreće u prometu i</w:t>
      </w:r>
      <w:r w:rsidR="00023FD8">
        <w:t xml:space="preserve"> slučajeve nepravilnog odlaganja</w:t>
      </w:r>
      <w:r w:rsidRPr="00E17A27">
        <w:t xml:space="preserve"> otpada, a upravo ovi posljednji i predstavljaju najčešće akcidente. </w:t>
      </w:r>
    </w:p>
    <w:p w14:paraId="3DB9C6C6" w14:textId="003BB32B" w:rsidR="009D7BA9" w:rsidRPr="00E17A27" w:rsidRDefault="009D7BA9" w:rsidP="00E17A27">
      <w:r w:rsidRPr="00E17A27">
        <w:rPr>
          <w:b/>
        </w:rPr>
        <w:t>Snage za zaštitu i spašavanje na urbanom području</w:t>
      </w:r>
      <w:r w:rsidRPr="00E17A27">
        <w:t xml:space="preserve"> obuhvaćaju sljedeće institucije: vatrogasne snage, trgovačka društva, ustanove i institucije čija je redovita djelatnost zaštita i spašavanje ljudi i imovine, tijela državne uprave, jedinice područne i lokalne samouprave, civilnu zaštitu, humanitarne organizacije i udruge, kao i samo građanstvo. Osim navedenih subjekata</w:t>
      </w:r>
      <w:r w:rsidR="00023FD8">
        <w:t>,</w:t>
      </w:r>
      <w:r w:rsidRPr="00E17A27">
        <w:t xml:space="preserve"> Oružane snage Republike Hrvatske mogu biti snaga koja se kroz jedinstven sustav zaštite i spašavanja uključuje poglavito u prirodnim i tehničko-tehnološkim nesrećama katastrofalnih razmjera. Također</w:t>
      </w:r>
      <w:r w:rsidR="00023FD8">
        <w:t>,</w:t>
      </w:r>
      <w:r w:rsidRPr="00E17A27">
        <w:t xml:space="preserve"> za čitavo područje Županije izrađen je i dokument </w:t>
      </w:r>
      <w:r w:rsidRPr="00E17A27">
        <w:rPr>
          <w:i/>
        </w:rPr>
        <w:t xml:space="preserve">Procjena ugroženosti stanovnika, materijalnih i kulturnih dobara te okoliša od katastrofa i velikih nesreća u Karlovačkoj županiji </w:t>
      </w:r>
      <w:r w:rsidRPr="00E17A27">
        <w:t xml:space="preserve">(2012./2014.), a slične dokumente imaju izrađene i jedinice lokalne samouprave koje se nalaze u sastavu </w:t>
      </w:r>
      <w:r w:rsidR="00023FD8">
        <w:t xml:space="preserve">Većeg </w:t>
      </w:r>
      <w:r w:rsidRPr="00E17A27">
        <w:t>urbanog područja</w:t>
      </w:r>
      <w:r w:rsidR="00023FD8">
        <w:t xml:space="preserve"> Karlovac</w:t>
      </w:r>
      <w:r w:rsidRPr="00E17A27">
        <w:t>.</w:t>
      </w:r>
    </w:p>
    <w:p w14:paraId="3463E06F" w14:textId="77777777" w:rsidR="009D7BA9" w:rsidRPr="009D7BA9" w:rsidRDefault="009D7BA9" w:rsidP="009D7BA9"/>
    <w:p w14:paraId="045CD57C" w14:textId="3913E0C2" w:rsidR="0037664C" w:rsidRDefault="0037664C" w:rsidP="0037664C">
      <w:pPr>
        <w:pStyle w:val="Heading3"/>
      </w:pPr>
      <w:bookmarkStart w:id="76" w:name="_Toc437390589"/>
      <w:r>
        <w:t>Primarna infrastruktura</w:t>
      </w:r>
      <w:bookmarkEnd w:id="76"/>
    </w:p>
    <w:p w14:paraId="6248E340" w14:textId="77777777" w:rsidR="00E17A27" w:rsidRPr="0056670C" w:rsidRDefault="00E17A27" w:rsidP="0056670C">
      <w:pPr>
        <w:pStyle w:val="Heading4"/>
      </w:pPr>
      <w:r w:rsidRPr="0056670C">
        <w:t>Vodoopskrba i odvodnja</w:t>
      </w:r>
    </w:p>
    <w:p w14:paraId="24352DD3" w14:textId="6F145012" w:rsidR="00E17A27" w:rsidRPr="0056670C" w:rsidRDefault="00E17A27" w:rsidP="0056670C">
      <w:r w:rsidRPr="0056670C">
        <w:t xml:space="preserve">Na urbanom je području </w:t>
      </w:r>
      <w:r w:rsidRPr="0056670C">
        <w:rPr>
          <w:b/>
        </w:rPr>
        <w:t>opskrbljenost stanovništva pitkom vodom vrlo visoka</w:t>
      </w:r>
      <w:r w:rsidR="0056670C">
        <w:t>,</w:t>
      </w:r>
      <w:r w:rsidRPr="0056670C">
        <w:t xml:space="preserve"> ali ipak postoje razlike</w:t>
      </w:r>
      <w:r w:rsidR="0056670C">
        <w:t xml:space="preserve">, odnosno dijelovi manjih perifernih naselja koja </w:t>
      </w:r>
      <w:r w:rsidRPr="0056670C">
        <w:t>još uvijek nemaju riješenu vodoopskrbu. Primjerice u užem dijelu Karlovca ostvarena je 100%-na opskrbljenost vodom</w:t>
      </w:r>
      <w:r w:rsidR="00023FD8">
        <w:t>,</w:t>
      </w:r>
      <w:r w:rsidRPr="0056670C">
        <w:t xml:space="preserve"> dok se na rubnim područjima Grada ona kreć</w:t>
      </w:r>
      <w:r w:rsidR="00023FD8">
        <w:t>e od 80% – 90%. Na području Duge</w:t>
      </w:r>
      <w:r w:rsidRPr="0056670C">
        <w:t xml:space="preserve"> Rese uspostavljen je kombinirani vodoopskrbni sustav s otvorenom vodoopskrbom, a pokrivenost vodoopskrbom je 100%-na. Opskrbljenost na ozaljskom području je visoka te iznosi 97% (također s iznimkom za neka manja naselja). Potrošnja pitke vode na urbanom području iznosi oko 100 litara dnevno po stanovniku što je u prosjeku manje od potrošnje na županijskoj razini (cca 134 l/st/dan). Duljina javne vodoopskrbne </w:t>
      </w:r>
      <w:r w:rsidRPr="0056670C">
        <w:lastRenderedPageBreak/>
        <w:t>mreže na urbanom području iznosi 1.542 km, od čega gotovo 80% čine sustav</w:t>
      </w:r>
      <w:r w:rsidR="00023FD8">
        <w:t>i na karlovačkom i području Duge</w:t>
      </w:r>
      <w:r w:rsidRPr="0056670C">
        <w:t xml:space="preserve"> Rese.</w:t>
      </w:r>
    </w:p>
    <w:p w14:paraId="69836C4B" w14:textId="29183E13" w:rsidR="00E17A27" w:rsidRPr="0056670C" w:rsidRDefault="0056670C" w:rsidP="0056670C">
      <w:r>
        <w:t xml:space="preserve">Izraženija od potrebe za proširenjem vodovodne mreže jest potreba za obnovom iste, s obzirom </w:t>
      </w:r>
      <w:r w:rsidR="00023FD8">
        <w:t xml:space="preserve">na to </w:t>
      </w:r>
      <w:r>
        <w:t>da su</w:t>
      </w:r>
      <w:r w:rsidR="00E17A27" w:rsidRPr="0056670C">
        <w:t xml:space="preserve"> na cijelom urbanom području prisutni i </w:t>
      </w:r>
      <w:r w:rsidR="00E17A27" w:rsidRPr="0056670C">
        <w:rPr>
          <w:b/>
        </w:rPr>
        <w:t>značajni gubici vode u distribuciji</w:t>
      </w:r>
      <w:r w:rsidR="00E17A27" w:rsidRPr="0056670C">
        <w:t xml:space="preserve"> </w:t>
      </w:r>
      <w:r>
        <w:t>koji</w:t>
      </w:r>
      <w:r w:rsidR="00E17A27" w:rsidRPr="0056670C">
        <w:t xml:space="preserve"> </w:t>
      </w:r>
      <w:r w:rsidR="002C72B6">
        <w:t xml:space="preserve">su </w:t>
      </w:r>
      <w:r w:rsidR="00E17A27" w:rsidRPr="0056670C">
        <w:t xml:space="preserve">najčešće </w:t>
      </w:r>
      <w:r w:rsidR="002C72B6">
        <w:t>uzrokovani dotrajalošću</w:t>
      </w:r>
      <w:r w:rsidR="00E17A27" w:rsidRPr="0056670C">
        <w:t xml:space="preserve"> mreže. Primjerice na karlovačkom području gubitak vode iz vodoopskrbne mreže iznosi nešto manje od 50% zbog čega je potrebno rekonstruirati dotrajale cjevovode kako bi se gubici vode sveli na prihvatljivu razinu</w:t>
      </w:r>
      <w:r>
        <w:t>, a slična je situacija na području Duge</w:t>
      </w:r>
      <w:r w:rsidR="00E17A27" w:rsidRPr="0056670C">
        <w:t xml:space="preserve"> Rese </w:t>
      </w:r>
      <w:r>
        <w:t>gdje</w:t>
      </w:r>
      <w:r w:rsidR="00E17A27" w:rsidRPr="0056670C">
        <w:t xml:space="preserve"> gubici iznose oko 65%</w:t>
      </w:r>
      <w:r>
        <w:t>.</w:t>
      </w:r>
    </w:p>
    <w:p w14:paraId="2F1DB5FF" w14:textId="2CF886A6" w:rsidR="0056670C" w:rsidRDefault="00E17A27" w:rsidP="0056670C">
      <w:r w:rsidRPr="0056670C">
        <w:t xml:space="preserve">Sustavi odvodnje postoje u svim gradovima </w:t>
      </w:r>
      <w:r w:rsidR="00023FD8">
        <w:t>VUPKA</w:t>
      </w:r>
      <w:r w:rsidR="0056670C">
        <w:t>,</w:t>
      </w:r>
      <w:r w:rsidRPr="0056670C">
        <w:t xml:space="preserve"> ali najznačajniji je </w:t>
      </w:r>
      <w:r w:rsidRPr="0056670C">
        <w:rPr>
          <w:b/>
        </w:rPr>
        <w:t>sustav odvodnje aglomeracije Karlovac – Duga Resa</w:t>
      </w:r>
      <w:r w:rsidRPr="0056670C">
        <w:t xml:space="preserve">, koji čini jednu tehnološko-projektnu cjelinu te predstavlja prioritet na razini Županije. U tom smislu sastavljen je i Sporazum o pripremi i provedbi projekta Aglomeracija Karlovac – Duga Resa čija sveukupna vrijednost iznosi 410 milijuna kuna, a od čega se putem sredstava europskih fondova očekuje sufinanciranje u visini od 232,3 milijuna kn (Kohezijski fond). Riječ je o značajnom projektu koji će obuhvatiti izgradnju 65 km sanitarne kanalizacije, rekonstrukciju 6,9 km sanitarne kanalizacije, rekonstrukciju 56,6 km vodoopskrbne mreže, izgradnju 27 crpnih stanica, retenciju Banija sjever, </w:t>
      </w:r>
      <w:r w:rsidR="002C72B6">
        <w:t xml:space="preserve"> </w:t>
      </w:r>
      <w:r w:rsidRPr="0056670C">
        <w:t xml:space="preserve">sifon ispod rijeke Mrežnice, solarnu sušionicu mulja, mjernu opremu za mulj na UPOV-u te vozila za održavanje sustava odvodnje. </w:t>
      </w:r>
    </w:p>
    <w:p w14:paraId="2ED26087" w14:textId="029017FF" w:rsidR="00E17A27" w:rsidRPr="0056670C" w:rsidRDefault="00E17A27" w:rsidP="00E17A27">
      <w:r w:rsidRPr="0056670C">
        <w:t>Općenito, pokrivenost područja kanalizacijskom mrežom i sustavima za proč</w:t>
      </w:r>
      <w:r w:rsidR="00023FD8">
        <w:t xml:space="preserve">išćavanje otpadnih voda (UPOV) </w:t>
      </w:r>
      <w:r w:rsidRPr="0056670C">
        <w:t>znatno je niža u manjim naseljima, a u nekima uopće ne postoji. Primjerice</w:t>
      </w:r>
      <w:r w:rsidR="00023FD8">
        <w:t>,</w:t>
      </w:r>
      <w:r w:rsidRPr="0056670C">
        <w:t xml:space="preserve"> na području grada D</w:t>
      </w:r>
      <w:r w:rsidR="0056670C">
        <w:t>uge</w:t>
      </w:r>
      <w:r w:rsidRPr="0056670C">
        <w:t xml:space="preserve"> Rese gotovo 50 % manje kućanstava spojeno </w:t>
      </w:r>
      <w:r w:rsidR="00023FD8">
        <w:t xml:space="preserve">je </w:t>
      </w:r>
      <w:r w:rsidRPr="0056670C">
        <w:t xml:space="preserve">na sustav odvodnje u odnosu na razinu pokrivenosti vodoopskrbom. Nedovoljno je izgrađena kanalizacijska mreža i na ozaljskom području. U samom su naselju izvedeni kolektori te retencijski bazen i uređaj za pročišćavanje. Za centralno područje Grada, planirana je izvedba mješovite kanalizacije odnosno </w:t>
      </w:r>
      <w:r w:rsidR="00023FD8">
        <w:t>nepotpune razdjelne kanalizacije</w:t>
      </w:r>
      <w:r w:rsidRPr="0056670C">
        <w:t xml:space="preserve"> za ostala područja u obuhvatu Grada.</w:t>
      </w:r>
    </w:p>
    <w:p w14:paraId="57CDD6FC" w14:textId="0F6DDE73" w:rsidR="00E17A27" w:rsidRPr="0056670C" w:rsidRDefault="00E17A27" w:rsidP="0056670C">
      <w:r w:rsidRPr="0056670C">
        <w:t>Pročišćavanje otpadnih voda na karlovačkom je području riješeno kroz izgradnju uređaja za predtretman otpadnih voda. Riječ je o prvom komunalnom projektu u Republici Hrvatsko</w:t>
      </w:r>
      <w:r w:rsidR="00023FD8">
        <w:t>j sufinanciranom sredstvima pret</w:t>
      </w:r>
      <w:r w:rsidRPr="0056670C">
        <w:t>pristupnih fondova Europske unije (Program ISPA) kojim se pročišćav</w:t>
      </w:r>
      <w:r w:rsidR="00023FD8">
        <w:t>aju otpadne vode Karlovca i Duge</w:t>
      </w:r>
      <w:r w:rsidRPr="0056670C">
        <w:t xml:space="preserve"> Rese. UPOV ima tri stupnja pročišćavanja otpadnih voda, kapacitet 98.500 ES, a s radom je započeo 2011. godine. Grad Ozalj također je iz vlastitih sredstava te sredstava IPARD programa 2007.-2013. financirao izgradnju biološkog pročistača otpadnih voda. Ovaj pročistač je </w:t>
      </w:r>
      <w:r w:rsidR="00023FD8">
        <w:t>kapaciteta 2000 ES (biološko-</w:t>
      </w:r>
      <w:r w:rsidRPr="0056670C">
        <w:t xml:space="preserve">mehanički tretman) te rješava u potpunosti potrebe Grada na desnoj obali rijeke Kupe, dok su naselja Zajačko selo i Požun na lijevoj obali rijeke Kupe planirana kao područje zasebnog sustava odvodnje s vlastitim uređajem za pročišćavanje. </w:t>
      </w:r>
    </w:p>
    <w:p w14:paraId="0EBD6761" w14:textId="77777777" w:rsidR="00E17A27" w:rsidRPr="00071B77" w:rsidRDefault="00E17A27" w:rsidP="00071B77"/>
    <w:p w14:paraId="1333A1F3" w14:textId="131C9009" w:rsidR="00E17A27" w:rsidRPr="00071B77" w:rsidRDefault="00071B77" w:rsidP="00071B77">
      <w:pPr>
        <w:pStyle w:val="Heading4"/>
      </w:pPr>
      <w:r>
        <w:t>Energetska infrastruktura</w:t>
      </w:r>
    </w:p>
    <w:p w14:paraId="41F87DA0" w14:textId="3AFF0496" w:rsidR="00E17A27" w:rsidRPr="00071B77" w:rsidRDefault="00E17A27" w:rsidP="00E17A27">
      <w:r w:rsidRPr="00071B77">
        <w:rPr>
          <w:b/>
        </w:rPr>
        <w:t>Elektrodistributivnom mrežom</w:t>
      </w:r>
      <w:r w:rsidRPr="00071B77">
        <w:t xml:space="preserve"> na području </w:t>
      </w:r>
      <w:r w:rsidR="00023FD8">
        <w:t xml:space="preserve">VUPKA </w:t>
      </w:r>
      <w:r w:rsidRPr="00071B77">
        <w:t>upravlja HEP – Operator distribucijskog sustava d.o.o. – distribucijsko područje Elektra Karlovac koje, između ostalih, uključuje i terenske jedinice Duga Resa i Ozalj. Područje Elektre Karlovac sveukupno pokriva oko 4.300 km</w:t>
      </w:r>
      <w:r w:rsidRPr="002C72B6">
        <w:rPr>
          <w:vertAlign w:val="superscript"/>
        </w:rPr>
        <w:t>2</w:t>
      </w:r>
      <w:r w:rsidRPr="00071B77">
        <w:t xml:space="preserve"> na kojem živi oko 175.000 stanovnika</w:t>
      </w:r>
      <w:r w:rsidR="00023FD8">
        <w:t>,</w:t>
      </w:r>
      <w:r w:rsidRPr="00071B77">
        <w:t xml:space="preserve"> što znači da se više od 40% korisnika usluga distributera nalazi na predmetnom urbanom području. Prema podacima HEP ODS pokrivenost elektro-distributivnom mrežom je 100%-na, a pojedinačni se slučajevi rješavaju putem izravnog zahtjeva za priključenjem na distributivnu mrežu. Postojeći sustav opskrbe električnom energijom urbanog područja čine zračni i podzemni (kabelski) vodovi. Srednjonaponska mreža na karlovačkom je području najvećim dijelom izvedena kao podzem</w:t>
      </w:r>
      <w:r w:rsidR="00023FD8">
        <w:t>na, dok na području gradova Duge</w:t>
      </w:r>
      <w:r w:rsidRPr="00071B77">
        <w:t xml:space="preserve"> Rese i Ozlja prevladavaju zračni vodovi. Niskonaponska je mreža izvedena </w:t>
      </w:r>
      <w:r w:rsidR="00023FD8">
        <w:t>je</w:t>
      </w:r>
      <w:r w:rsidRPr="00071B77">
        <w:t xml:space="preserve"> podzemno i nadzemno. U pravilu, u svojim užim dijelovima, gradovi imaju niskonaponsku mrežu izvedenu podzemno, a u široj okolici nadzemno. Iako je većina kabela izvedena s 20 kV izolacijom, neki su kabeli starije proizvodnje s 10 kV izolacijom.</w:t>
      </w:r>
    </w:p>
    <w:p w14:paraId="74F84D38" w14:textId="1A1918A4" w:rsidR="00E17A27" w:rsidRPr="00071B77" w:rsidRDefault="00E17A27" w:rsidP="00071B77">
      <w:r w:rsidRPr="00071B77">
        <w:t xml:space="preserve">Što se tiče infrastrukture za proizvodnju, na ozaljskom se području nalazi protočna </w:t>
      </w:r>
      <w:r w:rsidRPr="00071B77">
        <w:rPr>
          <w:b/>
        </w:rPr>
        <w:t>HE Ozalj</w:t>
      </w:r>
      <w:r w:rsidRPr="00071B77">
        <w:t xml:space="preserve"> (na rijeci Kupi) ukupne snage 5,5 MW. Ova poznata HE u funkciji je od 1908. godine te je znatno doprinijela </w:t>
      </w:r>
      <w:r w:rsidRPr="00071B77">
        <w:lastRenderedPageBreak/>
        <w:t xml:space="preserve">razvoju industrije ozaljskog i karlovačkog područja. Također, na istom se području u funkciji nalazi i </w:t>
      </w:r>
      <w:r w:rsidRPr="00071B77">
        <w:rPr>
          <w:b/>
        </w:rPr>
        <w:t>MHE Ilovac</w:t>
      </w:r>
      <w:r w:rsidRPr="00071B77">
        <w:t xml:space="preserve"> ukupne snage 1,4 MW. U okviru korištenja obnovljivih izvora energije, na urbanom je području instalirano i nekoliko fotonaponskih sustava, međutim</w:t>
      </w:r>
      <w:r w:rsidR="005E4858">
        <w:t>,</w:t>
      </w:r>
      <w:r w:rsidRPr="00071B77">
        <w:t xml:space="preserve"> isti trenutno nemaju veći značaj u ukupnoj proizvodnji električne energije.</w:t>
      </w:r>
    </w:p>
    <w:p w14:paraId="06EE1543" w14:textId="71CF25B0" w:rsidR="00E17A27" w:rsidRPr="00071B77" w:rsidRDefault="00E17A27" w:rsidP="00071B77">
      <w:r w:rsidRPr="00071B77">
        <w:t xml:space="preserve">Na području Županije prisutno je 10 opskrbljivača prirodnim plinom te je izgrađeno ukupno </w:t>
      </w:r>
      <w:r w:rsidRPr="00071B77">
        <w:rPr>
          <w:b/>
        </w:rPr>
        <w:t>71,8 km plinske mreže</w:t>
      </w:r>
      <w:r w:rsidRPr="00071B77">
        <w:t xml:space="preserve">. Transportni plinovodni sustav u Karlovačkoj županiji čine dva magistralna plinovoda (Pula – Karlovac, Karlovac – Zagreb), a za potrebe distribucije plina na karlovačkom području (i susjednih općina) izgrađena je mjerno redukcijska stanica – MRS Karlovac. Plinska je mreža trenutno razvedena na području svih gradova Županije te u općinama Barilović, Netretić, Draganić, Ribnik i Žakanje što uključuje i naselja gradova koji se nalaze u sastavu </w:t>
      </w:r>
      <w:r w:rsidR="005E4858">
        <w:t xml:space="preserve">Većeg </w:t>
      </w:r>
      <w:r w:rsidRPr="00071B77">
        <w:t>urbanog područja</w:t>
      </w:r>
      <w:r w:rsidR="005E4858">
        <w:t xml:space="preserve"> Karlovac</w:t>
      </w:r>
      <w:r w:rsidRPr="00071B77">
        <w:t>. Sadašnju distribuciju i opskrbu plinom provodi tvrtka Montcogim-plinara d.o.o. (danas u vlasništvu RWE Hrvatska), čije djelovanje na ovom području započinje 2001.</w:t>
      </w:r>
      <w:r w:rsidR="005E4858">
        <w:t xml:space="preserve"> godine kada</w:t>
      </w:r>
      <w:r w:rsidRPr="00071B77">
        <w:t xml:space="preserve"> započinje </w:t>
      </w:r>
      <w:r w:rsidR="005E4858">
        <w:t xml:space="preserve">i </w:t>
      </w:r>
      <w:r w:rsidRPr="00071B77">
        <w:t>plinofikacija Županije. Prvi potrošač je spojen 2003. godine u Karlovcu, a na području Grada danas je registrirano oko 1.000 korisnika</w:t>
      </w:r>
      <w:r w:rsidR="005E4858">
        <w:t>. O</w:t>
      </w:r>
      <w:r w:rsidRPr="00071B77">
        <w:t>d većih potrošača</w:t>
      </w:r>
      <w:r w:rsidR="005E4858">
        <w:t>,</w:t>
      </w:r>
      <w:r w:rsidRPr="00071B77">
        <w:t xml:space="preserve"> </w:t>
      </w:r>
      <w:r w:rsidR="005E4858">
        <w:t>najznačajnija je</w:t>
      </w:r>
      <w:r w:rsidRPr="00071B77">
        <w:t xml:space="preserve"> Gradska toplana Karlovac koja također koristi prirodni plin. Potrošnja </w:t>
      </w:r>
      <w:r w:rsidR="005E4858">
        <w:t xml:space="preserve">plina </w:t>
      </w:r>
      <w:r w:rsidRPr="00071B77">
        <w:t xml:space="preserve">na gradskom području kontinuirano raste, a navedena pozitivna kretanja naglašenija su kod industrijskih subjekata i poslovnih potrošača u odnosu na kategoriju kućanstva. </w:t>
      </w:r>
      <w:r w:rsidR="00071B77" w:rsidRPr="00071B77">
        <w:t>I</w:t>
      </w:r>
      <w:r w:rsidRPr="00071B77">
        <w:t>ako je koncesijskim ugovorom predviđena plinofikacija i ostalih gradova, najčešće do iste ne dolazi</w:t>
      </w:r>
      <w:r w:rsidR="005E4858">
        <w:t>,</w:t>
      </w:r>
      <w:r w:rsidRPr="00071B77">
        <w:t xml:space="preserve"> kako zbog problema s imovinsko-pravnim odnosima</w:t>
      </w:r>
      <w:r w:rsidR="005E4858">
        <w:t xml:space="preserve">, tako i zbog </w:t>
      </w:r>
      <w:r w:rsidRPr="00071B77">
        <w:t>općenito relativno niske zainteresiranosti stanovništva za priključenje na plinsku mrežu</w:t>
      </w:r>
      <w:r w:rsidR="005E4858">
        <w:t>,</w:t>
      </w:r>
      <w:r w:rsidRPr="00071B77">
        <w:t xml:space="preserve"> što posljedično dovodi u pitanje i ekonomsku opravdanost investicije. Na području Grada Duga Resa nema izgrađene distributivne plinske mreže.</w:t>
      </w:r>
    </w:p>
    <w:p w14:paraId="11DC480B" w14:textId="0550572A" w:rsidR="00E17A27" w:rsidRPr="00071B77" w:rsidRDefault="00E17A27" w:rsidP="00071B77">
      <w:r w:rsidRPr="00071B77">
        <w:rPr>
          <w:b/>
        </w:rPr>
        <w:t>Javni sustav grijanja</w:t>
      </w:r>
      <w:r w:rsidRPr="00071B77">
        <w:t xml:space="preserve"> na urbanom području proveden </w:t>
      </w:r>
      <w:r w:rsidR="005E4858">
        <w:t xml:space="preserve">je </w:t>
      </w:r>
      <w:r w:rsidRPr="00071B77">
        <w:t>samo na području Karlovca. Proizvodnjom, distribucijom i opskrbom to</w:t>
      </w:r>
      <w:r w:rsidR="005E4858">
        <w:t>plinskom energijom na području G</w:t>
      </w:r>
      <w:r w:rsidRPr="00071B77">
        <w:t xml:space="preserve">rada upravlja tvrtka </w:t>
      </w:r>
      <w:r w:rsidRPr="00071B77">
        <w:rPr>
          <w:b/>
        </w:rPr>
        <w:t>Gradska toplana d.o.o., a danas se u njoj proizvodi toplinska energija za zagrijavanje više od 7.600 stanova i 450 poslovnih prostora</w:t>
      </w:r>
      <w:r w:rsidRPr="00071B77">
        <w:t>. Riječ je o centralnom toplinskom sustavu prilagođenom za manje gradove kojeg čin</w:t>
      </w:r>
      <w:r w:rsidR="005E4858">
        <w:t>i mreža duljine 42 km, a toplina</w:t>
      </w:r>
      <w:r w:rsidRPr="00071B77">
        <w:t xml:space="preserve"> se predaje kroz 180 toplinskih stanica. Ove stanice koriste se isključivo za potrebe grijanja objekata i kao takve nisu predv</w:t>
      </w:r>
      <w:r w:rsidR="00071B77">
        <w:t>iđene za pripremu PTV.</w:t>
      </w:r>
    </w:p>
    <w:p w14:paraId="72932F00" w14:textId="04B03C78" w:rsidR="00E17A27" w:rsidRPr="00014FEF" w:rsidRDefault="00E17A27" w:rsidP="00E17A27">
      <w:r w:rsidRPr="00071B77">
        <w:t xml:space="preserve">Toplana </w:t>
      </w:r>
      <w:r w:rsidRPr="00071B77">
        <w:rPr>
          <w:b/>
        </w:rPr>
        <w:t>kao glavne energente koristi prirodni plin i mazut</w:t>
      </w:r>
      <w:r w:rsidRPr="00071B77">
        <w:t xml:space="preserve">, a glavna kotlovnica ima ukupni toplinski učinak od </w:t>
      </w:r>
      <w:r w:rsidRPr="00071B77">
        <w:rPr>
          <w:b/>
        </w:rPr>
        <w:t>116 MW.</w:t>
      </w:r>
      <w:r w:rsidRPr="00071B77">
        <w:t xml:space="preserve"> Tehnički gledano, pojedini su toplovodi ugroženi zbog korozije i starosti te na pojedinim dionicama dolazi do curenja vode (cca. 35.000 m3/god.). Od 2007. godine provodi se modernizacija zastarjele opreme te postepena plinofikacija zastarjelih kotlova</w:t>
      </w:r>
      <w:r w:rsidR="005E4858">
        <w:t>,</w:t>
      </w:r>
      <w:r w:rsidRPr="00071B77">
        <w:t xml:space="preserve"> čime se postiže veća iskoristivost energenta te smanjivanje štetnih utjecaja na okoliš</w:t>
      </w:r>
      <w:r w:rsidR="005E4858">
        <w:t>,</w:t>
      </w:r>
      <w:r w:rsidRPr="00071B77">
        <w:t xml:space="preserve"> koji nastaju prilikom korištenja fosilnih goriva. Do 2015. godine ukupna potrošnj</w:t>
      </w:r>
      <w:r w:rsidR="005E4858">
        <w:t>a toplinske energije proizvedena</w:t>
      </w:r>
      <w:r w:rsidRPr="00071B77">
        <w:t xml:space="preserve"> u centraliziranom toplinskom sustavu bilježila je kontinuirani pad što je izra</w:t>
      </w:r>
      <w:r w:rsidR="005E4858">
        <w:t>vno povezeno s kretanjima cijene</w:t>
      </w:r>
      <w:r w:rsidRPr="00071B77">
        <w:t xml:space="preserve"> grijanja na tržištu te zbog čega se korisnici u pravilu okreću prema drugim izvorima toplinske energije. </w:t>
      </w:r>
    </w:p>
    <w:p w14:paraId="39D74D4B" w14:textId="1053B94A" w:rsidR="00E17A27" w:rsidRPr="00F265F4" w:rsidRDefault="00E17A27" w:rsidP="00F265F4">
      <w:r w:rsidRPr="00071B77">
        <w:rPr>
          <w:b/>
        </w:rPr>
        <w:t>Obnovljivi izvori energije</w:t>
      </w:r>
      <w:r w:rsidRPr="00071B77">
        <w:t xml:space="preserve"> predstavljaju velik</w:t>
      </w:r>
      <w:r w:rsidR="005E4858">
        <w:t>i</w:t>
      </w:r>
      <w:r w:rsidRPr="00071B77">
        <w:t xml:space="preserve"> potencijal na području Karlovačke županije, a od osobite je važnosti za predmetno urbano područje značajan šumski i potencijal drvne industrije kojim se izravno omogućava razvoj lokalnog gospodarstva baziranog na proizvodnji energije iz </w:t>
      </w:r>
      <w:r w:rsidRPr="00F265F4">
        <w:rPr>
          <w:b/>
        </w:rPr>
        <w:t>biomase</w:t>
      </w:r>
      <w:r w:rsidRPr="00071B77">
        <w:t>. Posljednje je</w:t>
      </w:r>
      <w:r w:rsidR="003739B0">
        <w:t xml:space="preserve"> u</w:t>
      </w:r>
      <w:r w:rsidRPr="00071B77">
        <w:t xml:space="preserve"> izravnoj vezi s projektima koji uključuju primjerice ugradnju pirolitičkih kotlova i kotlova na pelete te zamjenu kotlova na fosilna goriva kotlovima na biomasu – uglavnom u školskim ustanovama. Općenito, izgradnjom kotlovnica i malih područnih toplana na biomasu na urbanom se području potiče gospodarski i ruralni razvoj te ostvaruje učinkovitije korištenje šumskog i poljoprivrednog zemljišta. Najveća prepreka daljnjem razvoju ovakvih projekata predstavlja i </w:t>
      </w:r>
      <w:r w:rsidRPr="00F265F4">
        <w:rPr>
          <w:b/>
        </w:rPr>
        <w:t>nedostatak prikladnih izvora financiranja, posebice za manje gradove</w:t>
      </w:r>
      <w:r w:rsidR="005E4858">
        <w:t>, uključujući i Dugu</w:t>
      </w:r>
      <w:r w:rsidRPr="00071B77">
        <w:t xml:space="preserve"> Resu i Ozalj, koji sami nemaju financijskih mogućnosti sufinanciranja EU projekata vlastitim udjelom.</w:t>
      </w:r>
    </w:p>
    <w:p w14:paraId="5672756C" w14:textId="6073486C" w:rsidR="00E17A27" w:rsidRPr="00F265F4" w:rsidRDefault="00E17A27" w:rsidP="00F265F4">
      <w:r w:rsidRPr="00F265F4">
        <w:t xml:space="preserve">Iako smještena u rubnom području južnog dijela Panonskog bazena, Karlovačka županija ima </w:t>
      </w:r>
      <w:r w:rsidRPr="00F265F4">
        <w:rPr>
          <w:b/>
        </w:rPr>
        <w:t>značajan potencijal geotermalne energije</w:t>
      </w:r>
      <w:r w:rsidRPr="00F265F4">
        <w:t>, a za</w:t>
      </w:r>
      <w:r w:rsidR="005E4858">
        <w:t xml:space="preserve"> Veće</w:t>
      </w:r>
      <w:r w:rsidRPr="00F265F4">
        <w:t xml:space="preserve"> urbano područje </w:t>
      </w:r>
      <w:r w:rsidR="005E4858">
        <w:t xml:space="preserve">Karlovac </w:t>
      </w:r>
      <w:r w:rsidRPr="00F265F4">
        <w:t>relevantno je geotermalno ležište Rečica (bušotine Ka-2 i Ka-3). Međutim iako je ovaj potencijal značajan za proizvodnju električne i toplinske energije za različite primjene (npr. grijanje i hlađenje objekata u Karlovcu, ribnjičarski kompleks Draganić, industrijski procesi</w:t>
      </w:r>
      <w:r w:rsidR="00F265F4">
        <w:t>, poljoprivredna proizvodnja</w:t>
      </w:r>
      <w:r w:rsidRPr="00F265F4">
        <w:t xml:space="preserve"> i sl.)</w:t>
      </w:r>
      <w:r w:rsidR="005E4858">
        <w:t>,</w:t>
      </w:r>
      <w:r w:rsidRPr="00F265F4">
        <w:t xml:space="preserve"> neophodno je </w:t>
      </w:r>
      <w:r w:rsidRPr="00F265F4">
        <w:lastRenderedPageBreak/>
        <w:t xml:space="preserve">naglasiti kako  je takva isplativost moguća jedino ako se nađe potrošač za cjelokupnu proizvedenu toplinsku energiju. </w:t>
      </w:r>
    </w:p>
    <w:p w14:paraId="5F34D085" w14:textId="4B9F4DD7" w:rsidR="00E17A27" w:rsidRPr="00FD510D" w:rsidRDefault="00E17A27" w:rsidP="00E17A27">
      <w:pPr>
        <w:pStyle w:val="Caption"/>
      </w:pPr>
      <w:bookmarkStart w:id="77" w:name="_Toc420581479"/>
      <w:bookmarkStart w:id="78" w:name="_Toc437387506"/>
      <w:r w:rsidRPr="00FD510D">
        <w:t xml:space="preserve">Tablica </w:t>
      </w:r>
      <w:r>
        <w:fldChar w:fldCharType="begin"/>
      </w:r>
      <w:r>
        <w:instrText xml:space="preserve"> SEQ Tablica \* ARABIC </w:instrText>
      </w:r>
      <w:r>
        <w:fldChar w:fldCharType="separate"/>
      </w:r>
      <w:r w:rsidR="001358A9">
        <w:rPr>
          <w:noProof/>
        </w:rPr>
        <w:t>33</w:t>
      </w:r>
      <w:r>
        <w:rPr>
          <w:noProof/>
        </w:rPr>
        <w:fldChar w:fldCharType="end"/>
      </w:r>
      <w:r w:rsidRPr="00FD510D">
        <w:t xml:space="preserve">. </w:t>
      </w:r>
      <w:r w:rsidR="00F265F4">
        <w:t>Projekti</w:t>
      </w:r>
      <w:r w:rsidRPr="00FD510D">
        <w:t xml:space="preserve"> OIE prema vrsti i ukupnoj snazi postrojenja na urbanom području s kojima je HROTE sklopio ugovor o otkupu električne energije</w:t>
      </w:r>
      <w:bookmarkEnd w:id="77"/>
      <w:bookmarkEnd w:id="7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4"/>
        <w:gridCol w:w="2046"/>
        <w:gridCol w:w="2522"/>
        <w:gridCol w:w="839"/>
        <w:gridCol w:w="1246"/>
        <w:gridCol w:w="1217"/>
      </w:tblGrid>
      <w:tr w:rsidR="00E17A27" w:rsidRPr="00FD510D" w14:paraId="3C31B5C3" w14:textId="77777777" w:rsidTr="0056670C">
        <w:trPr>
          <w:trHeight w:val="217"/>
          <w:tblHeader/>
        </w:trPr>
        <w:tc>
          <w:tcPr>
            <w:tcW w:w="0" w:type="auto"/>
            <w:shd w:val="clear" w:color="auto" w:fill="39617A"/>
            <w:vAlign w:val="center"/>
          </w:tcPr>
          <w:p w14:paraId="083060B3" w14:textId="77777777" w:rsidR="00E17A27" w:rsidRPr="00FD510D" w:rsidRDefault="00E17A27" w:rsidP="0056670C">
            <w:pPr>
              <w:jc w:val="center"/>
              <w:rPr>
                <w:rFonts w:cs="Tahoma"/>
                <w:bCs/>
                <w:color w:val="FFFFFF" w:themeColor="background1"/>
                <w:sz w:val="18"/>
                <w:szCs w:val="18"/>
              </w:rPr>
            </w:pPr>
            <w:r w:rsidRPr="00FD510D">
              <w:rPr>
                <w:rFonts w:cs="Tahoma"/>
                <w:bCs/>
                <w:color w:val="FFFFFF" w:themeColor="background1"/>
                <w:sz w:val="18"/>
                <w:szCs w:val="18"/>
              </w:rPr>
              <w:t>Vrsta postrojenja</w:t>
            </w:r>
          </w:p>
        </w:tc>
        <w:tc>
          <w:tcPr>
            <w:tcW w:w="0" w:type="auto"/>
            <w:shd w:val="clear" w:color="auto" w:fill="39617A"/>
            <w:vAlign w:val="center"/>
          </w:tcPr>
          <w:p w14:paraId="42FA7976" w14:textId="77777777" w:rsidR="00E17A27" w:rsidRPr="00FD510D" w:rsidRDefault="00E17A27" w:rsidP="0056670C">
            <w:pPr>
              <w:jc w:val="center"/>
              <w:rPr>
                <w:rFonts w:cs="Tahoma"/>
                <w:bCs/>
                <w:color w:val="FFFFFF" w:themeColor="background1"/>
                <w:sz w:val="18"/>
                <w:szCs w:val="18"/>
              </w:rPr>
            </w:pPr>
            <w:r w:rsidRPr="00FD510D">
              <w:rPr>
                <w:rFonts w:cs="Tahoma"/>
                <w:bCs/>
                <w:color w:val="FFFFFF" w:themeColor="background1"/>
                <w:sz w:val="18"/>
                <w:szCs w:val="18"/>
              </w:rPr>
              <w:t>Naziv projekta</w:t>
            </w:r>
          </w:p>
        </w:tc>
        <w:tc>
          <w:tcPr>
            <w:tcW w:w="0" w:type="auto"/>
            <w:shd w:val="clear" w:color="auto" w:fill="39617A"/>
            <w:vAlign w:val="center"/>
          </w:tcPr>
          <w:p w14:paraId="1E1273D1" w14:textId="77777777" w:rsidR="00E17A27" w:rsidRPr="00FD510D" w:rsidRDefault="00E17A27" w:rsidP="0056670C">
            <w:pPr>
              <w:jc w:val="center"/>
              <w:rPr>
                <w:rFonts w:cs="Tahoma"/>
                <w:bCs/>
                <w:color w:val="FFFFFF" w:themeColor="background1"/>
                <w:sz w:val="18"/>
                <w:szCs w:val="18"/>
              </w:rPr>
            </w:pPr>
            <w:r w:rsidRPr="00FD510D">
              <w:rPr>
                <w:rFonts w:cs="Tahoma"/>
                <w:bCs/>
                <w:color w:val="FFFFFF" w:themeColor="background1"/>
                <w:sz w:val="18"/>
                <w:szCs w:val="18"/>
              </w:rPr>
              <w:t>Nositelj projekta</w:t>
            </w:r>
          </w:p>
        </w:tc>
        <w:tc>
          <w:tcPr>
            <w:tcW w:w="0" w:type="auto"/>
            <w:shd w:val="clear" w:color="auto" w:fill="39617A"/>
            <w:vAlign w:val="center"/>
          </w:tcPr>
          <w:p w14:paraId="44F1EB7F" w14:textId="77777777" w:rsidR="00E17A27" w:rsidRPr="00FD510D" w:rsidRDefault="00E17A27" w:rsidP="0056670C">
            <w:pPr>
              <w:jc w:val="center"/>
              <w:rPr>
                <w:rFonts w:cs="Tahoma"/>
                <w:bCs/>
                <w:color w:val="FFFFFF" w:themeColor="background1"/>
                <w:sz w:val="18"/>
                <w:szCs w:val="18"/>
              </w:rPr>
            </w:pPr>
            <w:r w:rsidRPr="00FD510D">
              <w:rPr>
                <w:rFonts w:cs="Tahoma"/>
                <w:bCs/>
                <w:color w:val="FFFFFF" w:themeColor="background1"/>
                <w:sz w:val="18"/>
                <w:szCs w:val="18"/>
              </w:rPr>
              <w:t>Lokacija</w:t>
            </w:r>
          </w:p>
        </w:tc>
        <w:tc>
          <w:tcPr>
            <w:tcW w:w="0" w:type="auto"/>
            <w:shd w:val="clear" w:color="auto" w:fill="39617A"/>
            <w:vAlign w:val="center"/>
          </w:tcPr>
          <w:p w14:paraId="0FE4476C" w14:textId="77777777" w:rsidR="00E17A27" w:rsidRPr="00FD510D" w:rsidRDefault="00E17A27" w:rsidP="0056670C">
            <w:pPr>
              <w:jc w:val="center"/>
              <w:rPr>
                <w:rFonts w:cs="Tahoma"/>
                <w:bCs/>
                <w:color w:val="FFFFFF" w:themeColor="background1"/>
                <w:sz w:val="18"/>
                <w:szCs w:val="18"/>
              </w:rPr>
            </w:pPr>
            <w:r w:rsidRPr="00FD510D">
              <w:rPr>
                <w:rFonts w:cs="Tahoma"/>
                <w:bCs/>
                <w:color w:val="FFFFFF" w:themeColor="background1"/>
                <w:sz w:val="18"/>
                <w:szCs w:val="18"/>
              </w:rPr>
              <w:t>Električna snaga [MW]</w:t>
            </w:r>
          </w:p>
        </w:tc>
        <w:tc>
          <w:tcPr>
            <w:tcW w:w="0" w:type="auto"/>
            <w:shd w:val="clear" w:color="auto" w:fill="39617A"/>
            <w:vAlign w:val="center"/>
          </w:tcPr>
          <w:p w14:paraId="4394BD5F" w14:textId="77777777" w:rsidR="00E17A27" w:rsidRPr="00FD510D" w:rsidRDefault="00E17A27" w:rsidP="0056670C">
            <w:pPr>
              <w:jc w:val="center"/>
              <w:rPr>
                <w:rFonts w:cs="Tahoma"/>
                <w:bCs/>
                <w:color w:val="FFFFFF" w:themeColor="background1"/>
                <w:sz w:val="18"/>
                <w:szCs w:val="18"/>
              </w:rPr>
            </w:pPr>
            <w:r w:rsidRPr="00FD510D">
              <w:rPr>
                <w:rFonts w:cs="Tahoma"/>
                <w:bCs/>
                <w:color w:val="FFFFFF" w:themeColor="background1"/>
                <w:sz w:val="18"/>
                <w:szCs w:val="18"/>
              </w:rPr>
              <w:t>Toplinska snaga [MW]</w:t>
            </w:r>
          </w:p>
        </w:tc>
      </w:tr>
      <w:tr w:rsidR="00E17A27" w:rsidRPr="00FD510D" w14:paraId="333B3B19" w14:textId="77777777" w:rsidTr="0056670C">
        <w:trPr>
          <w:trHeight w:val="252"/>
        </w:trPr>
        <w:tc>
          <w:tcPr>
            <w:tcW w:w="0" w:type="auto"/>
            <w:vMerge w:val="restart"/>
          </w:tcPr>
          <w:p w14:paraId="5A16C1EB"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Sunčana elektrana</w:t>
            </w:r>
          </w:p>
        </w:tc>
        <w:tc>
          <w:tcPr>
            <w:tcW w:w="0" w:type="auto"/>
            <w:vAlign w:val="center"/>
          </w:tcPr>
          <w:p w14:paraId="361A4A89"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Fotonaponska elektrana Karlovac</w:t>
            </w:r>
          </w:p>
        </w:tc>
        <w:tc>
          <w:tcPr>
            <w:tcW w:w="0" w:type="auto"/>
            <w:vAlign w:val="center"/>
          </w:tcPr>
          <w:p w14:paraId="29AA2E68"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LE-ENERGIJA d.o.o. za proizvodnju, trgovinu i usluge</w:t>
            </w:r>
          </w:p>
        </w:tc>
        <w:tc>
          <w:tcPr>
            <w:tcW w:w="0" w:type="auto"/>
            <w:vAlign w:val="center"/>
          </w:tcPr>
          <w:p w14:paraId="00C30DF2"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Ozalj</w:t>
            </w:r>
          </w:p>
        </w:tc>
        <w:tc>
          <w:tcPr>
            <w:tcW w:w="0" w:type="auto"/>
            <w:vAlign w:val="center"/>
          </w:tcPr>
          <w:p w14:paraId="55FABF4D"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0,03</w:t>
            </w:r>
          </w:p>
        </w:tc>
        <w:tc>
          <w:tcPr>
            <w:tcW w:w="0" w:type="auto"/>
            <w:vAlign w:val="center"/>
          </w:tcPr>
          <w:p w14:paraId="0F89C445"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w:t>
            </w:r>
          </w:p>
        </w:tc>
      </w:tr>
      <w:tr w:rsidR="00E17A27" w:rsidRPr="00FD510D" w14:paraId="564C4F98" w14:textId="77777777" w:rsidTr="0056670C">
        <w:trPr>
          <w:trHeight w:val="252"/>
        </w:trPr>
        <w:tc>
          <w:tcPr>
            <w:tcW w:w="0" w:type="auto"/>
            <w:vMerge/>
          </w:tcPr>
          <w:p w14:paraId="0256F21F" w14:textId="77777777" w:rsidR="00E17A27" w:rsidRPr="00FD510D" w:rsidRDefault="00E17A27" w:rsidP="0056670C">
            <w:pPr>
              <w:jc w:val="left"/>
              <w:rPr>
                <w:rFonts w:eastAsia="Times New Roman" w:cs="Tahoma"/>
                <w:color w:val="000000"/>
                <w:sz w:val="18"/>
                <w:szCs w:val="18"/>
              </w:rPr>
            </w:pPr>
          </w:p>
        </w:tc>
        <w:tc>
          <w:tcPr>
            <w:tcW w:w="0" w:type="auto"/>
            <w:vAlign w:val="center"/>
          </w:tcPr>
          <w:p w14:paraId="5C93400A"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Fotonaponski sustav Centar za održivi razvoj</w:t>
            </w:r>
          </w:p>
        </w:tc>
        <w:tc>
          <w:tcPr>
            <w:tcW w:w="0" w:type="auto"/>
            <w:vAlign w:val="center"/>
          </w:tcPr>
          <w:p w14:paraId="180CA2FE"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Veleučilište u Karlovcu</w:t>
            </w:r>
          </w:p>
        </w:tc>
        <w:tc>
          <w:tcPr>
            <w:tcW w:w="0" w:type="auto"/>
            <w:vAlign w:val="center"/>
          </w:tcPr>
          <w:p w14:paraId="37D5AF35"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 xml:space="preserve">Karlovac </w:t>
            </w:r>
          </w:p>
        </w:tc>
        <w:tc>
          <w:tcPr>
            <w:tcW w:w="0" w:type="auto"/>
            <w:vAlign w:val="center"/>
          </w:tcPr>
          <w:p w14:paraId="1BAF624B"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0,0099</w:t>
            </w:r>
          </w:p>
        </w:tc>
        <w:tc>
          <w:tcPr>
            <w:tcW w:w="0" w:type="auto"/>
            <w:vAlign w:val="center"/>
          </w:tcPr>
          <w:p w14:paraId="325A8926"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w:t>
            </w:r>
          </w:p>
        </w:tc>
      </w:tr>
      <w:tr w:rsidR="00E17A27" w:rsidRPr="00FD510D" w14:paraId="1FBA4105" w14:textId="77777777" w:rsidTr="0056670C">
        <w:trPr>
          <w:trHeight w:val="252"/>
        </w:trPr>
        <w:tc>
          <w:tcPr>
            <w:tcW w:w="0" w:type="auto"/>
            <w:vMerge/>
          </w:tcPr>
          <w:p w14:paraId="48965D6C" w14:textId="77777777" w:rsidR="00E17A27" w:rsidRPr="00FD510D" w:rsidRDefault="00E17A27" w:rsidP="0056670C">
            <w:pPr>
              <w:jc w:val="left"/>
              <w:rPr>
                <w:rFonts w:eastAsia="Times New Roman" w:cs="Tahoma"/>
                <w:color w:val="000000"/>
                <w:sz w:val="18"/>
                <w:szCs w:val="18"/>
              </w:rPr>
            </w:pPr>
          </w:p>
        </w:tc>
        <w:tc>
          <w:tcPr>
            <w:tcW w:w="0" w:type="auto"/>
            <w:vAlign w:val="center"/>
          </w:tcPr>
          <w:p w14:paraId="4B8AE4F4"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EUROHERC OSIGURANJE d.d.</w:t>
            </w:r>
          </w:p>
        </w:tc>
        <w:tc>
          <w:tcPr>
            <w:tcW w:w="0" w:type="auto"/>
            <w:vAlign w:val="center"/>
          </w:tcPr>
          <w:p w14:paraId="2A7E53FC"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Integrirana sunčana elektrana Euroherc Karlovac - Ilovac</w:t>
            </w:r>
          </w:p>
        </w:tc>
        <w:tc>
          <w:tcPr>
            <w:tcW w:w="0" w:type="auto"/>
            <w:vAlign w:val="center"/>
          </w:tcPr>
          <w:p w14:paraId="4B68C13D"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Karlovac</w:t>
            </w:r>
          </w:p>
        </w:tc>
        <w:tc>
          <w:tcPr>
            <w:tcW w:w="0" w:type="auto"/>
            <w:vAlign w:val="center"/>
          </w:tcPr>
          <w:p w14:paraId="0CCA2112"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0,0086</w:t>
            </w:r>
          </w:p>
        </w:tc>
        <w:tc>
          <w:tcPr>
            <w:tcW w:w="0" w:type="auto"/>
            <w:vAlign w:val="center"/>
          </w:tcPr>
          <w:p w14:paraId="41637632"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w:t>
            </w:r>
          </w:p>
        </w:tc>
      </w:tr>
      <w:tr w:rsidR="00E17A27" w:rsidRPr="00FD510D" w14:paraId="04CF1B2E" w14:textId="77777777" w:rsidTr="0056670C">
        <w:trPr>
          <w:trHeight w:val="252"/>
        </w:trPr>
        <w:tc>
          <w:tcPr>
            <w:tcW w:w="0" w:type="auto"/>
          </w:tcPr>
          <w:p w14:paraId="475D2306" w14:textId="77777777" w:rsidR="00E17A27" w:rsidRPr="00FD510D" w:rsidRDefault="00E17A27" w:rsidP="0056670C">
            <w:pPr>
              <w:jc w:val="left"/>
              <w:rPr>
                <w:rFonts w:eastAsia="Times New Roman" w:cs="Tahoma"/>
                <w:b/>
                <w:color w:val="000000"/>
                <w:sz w:val="18"/>
                <w:szCs w:val="18"/>
              </w:rPr>
            </w:pPr>
            <w:r w:rsidRPr="00FD510D">
              <w:rPr>
                <w:rFonts w:eastAsia="Times New Roman" w:cs="Tahoma"/>
                <w:b/>
                <w:color w:val="000000"/>
                <w:sz w:val="18"/>
                <w:szCs w:val="18"/>
              </w:rPr>
              <w:t>Ukupno</w:t>
            </w:r>
          </w:p>
        </w:tc>
        <w:tc>
          <w:tcPr>
            <w:tcW w:w="0" w:type="auto"/>
            <w:gridSpan w:val="3"/>
          </w:tcPr>
          <w:p w14:paraId="5B157E96" w14:textId="77777777" w:rsidR="00E17A27" w:rsidRPr="00FD510D" w:rsidRDefault="00E17A27" w:rsidP="0056670C">
            <w:pPr>
              <w:rPr>
                <w:rFonts w:eastAsia="Times New Roman" w:cs="Tahoma"/>
                <w:b/>
                <w:color w:val="000000"/>
                <w:sz w:val="18"/>
                <w:szCs w:val="18"/>
              </w:rPr>
            </w:pPr>
          </w:p>
        </w:tc>
        <w:tc>
          <w:tcPr>
            <w:tcW w:w="0" w:type="auto"/>
          </w:tcPr>
          <w:p w14:paraId="62A61F6D" w14:textId="77777777" w:rsidR="00E17A27" w:rsidRPr="00FD510D" w:rsidRDefault="00E17A27" w:rsidP="0056670C">
            <w:pPr>
              <w:rPr>
                <w:rFonts w:eastAsia="Times New Roman" w:cs="Tahoma"/>
                <w:b/>
                <w:color w:val="000000"/>
                <w:sz w:val="18"/>
                <w:szCs w:val="18"/>
              </w:rPr>
            </w:pPr>
            <w:r w:rsidRPr="00FD510D">
              <w:rPr>
                <w:rFonts w:eastAsia="Times New Roman" w:cs="Tahoma"/>
                <w:b/>
                <w:color w:val="000000"/>
                <w:sz w:val="18"/>
                <w:szCs w:val="18"/>
              </w:rPr>
              <w:t>0,0485</w:t>
            </w:r>
          </w:p>
        </w:tc>
        <w:tc>
          <w:tcPr>
            <w:tcW w:w="0" w:type="auto"/>
          </w:tcPr>
          <w:p w14:paraId="1A1077C2" w14:textId="77777777" w:rsidR="00E17A27" w:rsidRPr="00FD510D" w:rsidRDefault="00E17A27" w:rsidP="0056670C">
            <w:pPr>
              <w:rPr>
                <w:rFonts w:eastAsia="Times New Roman" w:cs="Tahoma"/>
                <w:b/>
                <w:color w:val="000000"/>
                <w:sz w:val="18"/>
                <w:szCs w:val="18"/>
              </w:rPr>
            </w:pPr>
            <w:r w:rsidRPr="00FD510D">
              <w:rPr>
                <w:rFonts w:eastAsia="Times New Roman" w:cs="Tahoma"/>
                <w:b/>
                <w:color w:val="000000"/>
                <w:sz w:val="18"/>
                <w:szCs w:val="18"/>
              </w:rPr>
              <w:t>-</w:t>
            </w:r>
          </w:p>
        </w:tc>
      </w:tr>
      <w:tr w:rsidR="00E17A27" w:rsidRPr="00FD510D" w14:paraId="4DA4F895" w14:textId="77777777" w:rsidTr="0056670C">
        <w:trPr>
          <w:trHeight w:val="252"/>
        </w:trPr>
        <w:tc>
          <w:tcPr>
            <w:tcW w:w="0" w:type="auto"/>
          </w:tcPr>
          <w:p w14:paraId="1852750D"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Hidroelektrana</w:t>
            </w:r>
          </w:p>
        </w:tc>
        <w:tc>
          <w:tcPr>
            <w:tcW w:w="0" w:type="auto"/>
            <w:vAlign w:val="center"/>
          </w:tcPr>
          <w:p w14:paraId="2E61362F"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 xml:space="preserve">Mala hidroelektrana Ilovac - pilot postrojenje </w:t>
            </w:r>
          </w:p>
        </w:tc>
        <w:tc>
          <w:tcPr>
            <w:tcW w:w="0" w:type="auto"/>
            <w:vAlign w:val="center"/>
          </w:tcPr>
          <w:p w14:paraId="62688755"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 xml:space="preserve">TEKONET d.o.o. za telekomunikacijsku tehniku i usluge </w:t>
            </w:r>
          </w:p>
        </w:tc>
        <w:tc>
          <w:tcPr>
            <w:tcW w:w="0" w:type="auto"/>
            <w:vAlign w:val="center"/>
          </w:tcPr>
          <w:p w14:paraId="5F1CB50C"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Ozalj</w:t>
            </w:r>
          </w:p>
        </w:tc>
        <w:tc>
          <w:tcPr>
            <w:tcW w:w="0" w:type="auto"/>
            <w:vAlign w:val="center"/>
          </w:tcPr>
          <w:p w14:paraId="6B5A8026"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1,4</w:t>
            </w:r>
          </w:p>
        </w:tc>
        <w:tc>
          <w:tcPr>
            <w:tcW w:w="0" w:type="auto"/>
            <w:vAlign w:val="center"/>
          </w:tcPr>
          <w:p w14:paraId="09F31623"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w:t>
            </w:r>
          </w:p>
        </w:tc>
      </w:tr>
      <w:tr w:rsidR="00E17A27" w:rsidRPr="00FD510D" w14:paraId="553BF193" w14:textId="77777777" w:rsidTr="0056670C">
        <w:trPr>
          <w:trHeight w:val="252"/>
        </w:trPr>
        <w:tc>
          <w:tcPr>
            <w:tcW w:w="0" w:type="auto"/>
          </w:tcPr>
          <w:p w14:paraId="4CE14AFD" w14:textId="77777777" w:rsidR="00E17A27" w:rsidRPr="00FD510D" w:rsidRDefault="00E17A27" w:rsidP="0056670C">
            <w:pPr>
              <w:jc w:val="left"/>
              <w:rPr>
                <w:rFonts w:eastAsia="Times New Roman" w:cs="Tahoma"/>
                <w:color w:val="000000"/>
                <w:sz w:val="18"/>
                <w:szCs w:val="18"/>
              </w:rPr>
            </w:pPr>
          </w:p>
        </w:tc>
        <w:tc>
          <w:tcPr>
            <w:tcW w:w="0" w:type="auto"/>
            <w:vAlign w:val="center"/>
          </w:tcPr>
          <w:p w14:paraId="7A06A419"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Mala Hidroelektrana Korana 1- Karlovac*</w:t>
            </w:r>
          </w:p>
        </w:tc>
        <w:tc>
          <w:tcPr>
            <w:tcW w:w="0" w:type="auto"/>
            <w:vAlign w:val="center"/>
          </w:tcPr>
          <w:p w14:paraId="6BD24B44"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KORANA 354 d.o.o. za usluge</w:t>
            </w:r>
          </w:p>
        </w:tc>
        <w:tc>
          <w:tcPr>
            <w:tcW w:w="0" w:type="auto"/>
            <w:vAlign w:val="center"/>
          </w:tcPr>
          <w:p w14:paraId="7D9E5707"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 xml:space="preserve">Karlovac </w:t>
            </w:r>
          </w:p>
        </w:tc>
        <w:tc>
          <w:tcPr>
            <w:tcW w:w="0" w:type="auto"/>
            <w:vAlign w:val="center"/>
          </w:tcPr>
          <w:p w14:paraId="3E7D93F7"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0,354</w:t>
            </w:r>
          </w:p>
        </w:tc>
        <w:tc>
          <w:tcPr>
            <w:tcW w:w="0" w:type="auto"/>
            <w:vAlign w:val="center"/>
          </w:tcPr>
          <w:p w14:paraId="72A23E46" w14:textId="77777777" w:rsidR="00E17A27" w:rsidRPr="00FD510D" w:rsidRDefault="00E17A27" w:rsidP="0056670C">
            <w:pPr>
              <w:jc w:val="left"/>
              <w:rPr>
                <w:rFonts w:eastAsia="Times New Roman" w:cs="Tahoma"/>
                <w:color w:val="000000"/>
                <w:sz w:val="18"/>
                <w:szCs w:val="18"/>
              </w:rPr>
            </w:pPr>
          </w:p>
        </w:tc>
      </w:tr>
      <w:tr w:rsidR="00E17A27" w:rsidRPr="00FD510D" w14:paraId="343BD00D" w14:textId="77777777" w:rsidTr="0056670C">
        <w:trPr>
          <w:trHeight w:val="252"/>
        </w:trPr>
        <w:tc>
          <w:tcPr>
            <w:tcW w:w="0" w:type="auto"/>
          </w:tcPr>
          <w:p w14:paraId="77AF6ED6" w14:textId="77777777" w:rsidR="00E17A27" w:rsidRPr="00FD510D" w:rsidRDefault="00E17A27" w:rsidP="0056670C">
            <w:pPr>
              <w:jc w:val="left"/>
              <w:rPr>
                <w:rFonts w:eastAsia="Times New Roman" w:cs="Tahoma"/>
                <w:b/>
                <w:color w:val="000000"/>
                <w:sz w:val="18"/>
                <w:szCs w:val="18"/>
              </w:rPr>
            </w:pPr>
            <w:r w:rsidRPr="00FD510D">
              <w:rPr>
                <w:rFonts w:eastAsia="Times New Roman" w:cs="Tahoma"/>
                <w:b/>
                <w:color w:val="000000"/>
                <w:sz w:val="18"/>
                <w:szCs w:val="18"/>
              </w:rPr>
              <w:t>Ukupno</w:t>
            </w:r>
          </w:p>
        </w:tc>
        <w:tc>
          <w:tcPr>
            <w:tcW w:w="0" w:type="auto"/>
            <w:gridSpan w:val="3"/>
          </w:tcPr>
          <w:p w14:paraId="203C112A" w14:textId="77777777" w:rsidR="00E17A27" w:rsidRPr="00FD510D" w:rsidRDefault="00E17A27" w:rsidP="0056670C">
            <w:pPr>
              <w:rPr>
                <w:rFonts w:eastAsia="Times New Roman" w:cs="Tahoma"/>
                <w:b/>
                <w:color w:val="000000"/>
                <w:sz w:val="18"/>
                <w:szCs w:val="18"/>
              </w:rPr>
            </w:pPr>
          </w:p>
        </w:tc>
        <w:tc>
          <w:tcPr>
            <w:tcW w:w="0" w:type="auto"/>
          </w:tcPr>
          <w:p w14:paraId="3B6B30D4" w14:textId="77777777" w:rsidR="00E17A27" w:rsidRPr="00FD510D" w:rsidRDefault="00E17A27" w:rsidP="0056670C">
            <w:pPr>
              <w:rPr>
                <w:rFonts w:eastAsia="Times New Roman" w:cs="Tahoma"/>
                <w:b/>
                <w:color w:val="000000"/>
                <w:sz w:val="18"/>
                <w:szCs w:val="18"/>
              </w:rPr>
            </w:pPr>
            <w:r w:rsidRPr="00FD510D">
              <w:rPr>
                <w:rFonts w:eastAsia="Times New Roman" w:cs="Tahoma"/>
                <w:b/>
                <w:color w:val="000000"/>
                <w:sz w:val="18"/>
                <w:szCs w:val="18"/>
              </w:rPr>
              <w:t>1,754</w:t>
            </w:r>
          </w:p>
        </w:tc>
        <w:tc>
          <w:tcPr>
            <w:tcW w:w="0" w:type="auto"/>
          </w:tcPr>
          <w:p w14:paraId="1A3D142D" w14:textId="77777777" w:rsidR="00E17A27" w:rsidRPr="00FD510D" w:rsidRDefault="00E17A27" w:rsidP="0056670C">
            <w:pPr>
              <w:rPr>
                <w:rFonts w:eastAsia="Times New Roman" w:cs="Tahoma"/>
                <w:b/>
                <w:color w:val="000000"/>
                <w:sz w:val="18"/>
                <w:szCs w:val="18"/>
              </w:rPr>
            </w:pPr>
            <w:r w:rsidRPr="00FD510D">
              <w:rPr>
                <w:rFonts w:eastAsia="Times New Roman" w:cs="Tahoma"/>
                <w:b/>
                <w:color w:val="000000"/>
                <w:sz w:val="18"/>
                <w:szCs w:val="18"/>
              </w:rPr>
              <w:t>-</w:t>
            </w:r>
          </w:p>
        </w:tc>
      </w:tr>
      <w:tr w:rsidR="00E17A27" w:rsidRPr="00FD510D" w14:paraId="6DCDC75F" w14:textId="77777777" w:rsidTr="0056670C">
        <w:trPr>
          <w:trHeight w:val="252"/>
        </w:trPr>
        <w:tc>
          <w:tcPr>
            <w:tcW w:w="0" w:type="auto"/>
          </w:tcPr>
          <w:p w14:paraId="75A9440F"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Elektrana na biomasu</w:t>
            </w:r>
          </w:p>
        </w:tc>
        <w:tc>
          <w:tcPr>
            <w:tcW w:w="0" w:type="auto"/>
            <w:vAlign w:val="center"/>
          </w:tcPr>
          <w:p w14:paraId="79A4DC45"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Elektrana na biomasu BE-TO Karlovac*</w:t>
            </w:r>
          </w:p>
        </w:tc>
        <w:tc>
          <w:tcPr>
            <w:tcW w:w="0" w:type="auto"/>
            <w:vAlign w:val="center"/>
          </w:tcPr>
          <w:p w14:paraId="44A347C4"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PCC Biomasa Karlovac d.o.o.</w:t>
            </w:r>
          </w:p>
        </w:tc>
        <w:tc>
          <w:tcPr>
            <w:tcW w:w="0" w:type="auto"/>
            <w:vAlign w:val="center"/>
          </w:tcPr>
          <w:p w14:paraId="4704F80E"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 xml:space="preserve">Karlovac </w:t>
            </w:r>
          </w:p>
        </w:tc>
        <w:tc>
          <w:tcPr>
            <w:tcW w:w="0" w:type="auto"/>
            <w:vAlign w:val="center"/>
          </w:tcPr>
          <w:p w14:paraId="24AD005D"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5</w:t>
            </w:r>
          </w:p>
        </w:tc>
        <w:tc>
          <w:tcPr>
            <w:tcW w:w="0" w:type="auto"/>
            <w:vAlign w:val="center"/>
          </w:tcPr>
          <w:p w14:paraId="1BF3AA02" w14:textId="77777777" w:rsidR="00E17A27" w:rsidRPr="00FD510D" w:rsidRDefault="00E17A27" w:rsidP="0056670C">
            <w:pPr>
              <w:jc w:val="left"/>
              <w:rPr>
                <w:rFonts w:eastAsia="Times New Roman" w:cs="Tahoma"/>
                <w:color w:val="000000"/>
                <w:sz w:val="18"/>
                <w:szCs w:val="18"/>
              </w:rPr>
            </w:pPr>
            <w:r w:rsidRPr="00FD510D">
              <w:rPr>
                <w:rFonts w:eastAsia="Times New Roman" w:cs="Tahoma"/>
                <w:color w:val="000000"/>
                <w:sz w:val="18"/>
                <w:szCs w:val="18"/>
              </w:rPr>
              <w:t>21,4</w:t>
            </w:r>
          </w:p>
        </w:tc>
      </w:tr>
      <w:tr w:rsidR="00E17A27" w:rsidRPr="00FD510D" w14:paraId="59AB47E4" w14:textId="77777777" w:rsidTr="0056670C">
        <w:trPr>
          <w:trHeight w:val="252"/>
        </w:trPr>
        <w:tc>
          <w:tcPr>
            <w:tcW w:w="0" w:type="auto"/>
          </w:tcPr>
          <w:p w14:paraId="0A666DA5" w14:textId="77777777" w:rsidR="00E17A27" w:rsidRPr="00FD510D" w:rsidRDefault="00E17A27" w:rsidP="0056670C">
            <w:pPr>
              <w:jc w:val="left"/>
              <w:rPr>
                <w:rFonts w:eastAsia="Times New Roman" w:cs="Tahoma"/>
                <w:b/>
                <w:color w:val="000000"/>
                <w:sz w:val="18"/>
                <w:szCs w:val="18"/>
              </w:rPr>
            </w:pPr>
            <w:r w:rsidRPr="00FD510D">
              <w:rPr>
                <w:rFonts w:eastAsia="Times New Roman" w:cs="Tahoma"/>
                <w:b/>
                <w:color w:val="000000"/>
                <w:sz w:val="18"/>
                <w:szCs w:val="18"/>
              </w:rPr>
              <w:t>Ukupno</w:t>
            </w:r>
          </w:p>
        </w:tc>
        <w:tc>
          <w:tcPr>
            <w:tcW w:w="0" w:type="auto"/>
            <w:gridSpan w:val="3"/>
          </w:tcPr>
          <w:p w14:paraId="1688F63C" w14:textId="77777777" w:rsidR="00E17A27" w:rsidRPr="00FD510D" w:rsidRDefault="00E17A27" w:rsidP="0056670C">
            <w:pPr>
              <w:rPr>
                <w:rFonts w:eastAsia="Times New Roman" w:cs="Tahoma"/>
                <w:b/>
                <w:color w:val="000000"/>
                <w:sz w:val="18"/>
                <w:szCs w:val="18"/>
              </w:rPr>
            </w:pPr>
          </w:p>
        </w:tc>
        <w:tc>
          <w:tcPr>
            <w:tcW w:w="0" w:type="auto"/>
            <w:vAlign w:val="center"/>
          </w:tcPr>
          <w:p w14:paraId="1F5B247B" w14:textId="77777777" w:rsidR="00E17A27" w:rsidRPr="00FD510D" w:rsidRDefault="00E17A27" w:rsidP="0056670C">
            <w:pPr>
              <w:rPr>
                <w:rFonts w:eastAsia="Times New Roman" w:cs="Tahoma"/>
                <w:b/>
                <w:color w:val="000000"/>
                <w:sz w:val="18"/>
                <w:szCs w:val="18"/>
              </w:rPr>
            </w:pPr>
            <w:r w:rsidRPr="00FD510D">
              <w:rPr>
                <w:rFonts w:eastAsia="Times New Roman" w:cs="Tahoma"/>
                <w:b/>
                <w:color w:val="000000"/>
                <w:sz w:val="18"/>
                <w:szCs w:val="18"/>
              </w:rPr>
              <w:t>5</w:t>
            </w:r>
          </w:p>
        </w:tc>
        <w:tc>
          <w:tcPr>
            <w:tcW w:w="0" w:type="auto"/>
            <w:vAlign w:val="center"/>
          </w:tcPr>
          <w:p w14:paraId="06933D82" w14:textId="77777777" w:rsidR="00E17A27" w:rsidRPr="00FD510D" w:rsidRDefault="00E17A27" w:rsidP="0056670C">
            <w:pPr>
              <w:rPr>
                <w:rFonts w:eastAsia="Times New Roman" w:cs="Tahoma"/>
                <w:b/>
                <w:color w:val="000000"/>
                <w:sz w:val="18"/>
                <w:szCs w:val="18"/>
              </w:rPr>
            </w:pPr>
            <w:r w:rsidRPr="00FD510D">
              <w:rPr>
                <w:rFonts w:eastAsia="Times New Roman" w:cs="Tahoma"/>
                <w:b/>
                <w:color w:val="000000"/>
                <w:sz w:val="18"/>
                <w:szCs w:val="18"/>
              </w:rPr>
              <w:t>21,4</w:t>
            </w:r>
          </w:p>
        </w:tc>
      </w:tr>
    </w:tbl>
    <w:p w14:paraId="1AF1E15A" w14:textId="77777777" w:rsidR="00E17A27" w:rsidRPr="00FD510D" w:rsidRDefault="00E17A27" w:rsidP="00E17A27">
      <w:pPr>
        <w:jc w:val="left"/>
        <w:rPr>
          <w:rFonts w:cs="Tahoma"/>
          <w:color w:val="39617A"/>
          <w:sz w:val="18"/>
          <w:szCs w:val="18"/>
        </w:rPr>
      </w:pPr>
      <w:r w:rsidRPr="00FD510D">
        <w:rPr>
          <w:rFonts w:cs="Tahoma"/>
          <w:color w:val="39617A"/>
          <w:sz w:val="18"/>
          <w:szCs w:val="18"/>
        </w:rPr>
        <w:t>* Nositelji projekata s kojima je HROTE sklopio ugovor o otkupu električne energije a čija postrojenja još nisu puštena u pogon</w:t>
      </w:r>
    </w:p>
    <w:p w14:paraId="4C5F0646" w14:textId="77777777" w:rsidR="00E17A27" w:rsidRPr="00FD510D" w:rsidRDefault="00E17A27" w:rsidP="00E17A27">
      <w:pPr>
        <w:jc w:val="left"/>
        <w:rPr>
          <w:rFonts w:cs="Tahoma"/>
          <w:color w:val="39617A"/>
          <w:sz w:val="18"/>
          <w:szCs w:val="18"/>
        </w:rPr>
      </w:pPr>
      <w:r w:rsidRPr="00FD510D">
        <w:rPr>
          <w:rFonts w:cs="Tahoma"/>
          <w:color w:val="39617A"/>
          <w:sz w:val="18"/>
          <w:szCs w:val="18"/>
        </w:rPr>
        <w:t>Izvor: HROTE, Sustav poticanja OIEIK  u RH (2018.)</w:t>
      </w:r>
    </w:p>
    <w:p w14:paraId="0E9606E9" w14:textId="77777777" w:rsidR="0037664C" w:rsidRDefault="0037664C" w:rsidP="0037664C"/>
    <w:p w14:paraId="745341E5" w14:textId="0297C534" w:rsidR="0037664C" w:rsidRPr="0037664C" w:rsidRDefault="0037664C" w:rsidP="0037664C">
      <w:pPr>
        <w:pStyle w:val="Heading3"/>
      </w:pPr>
      <w:bookmarkStart w:id="79" w:name="_Toc437390590"/>
      <w:r>
        <w:t>Mobilnost i povezanost</w:t>
      </w:r>
      <w:bookmarkEnd w:id="79"/>
    </w:p>
    <w:p w14:paraId="5D0E6F23" w14:textId="77777777" w:rsidR="00F265F4" w:rsidRPr="00B5111B" w:rsidRDefault="00F265F4" w:rsidP="00B5111B">
      <w:pPr>
        <w:pStyle w:val="Heading4"/>
      </w:pPr>
      <w:r w:rsidRPr="00B5111B">
        <w:t>Cestovni promet</w:t>
      </w:r>
    </w:p>
    <w:p w14:paraId="2B281CC5" w14:textId="41AE509E" w:rsidR="00F265F4" w:rsidRPr="00B5111B" w:rsidRDefault="00F265F4" w:rsidP="00F265F4">
      <w:r w:rsidRPr="00B5111B">
        <w:t>Velik</w:t>
      </w:r>
      <w:r w:rsidR="005E4858">
        <w:t>i</w:t>
      </w:r>
      <w:r w:rsidRPr="00B5111B">
        <w:t xml:space="preserve"> značaj za cijelo urbano područje nosi izuzetan geoprometni položaj grada Karlovca koji istovremeno povezuje Podunavski, Alpski i Primorski bazen te omogućava prometno povezivanje Srednje Europe s jadranskih lukama. Konkretno, čitavo se karlovačko područje nalazi na trasi paneuropskog koridora RH2 (Budimpešta–Zagreb–Rijeka), a ujedno ovdje prolaze i europski cestovni pravci E65 i E71. Ključne prometnice čine </w:t>
      </w:r>
      <w:r w:rsidRPr="00B5111B">
        <w:rPr>
          <w:b/>
        </w:rPr>
        <w:t>autoceste A1</w:t>
      </w:r>
      <w:r w:rsidRPr="00B5111B">
        <w:t xml:space="preserve"> </w:t>
      </w:r>
      <w:r w:rsidRPr="00B5111B">
        <w:rPr>
          <w:b/>
        </w:rPr>
        <w:t>(Zagreb – Split – Dubrovnik)</w:t>
      </w:r>
      <w:r w:rsidR="00B5111B">
        <w:rPr>
          <w:b/>
        </w:rPr>
        <w:t xml:space="preserve"> </w:t>
      </w:r>
      <w:r w:rsidR="000D26DC">
        <w:rPr>
          <w:b/>
        </w:rPr>
        <w:t>te državne ceste</w:t>
      </w:r>
      <w:r w:rsidRPr="00B5111B">
        <w:rPr>
          <w:b/>
        </w:rPr>
        <w:t xml:space="preserve"> D1 (GP Macelj / Slovenija - Split) i D3 kojim se ostvaruje veza kontinentalnog i primorskoga dijela Hrvatske (GP Goričan / Mađarska - Rijeka</w:t>
      </w:r>
      <w:r w:rsidRPr="00B5111B">
        <w:t xml:space="preserve">). Potrebno je također napomenuti kako se karlovačko područje nalazi u najužem dijelu Hrvatske te omogućuje najkraću vezu između </w:t>
      </w:r>
      <w:r w:rsidR="000D26DC">
        <w:t>Republike</w:t>
      </w:r>
      <w:r w:rsidRPr="00B5111B">
        <w:t xml:space="preserve"> Slovenije i </w:t>
      </w:r>
      <w:r w:rsidR="00B5111B">
        <w:t>Bosne i Hercegovine</w:t>
      </w:r>
      <w:r w:rsidRPr="00B5111B">
        <w:t xml:space="preserve">. </w:t>
      </w:r>
    </w:p>
    <w:p w14:paraId="3CE47407" w14:textId="57CD3FC3" w:rsidR="00F265F4" w:rsidRPr="00B5111B" w:rsidRDefault="00F265F4" w:rsidP="00B5111B">
      <w:r w:rsidRPr="00B5111B">
        <w:t>Na dugoreškom području ne prolazi autocesta</w:t>
      </w:r>
      <w:r w:rsidR="005E4858">
        <w:t>,</w:t>
      </w:r>
      <w:r w:rsidRPr="00B5111B">
        <w:t xml:space="preserve"> ali su za njenu prometnu povezanost relevantne državne ceste D3 Zagreb – Rijeka i D23 Karlovac – Senj u duljini od 19 km. S druge strane, najbliži pristup na autocestu A1 nalazi se u Karlovcu na udaljenosti od 11 km. Nešto nepovoljnija situacija prisutna je na području Grada Ozlja koji se ne nalazi na glavnim državnim i međunarodnim prometnim koridorima. Međutim, kao i Duga Resa, </w:t>
      </w:r>
      <w:r w:rsidR="005E4858">
        <w:t xml:space="preserve">gradsko </w:t>
      </w:r>
      <w:r w:rsidRPr="00B5111B">
        <w:t xml:space="preserve">naselje Ozalj nalazi se svega 17, 5 km od Karlovca </w:t>
      </w:r>
      <w:r w:rsidR="00205229">
        <w:t>kojim</w:t>
      </w:r>
      <w:r w:rsidRPr="00B5111B">
        <w:t xml:space="preserve"> prolazi međunarodni prometni koridor RH2. </w:t>
      </w:r>
    </w:p>
    <w:p w14:paraId="5543755E" w14:textId="7813EE55" w:rsidR="00F265F4" w:rsidRPr="000D26DC" w:rsidRDefault="00F265F4" w:rsidP="00F265F4">
      <w:r w:rsidRPr="00B5111B">
        <w:lastRenderedPageBreak/>
        <w:t>Putovanje automobilom od gradova urbanog područja do Karlovca traje u prosjeku 20-ak minuta, a od Karlo</w:t>
      </w:r>
      <w:r w:rsidR="000D26DC">
        <w:t xml:space="preserve">vca do glavnog grada </w:t>
      </w:r>
      <w:r w:rsidR="005E4858">
        <w:t xml:space="preserve">RH </w:t>
      </w:r>
      <w:r w:rsidR="000D26DC">
        <w:t>45 minuta.</w:t>
      </w:r>
    </w:p>
    <w:p w14:paraId="17FA7B7B" w14:textId="77777777" w:rsidR="00F265F4" w:rsidRPr="00FD510D" w:rsidRDefault="00F265F4" w:rsidP="00F265F4">
      <w:pPr>
        <w:pStyle w:val="Caption"/>
      </w:pPr>
      <w:bookmarkStart w:id="80" w:name="_Toc420581480"/>
      <w:bookmarkStart w:id="81" w:name="_Toc437387507"/>
      <w:r w:rsidRPr="00FD510D">
        <w:t xml:space="preserve">Tablica </w:t>
      </w:r>
      <w:r>
        <w:fldChar w:fldCharType="begin"/>
      </w:r>
      <w:r>
        <w:instrText xml:space="preserve"> SEQ Tablica \* ARABIC </w:instrText>
      </w:r>
      <w:r>
        <w:fldChar w:fldCharType="separate"/>
      </w:r>
      <w:r w:rsidR="001358A9">
        <w:rPr>
          <w:noProof/>
        </w:rPr>
        <w:t>34</w:t>
      </w:r>
      <w:r>
        <w:rPr>
          <w:noProof/>
        </w:rPr>
        <w:fldChar w:fldCharType="end"/>
      </w:r>
      <w:r w:rsidRPr="00FD510D">
        <w:t>. Podaci o vremenu putovanja od Karlovca do bližih gradova</w:t>
      </w:r>
      <w:bookmarkEnd w:id="80"/>
      <w:bookmarkEnd w:id="81"/>
    </w:p>
    <w:tbl>
      <w:tblPr>
        <w:tblW w:w="30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2"/>
        <w:gridCol w:w="2832"/>
      </w:tblGrid>
      <w:tr w:rsidR="00F265F4" w:rsidRPr="00FD510D" w14:paraId="4099F501" w14:textId="77777777" w:rsidTr="00B5111B">
        <w:trPr>
          <w:trHeight w:val="217"/>
          <w:tblHeader/>
        </w:trPr>
        <w:tc>
          <w:tcPr>
            <w:tcW w:w="2500" w:type="pct"/>
            <w:shd w:val="clear" w:color="auto" w:fill="39617A"/>
          </w:tcPr>
          <w:p w14:paraId="7F5FD979" w14:textId="77777777" w:rsidR="00F265F4" w:rsidRPr="00FD510D" w:rsidRDefault="00F265F4" w:rsidP="00B5111B">
            <w:pPr>
              <w:jc w:val="center"/>
              <w:rPr>
                <w:rFonts w:cs="Tahoma"/>
                <w:bCs/>
                <w:color w:val="FFFFFF" w:themeColor="background1"/>
                <w:sz w:val="18"/>
                <w:szCs w:val="18"/>
              </w:rPr>
            </w:pPr>
            <w:r w:rsidRPr="00FD510D">
              <w:rPr>
                <w:rFonts w:cs="Tahoma"/>
                <w:bCs/>
                <w:color w:val="FFFFFF" w:themeColor="background1"/>
                <w:sz w:val="18"/>
                <w:szCs w:val="18"/>
              </w:rPr>
              <w:t>Grad</w:t>
            </w:r>
          </w:p>
        </w:tc>
        <w:tc>
          <w:tcPr>
            <w:tcW w:w="2500" w:type="pct"/>
            <w:shd w:val="clear" w:color="auto" w:fill="39617A"/>
          </w:tcPr>
          <w:p w14:paraId="1B26F537" w14:textId="77777777" w:rsidR="00F265F4" w:rsidRPr="00FD510D" w:rsidRDefault="00F265F4" w:rsidP="00B5111B">
            <w:pPr>
              <w:jc w:val="center"/>
              <w:rPr>
                <w:rFonts w:cs="Tahoma"/>
                <w:bCs/>
                <w:color w:val="FFFFFF" w:themeColor="background1"/>
                <w:sz w:val="18"/>
                <w:szCs w:val="18"/>
              </w:rPr>
            </w:pPr>
            <w:r w:rsidRPr="00FD510D">
              <w:rPr>
                <w:rFonts w:cs="Tahoma"/>
                <w:bCs/>
                <w:color w:val="FFFFFF" w:themeColor="background1"/>
                <w:sz w:val="18"/>
                <w:szCs w:val="18"/>
              </w:rPr>
              <w:t>Vrijeme putovanja</w:t>
            </w:r>
          </w:p>
        </w:tc>
      </w:tr>
      <w:tr w:rsidR="00F265F4" w:rsidRPr="00FD510D" w14:paraId="212C06DB" w14:textId="77777777" w:rsidTr="00B5111B">
        <w:trPr>
          <w:trHeight w:val="252"/>
        </w:trPr>
        <w:tc>
          <w:tcPr>
            <w:tcW w:w="2500" w:type="pct"/>
          </w:tcPr>
          <w:p w14:paraId="6D58FFC7"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Ozalj</w:t>
            </w:r>
          </w:p>
        </w:tc>
        <w:tc>
          <w:tcPr>
            <w:tcW w:w="2500" w:type="pct"/>
            <w:vAlign w:val="center"/>
          </w:tcPr>
          <w:p w14:paraId="0A595C06"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20 minuta</w:t>
            </w:r>
          </w:p>
        </w:tc>
      </w:tr>
      <w:tr w:rsidR="00F265F4" w:rsidRPr="00FD510D" w14:paraId="1EB19B21" w14:textId="77777777" w:rsidTr="00B5111B">
        <w:trPr>
          <w:trHeight w:val="252"/>
        </w:trPr>
        <w:tc>
          <w:tcPr>
            <w:tcW w:w="2500" w:type="pct"/>
          </w:tcPr>
          <w:p w14:paraId="310FCDA3"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Duga Resa</w:t>
            </w:r>
          </w:p>
        </w:tc>
        <w:tc>
          <w:tcPr>
            <w:tcW w:w="2500" w:type="pct"/>
            <w:vAlign w:val="center"/>
          </w:tcPr>
          <w:p w14:paraId="4650A408"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17 minuta</w:t>
            </w:r>
          </w:p>
        </w:tc>
      </w:tr>
      <w:tr w:rsidR="00F265F4" w:rsidRPr="00FD510D" w14:paraId="2F4C1820" w14:textId="77777777" w:rsidTr="00B5111B">
        <w:trPr>
          <w:trHeight w:val="252"/>
        </w:trPr>
        <w:tc>
          <w:tcPr>
            <w:tcW w:w="2500" w:type="pct"/>
          </w:tcPr>
          <w:p w14:paraId="1E98FAC3"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Zagreb</w:t>
            </w:r>
          </w:p>
        </w:tc>
        <w:tc>
          <w:tcPr>
            <w:tcW w:w="2500" w:type="pct"/>
            <w:vAlign w:val="center"/>
          </w:tcPr>
          <w:p w14:paraId="6DD8C009"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45 minuta</w:t>
            </w:r>
          </w:p>
        </w:tc>
      </w:tr>
      <w:tr w:rsidR="00F265F4" w:rsidRPr="00FD510D" w14:paraId="14340935" w14:textId="77777777" w:rsidTr="00B5111B">
        <w:trPr>
          <w:trHeight w:val="252"/>
        </w:trPr>
        <w:tc>
          <w:tcPr>
            <w:tcW w:w="2500" w:type="pct"/>
          </w:tcPr>
          <w:p w14:paraId="15464B09"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Rijeka</w:t>
            </w:r>
          </w:p>
        </w:tc>
        <w:tc>
          <w:tcPr>
            <w:tcW w:w="2500" w:type="pct"/>
            <w:vAlign w:val="center"/>
          </w:tcPr>
          <w:p w14:paraId="44B94FB7"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80 minuta</w:t>
            </w:r>
          </w:p>
        </w:tc>
      </w:tr>
      <w:tr w:rsidR="00F265F4" w:rsidRPr="00FD510D" w14:paraId="67C19530" w14:textId="77777777" w:rsidTr="00B5111B">
        <w:trPr>
          <w:trHeight w:val="252"/>
        </w:trPr>
        <w:tc>
          <w:tcPr>
            <w:tcW w:w="2500" w:type="pct"/>
          </w:tcPr>
          <w:p w14:paraId="2B51F50C"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Ogulin</w:t>
            </w:r>
          </w:p>
        </w:tc>
        <w:tc>
          <w:tcPr>
            <w:tcW w:w="2500" w:type="pct"/>
            <w:vAlign w:val="center"/>
          </w:tcPr>
          <w:p w14:paraId="02328915"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40 minuta</w:t>
            </w:r>
          </w:p>
        </w:tc>
      </w:tr>
      <w:tr w:rsidR="00F265F4" w:rsidRPr="00FD510D" w14:paraId="2FB49A4C" w14:textId="77777777" w:rsidTr="00B5111B">
        <w:trPr>
          <w:trHeight w:val="252"/>
        </w:trPr>
        <w:tc>
          <w:tcPr>
            <w:tcW w:w="2500" w:type="pct"/>
          </w:tcPr>
          <w:p w14:paraId="088532E0"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Sisak</w:t>
            </w:r>
          </w:p>
        </w:tc>
        <w:tc>
          <w:tcPr>
            <w:tcW w:w="2500" w:type="pct"/>
            <w:vAlign w:val="center"/>
          </w:tcPr>
          <w:p w14:paraId="78FD7D15"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73 minute</w:t>
            </w:r>
          </w:p>
        </w:tc>
      </w:tr>
      <w:tr w:rsidR="00F265F4" w:rsidRPr="00FD510D" w14:paraId="02755CCA" w14:textId="77777777" w:rsidTr="00B5111B">
        <w:trPr>
          <w:trHeight w:val="252"/>
        </w:trPr>
        <w:tc>
          <w:tcPr>
            <w:tcW w:w="2500" w:type="pct"/>
          </w:tcPr>
          <w:p w14:paraId="3E901F44"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Metlika (SLO)</w:t>
            </w:r>
          </w:p>
        </w:tc>
        <w:tc>
          <w:tcPr>
            <w:tcW w:w="2500" w:type="pct"/>
            <w:vAlign w:val="center"/>
          </w:tcPr>
          <w:p w14:paraId="3A0C3C62" w14:textId="77777777" w:rsidR="00F265F4" w:rsidRPr="00FD510D" w:rsidRDefault="00F265F4" w:rsidP="00B5111B">
            <w:pPr>
              <w:jc w:val="left"/>
              <w:rPr>
                <w:rFonts w:eastAsia="Times New Roman" w:cs="Tahoma"/>
                <w:color w:val="000000"/>
                <w:sz w:val="18"/>
                <w:szCs w:val="18"/>
              </w:rPr>
            </w:pPr>
            <w:r w:rsidRPr="00FD510D">
              <w:rPr>
                <w:rFonts w:eastAsia="Times New Roman" w:cs="Tahoma"/>
                <w:color w:val="000000"/>
                <w:sz w:val="18"/>
                <w:szCs w:val="18"/>
              </w:rPr>
              <w:t>40 minuta</w:t>
            </w:r>
          </w:p>
        </w:tc>
      </w:tr>
    </w:tbl>
    <w:p w14:paraId="6B75550C" w14:textId="77777777" w:rsidR="00F265F4" w:rsidRPr="00FD510D" w:rsidRDefault="00F265F4" w:rsidP="00F265F4">
      <w:pPr>
        <w:jc w:val="left"/>
        <w:rPr>
          <w:rFonts w:cs="Tahoma"/>
          <w:color w:val="39617A"/>
          <w:sz w:val="18"/>
          <w:szCs w:val="18"/>
        </w:rPr>
      </w:pPr>
      <w:r w:rsidRPr="00FD510D">
        <w:rPr>
          <w:rFonts w:cs="Tahoma"/>
          <w:color w:val="39617A"/>
          <w:sz w:val="18"/>
          <w:szCs w:val="18"/>
        </w:rPr>
        <w:t>Izvor: Google Maps (https://www.google.hr/maps)</w:t>
      </w:r>
    </w:p>
    <w:p w14:paraId="0F4C98E3" w14:textId="4AD7D71A" w:rsidR="00F265F4" w:rsidRPr="000D26DC" w:rsidRDefault="001518B0" w:rsidP="000D26DC">
      <w:r w:rsidRPr="00E8302E">
        <w:t xml:space="preserve">Što se tiče </w:t>
      </w:r>
      <w:r w:rsidRPr="00DD44FE">
        <w:rPr>
          <w:b/>
        </w:rPr>
        <w:t>sigurnosti cestovnog prometa</w:t>
      </w:r>
      <w:r w:rsidRPr="00E8302E">
        <w:t>, prema podacima DZS, u razdoblju 2013. do 2018</w:t>
      </w:r>
      <w:r w:rsidR="005E4858">
        <w:t>.</w:t>
      </w:r>
      <w:r w:rsidRPr="00E8302E">
        <w:t xml:space="preserve">, broj prometnih nesreća na području Karlovačke županije je u konstantnom padu, kao i broj ozljeđenih odnosno poginulih osoba. U 2018. </w:t>
      </w:r>
      <w:r w:rsidR="005E4858">
        <w:t>godini,</w:t>
      </w:r>
      <w:r w:rsidRPr="00E8302E">
        <w:t xml:space="preserve"> na cestama KŽ poginulo je 12 osoba, a ozljeđenih je bilo 347. Ukupan broj nesreća u 2018. </w:t>
      </w:r>
      <w:r w:rsidR="00E8302E" w:rsidRPr="00E8302E">
        <w:t>godini</w:t>
      </w:r>
      <w:r w:rsidRPr="00E8302E">
        <w:t xml:space="preserve"> bio</w:t>
      </w:r>
      <w:r w:rsidR="00E8302E" w:rsidRPr="00E8302E">
        <w:t xml:space="preserve"> je 359, što čini 3% prometnih nesreća na razini cijele RH. </w:t>
      </w:r>
      <w:r w:rsidRPr="00E8302E">
        <w:t xml:space="preserve"> </w:t>
      </w:r>
    </w:p>
    <w:p w14:paraId="0891F9AF" w14:textId="3A4609FE" w:rsidR="00F265F4" w:rsidRPr="000D26DC" w:rsidRDefault="00156B52" w:rsidP="000D26DC">
      <w:pPr>
        <w:pStyle w:val="Heading4"/>
      </w:pPr>
      <w:r>
        <w:t>Drugi vidovi</w:t>
      </w:r>
      <w:r w:rsidR="00F265F4" w:rsidRPr="000D26DC">
        <w:t xml:space="preserve"> promet</w:t>
      </w:r>
      <w:r>
        <w:t>a</w:t>
      </w:r>
    </w:p>
    <w:p w14:paraId="63247169" w14:textId="178C463B" w:rsidR="00F265F4" w:rsidRPr="000D26DC" w:rsidRDefault="000D26DC" w:rsidP="000D26DC">
      <w:r>
        <w:t>Povoljan</w:t>
      </w:r>
      <w:r w:rsidR="00F265F4" w:rsidRPr="000D26DC">
        <w:t xml:space="preserve"> geoprometni položaj odnosi se i na željeznički promet</w:t>
      </w:r>
      <w:r>
        <w:t xml:space="preserve"> – na području VUPKA</w:t>
      </w:r>
      <w:r w:rsidR="00F265F4" w:rsidRPr="000D26DC">
        <w:t xml:space="preserve"> </w:t>
      </w:r>
      <w:r>
        <w:t>postoje</w:t>
      </w:r>
      <w:r w:rsidR="00F265F4" w:rsidRPr="000D26DC">
        <w:t xml:space="preserve"> 2 željezničke pruge od kojih je, sukladno Odluci o razvrstavanju željezničkih pruga (NN 60/14 i 72/17), 1 od značaja za međunarodni promet: M202 Zagreb GK – Karlovac – Rijeka koja se ujedno nalazi na Mediteranskom željezničkom TEN-T koridoru (RH2), dok je pruga L103 Karlovac – Ozalj – Kamanje – Državna granica – (Metlika) željeznička pruga od značaja za lokalni promet. </w:t>
      </w:r>
    </w:p>
    <w:p w14:paraId="6A31FCE2" w14:textId="3BD88C8B" w:rsidR="00F265F4" w:rsidRPr="00156B52" w:rsidRDefault="000D26DC" w:rsidP="00F265F4">
      <w:r>
        <w:t xml:space="preserve">Unatoč postojanju željezničkih pravaca, </w:t>
      </w:r>
      <w:r w:rsidRPr="00156B52">
        <w:rPr>
          <w:b/>
        </w:rPr>
        <w:t>željeznički je promet na području VUPKA, kao i na razini cijele RH, izrazito neučinkovit i nedovoljno korišten</w:t>
      </w:r>
      <w:r>
        <w:t xml:space="preserve"> usl</w:t>
      </w:r>
      <w:r w:rsidR="00192EA4">
        <w:t>i</w:t>
      </w:r>
      <w:r>
        <w:t xml:space="preserve">jed lošeg upravljanja i nedostatka investicija u zadnjih 30-ak godina. </w:t>
      </w:r>
      <w:r w:rsidR="00F265F4" w:rsidRPr="000D26DC">
        <w:t xml:space="preserve">Načelno se može utvrditi </w:t>
      </w:r>
      <w:r>
        <w:t>da</w:t>
      </w:r>
      <w:r w:rsidR="00F265F4" w:rsidRPr="000D26DC">
        <w:t xml:space="preserve"> je željeznička mreža na niskoj tehničkoj razini kapaciteta te je </w:t>
      </w:r>
      <w:r>
        <w:t>potrebno</w:t>
      </w:r>
      <w:r w:rsidR="00F265F4" w:rsidRPr="000D26DC">
        <w:t xml:space="preserve"> njezino uređenje na način koji bi garantira</w:t>
      </w:r>
      <w:r>
        <w:t>o uključenost u europske tokove i povećanje prometovanja željeznicom kao efikasnije i za okoliš prihvatljivije alternative cestovnom prijevozu.</w:t>
      </w:r>
    </w:p>
    <w:p w14:paraId="3C864233" w14:textId="3068BE7C" w:rsidR="00F265F4" w:rsidRPr="00156B52" w:rsidRDefault="00F265F4" w:rsidP="00156B52">
      <w:r w:rsidRPr="00156B52">
        <w:t xml:space="preserve">Sustav  </w:t>
      </w:r>
      <w:r w:rsidRPr="00156B52">
        <w:rPr>
          <w:b/>
        </w:rPr>
        <w:t>zračnog  prometa</w:t>
      </w:r>
      <w:r w:rsidRPr="00156B52">
        <w:t xml:space="preserve">  na  urbanom području  ne  postoji, a domaći i međunarodni zračni promet odvija se kroz Međunarodnu zračnu luku Zagreb – "Franjo Tuđman" koja je od Karlovca udaljena 62 km. Iako na području Županije ne postoje odgovarajuće građevine za zračni promet, županijskim je Prostornim  planom planirana zračna luka Karlovac.</w:t>
      </w:r>
    </w:p>
    <w:p w14:paraId="17EB418C" w14:textId="349146C1" w:rsidR="00F265F4" w:rsidRPr="00156B52" w:rsidRDefault="00156B52" w:rsidP="00156B52">
      <w:r>
        <w:t>N</w:t>
      </w:r>
      <w:r w:rsidR="00F265F4" w:rsidRPr="00156B52">
        <w:t xml:space="preserve">a urbanom području </w:t>
      </w:r>
      <w:r>
        <w:t xml:space="preserve">također </w:t>
      </w:r>
      <w:r w:rsidR="00F265F4" w:rsidRPr="00156B52">
        <w:t xml:space="preserve">ne postoji </w:t>
      </w:r>
      <w:r w:rsidR="00F265F4" w:rsidRPr="00156B52">
        <w:rPr>
          <w:b/>
        </w:rPr>
        <w:t>sustav riječnog prometa</w:t>
      </w:r>
      <w:r w:rsidR="00F265F4" w:rsidRPr="00156B52">
        <w:t>,</w:t>
      </w:r>
      <w:r w:rsidR="00192EA4">
        <w:t xml:space="preserve"> </w:t>
      </w:r>
      <w:r>
        <w:t>ali je</w:t>
      </w:r>
      <w:r w:rsidR="00F265F4" w:rsidRPr="00156B52">
        <w:t xml:space="preserve"> isti planiran u vidu državnog plovnog puta II. klase rijekom Kupom kojim bi se povezali Karlovac i naselje Šišljavić. Riječna luka planirana je na poziciji Banijskog mosta u naselju Karlovac, a planom </w:t>
      </w:r>
      <w:r w:rsidR="005E4858">
        <w:t>se također</w:t>
      </w:r>
      <w:r w:rsidR="00F265F4" w:rsidRPr="00156B52">
        <w:t xml:space="preserve"> predviđa također i izgradnja pristaništa na rijekama na urbanom području u svrhu jačanja turističke konkurentnosti destinacije. U navedenom slučaju, ova pristaništa bi uključivala isključivo građevine namijenjene za pristajanje plovila te ukrcaj i iskrcaj posjetitelja.</w:t>
      </w:r>
    </w:p>
    <w:p w14:paraId="35F98574" w14:textId="0129506F" w:rsidR="00156B52" w:rsidRPr="00156B52" w:rsidRDefault="00156B52" w:rsidP="00156B52">
      <w:pPr>
        <w:pStyle w:val="Heading4"/>
      </w:pPr>
      <w:r w:rsidRPr="00156B52">
        <w:t>Urbani prijevoz</w:t>
      </w:r>
    </w:p>
    <w:p w14:paraId="41D14FF9" w14:textId="63F69E70" w:rsidR="00156B52" w:rsidRPr="00156B52" w:rsidRDefault="00156B52" w:rsidP="00156B52">
      <w:r w:rsidRPr="00156B52">
        <w:t>Na</w:t>
      </w:r>
      <w:r w:rsidR="005E4858">
        <w:t xml:space="preserve"> Većem</w:t>
      </w:r>
      <w:r w:rsidRPr="00156B52">
        <w:t xml:space="preserve"> urbanom području</w:t>
      </w:r>
      <w:r w:rsidR="005E4858">
        <w:t xml:space="preserve"> Karlovac</w:t>
      </w:r>
      <w:r w:rsidRPr="00156B52">
        <w:t xml:space="preserve"> javni gradski autobusni promet odvija se putem gradskih i međugradskih linija međutim samo se na području Grada Karlovca pružaju usluge lokalnog linijskog prijevoza putnika dok su Ozalj i Duga Resa povezani međugradskim linijama. Autobusnim javnim </w:t>
      </w:r>
      <w:r w:rsidRPr="00156B52">
        <w:lastRenderedPageBreak/>
        <w:t>prijevozom putnika na urbanom području upravlja Autotransport Karlovac d.d. koji je s najviše registriranih linija ujedno i najzastupljeniji prijevoznik na području čitave Županije (47,01%). Trenutno se javni autobusni promet odvija u 4 pravca (Švarča, Turanj, Banija i Dubovac)</w:t>
      </w:r>
      <w:r w:rsidR="005E4858">
        <w:t>,</w:t>
      </w:r>
      <w:r w:rsidRPr="00156B52">
        <w:t xml:space="preserve"> što uključuje i veze s okolnim prigradskim naseljima te gradovima Dugom Resom i Ozljem. Polazne stanice javnog prijevoza su: autobusni kolodvor, tržnica i Korzo. Na navedenim linijama van vršnih sati autobusi prometuju rijetko</w:t>
      </w:r>
      <w:r w:rsidR="005E4858">
        <w:t>, što ograničava prometnu ponudu</w:t>
      </w:r>
      <w:r w:rsidRPr="00156B52">
        <w:t xml:space="preserve"> te putnici u tom slučaju najčešće koriste osobno vozila za potrebe prijevoza. U tom smislu</w:t>
      </w:r>
      <w:r w:rsidR="005E4858">
        <w:t>,</w:t>
      </w:r>
      <w:r w:rsidRPr="00156B52">
        <w:t xml:space="preserve"> Studijom prometnog razvoja Karlovačke županije predlaže se izrada novog voznog reda koji bi bio u skladu s potražnjom te potencijalno usklađen s postojećim željezničkim prijevozom</w:t>
      </w:r>
      <w:r w:rsidR="005E4858">
        <w:t>,</w:t>
      </w:r>
      <w:r w:rsidRPr="00156B52">
        <w:t xml:space="preserve"> kako bi se dodatno unaprijedila mreža javnog</w:t>
      </w:r>
      <w:r>
        <w:t xml:space="preserve"> prijevoza na urbanom području.</w:t>
      </w:r>
    </w:p>
    <w:p w14:paraId="205FF1B7" w14:textId="4F974DEB" w:rsidR="00156B52" w:rsidRPr="00156B52" w:rsidRDefault="00156B52" w:rsidP="00156B52">
      <w:r w:rsidRPr="00156B52">
        <w:t>U tehničkom smislu</w:t>
      </w:r>
      <w:r w:rsidR="005E4858">
        <w:t>,</w:t>
      </w:r>
      <w:r w:rsidRPr="00156B52">
        <w:t xml:space="preserve"> određen broj stajališta javnog prijevoza nije odgovarajuće opremljen te su potrebna daljnja ulaganja kako bi sva stajališta imala zadovoljavajuću razinu opremljenosti (npr. izvatke voznih redova, odgovarajuću horizontalnu i vertikalnu signalizaciju i sl.). Isto tako, relativno malen</w:t>
      </w:r>
      <w:r w:rsidR="005E4858">
        <w:t>i</w:t>
      </w:r>
      <w:r w:rsidRPr="00156B52">
        <w:t xml:space="preserve"> broj stajališta zadovoljava zahtjeve potrebne za razvoj kvalitetnog sustava integriranog prijevoza putnika</w:t>
      </w:r>
      <w:r w:rsidR="00205229">
        <w:t xml:space="preserve"> i primjenu pametnih sustava u prometu</w:t>
      </w:r>
      <w:r w:rsidRPr="00156B52">
        <w:t>. Iako većina stajališta ima uređena ugibališta za vozila, vrlo je slaba povezanost nogostupima te još manja biciklističkim stazama (na razini Županije radi se 26% odnosno 13% slučajeva koji zadovoljavaju ove uvjete). U malom su broju slučaja u blizini stajališta uređena i parkirna mjesta za bicikle te za osobna vozila</w:t>
      </w:r>
      <w:r w:rsidR="00205229">
        <w:t>, a prisutan je i generalni problem nedostatka javnih garaža i parkirališta</w:t>
      </w:r>
      <w:r w:rsidRPr="00156B52">
        <w:t xml:space="preserve"> te su u tom smislu potrebna daljnja ulaganja kako bi se dodatno olakšao prijelaz s osobnog prijevoznog sredstva na javno i time unaprijedio sustav integriranog prijevoza putnika.</w:t>
      </w:r>
      <w:r>
        <w:t xml:space="preserve"> Također je potrebno unaprijediti sustave </w:t>
      </w:r>
      <w:r w:rsidRPr="00156B52">
        <w:t xml:space="preserve">intermodalnih oblika prometa </w:t>
      </w:r>
      <w:r>
        <w:t xml:space="preserve">za koje načelno postoji </w:t>
      </w:r>
      <w:r w:rsidRPr="00156B52">
        <w:t>infrastruktura koja omogućava prometnu povezanost između gradova s 2 prijevozna moda (željeznički prijevoz i autobusni prijevoz)</w:t>
      </w:r>
      <w:r>
        <w:t>.</w:t>
      </w:r>
      <w:r w:rsidRPr="00156B52">
        <w:t xml:space="preserve"> </w:t>
      </w:r>
    </w:p>
    <w:p w14:paraId="373E4FE8" w14:textId="77777777" w:rsidR="00F265F4" w:rsidRPr="00156B52" w:rsidRDefault="00F265F4" w:rsidP="00156B52"/>
    <w:p w14:paraId="6C8C4C06" w14:textId="09E7D665" w:rsidR="00F265F4" w:rsidRPr="00156B52" w:rsidRDefault="00156B52" w:rsidP="00156B52">
      <w:pPr>
        <w:pStyle w:val="Heading4"/>
      </w:pPr>
      <w:r>
        <w:t>Širokopojasna infrastruktura</w:t>
      </w:r>
    </w:p>
    <w:p w14:paraId="7E5100CC" w14:textId="09B30BBE" w:rsidR="00F265F4" w:rsidRPr="00156B52" w:rsidRDefault="00F265F4" w:rsidP="00156B52">
      <w:r w:rsidRPr="00156B52">
        <w:t xml:space="preserve">Na području Karlovačke županije nalazi se ukupno 138 baznih postaja </w:t>
      </w:r>
      <w:r w:rsidR="005E4858">
        <w:t>koje uključuju</w:t>
      </w:r>
      <w:r w:rsidRPr="00156B52">
        <w:t xml:space="preserve"> antenske stupove u vlasništvu operatera javnih komunikacijskih mreža pokretnih komunikacija, antenske stupove ostalih infrastrukturnih operatera, antenske prihvate na postojećim objektima te unutarnje antenske sustave. Međutim, iako stanovništvo na razini Županije ostvaruje visok stupanj pokrivenosti osnovnim nepokretnim pristupom, penetracija nepokretnog širokopojasnog pristupa krajem 2017. godine iznosila je svega 19,8%</w:t>
      </w:r>
      <w:r w:rsidR="005E4858">
        <w:t>,</w:t>
      </w:r>
      <w:r w:rsidRPr="00156B52">
        <w:t xml:space="preserve"> dok je nacionalni prosjek u istom razdoblju iznosio 25,6%. U cilju jačanja širokopojasne mreže pristupa</w:t>
      </w:r>
      <w:r w:rsidR="005E4858">
        <w:t>,</w:t>
      </w:r>
      <w:r w:rsidRPr="00156B52">
        <w:t xml:space="preserve"> Karlovačka županija pokrenula je Projekt razvoja infrastrukture širokopojasnog pristupa na području više gradova i općina uključujući i gradove urbanog područja – Dugu Resu te Ozalj. Ovim se projektom planira implementacija nepokretne pristupne elektroničke komunikacijske mreže sljedeće generacije (NGA) </w:t>
      </w:r>
      <w:r w:rsidR="005E4858">
        <w:t>kojom se nastoje osigurati preduvjeti</w:t>
      </w:r>
      <w:r w:rsidRPr="00156B52">
        <w:t xml:space="preserve"> za održivi društveni i gospodarski razvitak na lokalnoj razini, a projekt se provodi unutar Okvirnog programa za razvoj infrastrukture širokopojasnog pristupa u područjima u kojima ne postoji dostatan komercijalni interes za ulaganja (NN 68/2016). Ovdje je također potrebno napomenuti kako je od 2016. godine na području Du</w:t>
      </w:r>
      <w:r w:rsidR="005E4858">
        <w:t>ge</w:t>
      </w:r>
      <w:r w:rsidRPr="00156B52">
        <w:t xml:space="preserve"> Rese uveden najbrži bežični Internet do 1 gigabita/s, međutim</w:t>
      </w:r>
      <w:r w:rsidR="005E4858">
        <w:t>,</w:t>
      </w:r>
      <w:r w:rsidRPr="00156B52">
        <w:t xml:space="preserve"> ova je usluga još uvijek namijenjena prv</w:t>
      </w:r>
      <w:r w:rsidR="00156B52">
        <w:t>enstveno za poslovne korisnike.</w:t>
      </w:r>
    </w:p>
    <w:p w14:paraId="68B9A0D8" w14:textId="5F8038BF" w:rsidR="00F265F4" w:rsidRPr="00156B52" w:rsidRDefault="00F265F4" w:rsidP="00F265F4">
      <w:r w:rsidRPr="00156B52">
        <w:t xml:space="preserve">Prema podacima HAKOM-a (područja dostupnosti širokopojasnog </w:t>
      </w:r>
      <w:r w:rsidR="005E4858">
        <w:t xml:space="preserve">pristupa), na urbanom području </w:t>
      </w:r>
      <w:r w:rsidRPr="00156B52">
        <w:t xml:space="preserve">uz dostupnost osnovnog širokopojasnog pristupa (2 Mbit/s - 30 Mbit/s) postoji i više lokacija s dostupnim brzim (30 Mbit/s - 100 Mbit/s) i ultrabrzim </w:t>
      </w:r>
      <w:r w:rsidR="005E4858">
        <w:t>pristupom (iznad 100 Mbit/s). M</w:t>
      </w:r>
      <w:r w:rsidR="00192EA4">
        <w:t>eđutim</w:t>
      </w:r>
      <w:r w:rsidR="005E4858">
        <w:t>,</w:t>
      </w:r>
      <w:r w:rsidR="00192EA4">
        <w:t xml:space="preserve"> u slučaju</w:t>
      </w:r>
      <w:r w:rsidRPr="00156B52">
        <w:t xml:space="preserve"> ovog posljednjeg riječ </w:t>
      </w:r>
      <w:r w:rsidR="005E4858">
        <w:t xml:space="preserve">je </w:t>
      </w:r>
      <w:r w:rsidRPr="00156B52">
        <w:t xml:space="preserve">isključivo o užim područjima gradskih naselja, dok su najniže brzine zastupljene većinom u ruralnim dijelovima. Prema niže prikazanim podacima vidljivo je kako kućanstva na području Karlovačke županije (47.524) najviše koriste nepokretni širokopojasni pristup ugovorene brzine od 4 do 10 Mbit/s (13,83%), a sveukupni postotak kućanstva s ugovorenim nepokretnim širokopojasnim pristupom iznosi 41,51%. </w:t>
      </w:r>
      <w:r w:rsidR="00156B52">
        <w:t xml:space="preserve">U gradovima Dugoj Resi i Ozlju, ovi udjeli su </w:t>
      </w:r>
      <w:r w:rsidRPr="00156B52">
        <w:t xml:space="preserve">ispod županijskog prosjeka, dok kućanstva na području Karlovca (21.266) najviše koriste nepokretni širokopojasni pristup ugovorene brzine od 4 do 10 Mbit/s (11,84%) te od 50 do 100 Mbit/s (11,37%). </w:t>
      </w:r>
    </w:p>
    <w:p w14:paraId="345C6D37" w14:textId="77EE21BC" w:rsidR="00F265F4" w:rsidRPr="00FD510D" w:rsidRDefault="00156B52" w:rsidP="00156B52">
      <w:pPr>
        <w:pStyle w:val="Caption"/>
      </w:pPr>
      <w:bookmarkStart w:id="82" w:name="_Toc437387459"/>
      <w:r>
        <w:lastRenderedPageBreak/>
        <w:t xml:space="preserve">Slika </w:t>
      </w:r>
      <w:r>
        <w:fldChar w:fldCharType="begin"/>
      </w:r>
      <w:r>
        <w:instrText xml:space="preserve"> SEQ Slika \* ARABIC </w:instrText>
      </w:r>
      <w:r>
        <w:fldChar w:fldCharType="separate"/>
      </w:r>
      <w:r w:rsidR="001358A9">
        <w:rPr>
          <w:noProof/>
        </w:rPr>
        <w:t>3</w:t>
      </w:r>
      <w:r>
        <w:fldChar w:fldCharType="end"/>
      </w:r>
      <w:r>
        <w:t xml:space="preserve">. </w:t>
      </w:r>
      <w:r w:rsidR="00F265F4" w:rsidRPr="00FD510D">
        <w:t>Prikaz podataka o dostupnosti i korištenju brzina nepokretnog širokopojasnog pristupa kućanstava na području gradova Karlovac, Duga Resa, Ozalj te područje Karlovačke županije (2019.)</w:t>
      </w:r>
      <w:bookmarkEnd w:id="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0"/>
        <w:gridCol w:w="4650"/>
      </w:tblGrid>
      <w:tr w:rsidR="00F265F4" w:rsidRPr="00FD510D" w14:paraId="164115B8" w14:textId="77777777" w:rsidTr="00B5111B">
        <w:tc>
          <w:tcPr>
            <w:tcW w:w="4650" w:type="dxa"/>
          </w:tcPr>
          <w:p w14:paraId="58D69C4A" w14:textId="77777777" w:rsidR="00F265F4" w:rsidRPr="00FD510D" w:rsidRDefault="00F265F4" w:rsidP="00B5111B">
            <w:pPr>
              <w:jc w:val="center"/>
              <w:rPr>
                <w:rFonts w:cs="Tahoma"/>
                <w:sz w:val="20"/>
              </w:rPr>
            </w:pPr>
            <w:r w:rsidRPr="00FD510D">
              <w:rPr>
                <w:noProof/>
                <w:lang w:val="en-US"/>
              </w:rPr>
              <w:drawing>
                <wp:inline distT="0" distB="0" distL="0" distR="0" wp14:anchorId="6988B722" wp14:editId="3CE676DB">
                  <wp:extent cx="2699074" cy="2267475"/>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l="1631"/>
                          <a:stretch/>
                        </pic:blipFill>
                        <pic:spPr bwMode="auto">
                          <a:xfrm>
                            <a:off x="0" y="0"/>
                            <a:ext cx="2699074" cy="2267475"/>
                          </a:xfrm>
                          <a:prstGeom prst="rect">
                            <a:avLst/>
                          </a:prstGeom>
                          <a:ln>
                            <a:noFill/>
                          </a:ln>
                          <a:extLst>
                            <a:ext uri="{53640926-AAD7-44d8-BBD7-CCE9431645EC}">
                              <a14:shadowObscured xmlns:a14="http://schemas.microsoft.com/office/drawing/2010/main"/>
                            </a:ext>
                          </a:extLst>
                        </pic:spPr>
                      </pic:pic>
                    </a:graphicData>
                  </a:graphic>
                </wp:inline>
              </w:drawing>
            </w:r>
          </w:p>
        </w:tc>
        <w:tc>
          <w:tcPr>
            <w:tcW w:w="4650" w:type="dxa"/>
          </w:tcPr>
          <w:p w14:paraId="3C369D66" w14:textId="77777777" w:rsidR="00F265F4" w:rsidRPr="00FD510D" w:rsidRDefault="00F265F4" w:rsidP="00B5111B">
            <w:pPr>
              <w:jc w:val="center"/>
              <w:rPr>
                <w:rFonts w:cs="Tahoma"/>
                <w:sz w:val="20"/>
              </w:rPr>
            </w:pPr>
            <w:r w:rsidRPr="00FD510D">
              <w:rPr>
                <w:noProof/>
                <w:lang w:val="en-US"/>
              </w:rPr>
              <w:drawing>
                <wp:inline distT="0" distB="0" distL="0" distR="0" wp14:anchorId="706A91C9" wp14:editId="4367D13E">
                  <wp:extent cx="2620930" cy="2268000"/>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2620930" cy="2268000"/>
                          </a:xfrm>
                          <a:prstGeom prst="rect">
                            <a:avLst/>
                          </a:prstGeom>
                        </pic:spPr>
                      </pic:pic>
                    </a:graphicData>
                  </a:graphic>
                </wp:inline>
              </w:drawing>
            </w:r>
          </w:p>
        </w:tc>
      </w:tr>
      <w:tr w:rsidR="00F265F4" w:rsidRPr="00FD510D" w14:paraId="4940430E" w14:textId="77777777" w:rsidTr="00B5111B">
        <w:tc>
          <w:tcPr>
            <w:tcW w:w="4650" w:type="dxa"/>
          </w:tcPr>
          <w:p w14:paraId="59EAE824" w14:textId="77777777" w:rsidR="00F265F4" w:rsidRPr="00FD510D" w:rsidRDefault="00F265F4" w:rsidP="00B5111B">
            <w:pPr>
              <w:rPr>
                <w:rFonts w:cs="Tahoma"/>
                <w:sz w:val="20"/>
              </w:rPr>
            </w:pPr>
          </w:p>
        </w:tc>
        <w:tc>
          <w:tcPr>
            <w:tcW w:w="4650" w:type="dxa"/>
          </w:tcPr>
          <w:p w14:paraId="23D8A50A" w14:textId="77777777" w:rsidR="00F265F4" w:rsidRPr="00FD510D" w:rsidRDefault="00F265F4" w:rsidP="00B5111B">
            <w:pPr>
              <w:rPr>
                <w:rFonts w:cs="Tahoma"/>
                <w:sz w:val="20"/>
              </w:rPr>
            </w:pPr>
          </w:p>
        </w:tc>
      </w:tr>
      <w:tr w:rsidR="00F265F4" w:rsidRPr="00FD510D" w14:paraId="45D533E4" w14:textId="77777777" w:rsidTr="00B5111B">
        <w:tc>
          <w:tcPr>
            <w:tcW w:w="4650" w:type="dxa"/>
          </w:tcPr>
          <w:p w14:paraId="4159426F" w14:textId="77777777" w:rsidR="00F265F4" w:rsidRPr="00FD510D" w:rsidRDefault="00F265F4" w:rsidP="00B5111B">
            <w:pPr>
              <w:jc w:val="center"/>
              <w:rPr>
                <w:rFonts w:cs="Tahoma"/>
                <w:sz w:val="20"/>
              </w:rPr>
            </w:pPr>
            <w:r w:rsidRPr="00FD510D">
              <w:rPr>
                <w:noProof/>
                <w:lang w:val="en-US"/>
              </w:rPr>
              <w:drawing>
                <wp:inline distT="0" distB="0" distL="0" distR="0" wp14:anchorId="00D30FDE" wp14:editId="3C14710B">
                  <wp:extent cx="2588827" cy="2268000"/>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r="1980"/>
                          <a:stretch/>
                        </pic:blipFill>
                        <pic:spPr bwMode="auto">
                          <a:xfrm>
                            <a:off x="0" y="0"/>
                            <a:ext cx="2588827" cy="2268000"/>
                          </a:xfrm>
                          <a:prstGeom prst="rect">
                            <a:avLst/>
                          </a:prstGeom>
                          <a:ln>
                            <a:noFill/>
                          </a:ln>
                          <a:extLst>
                            <a:ext uri="{53640926-AAD7-44d8-BBD7-CCE9431645EC}">
                              <a14:shadowObscured xmlns:a14="http://schemas.microsoft.com/office/drawing/2010/main"/>
                            </a:ext>
                          </a:extLst>
                        </pic:spPr>
                      </pic:pic>
                    </a:graphicData>
                  </a:graphic>
                </wp:inline>
              </w:drawing>
            </w:r>
          </w:p>
        </w:tc>
        <w:tc>
          <w:tcPr>
            <w:tcW w:w="4650" w:type="dxa"/>
          </w:tcPr>
          <w:p w14:paraId="185667B4" w14:textId="77777777" w:rsidR="00F265F4" w:rsidRPr="00FD510D" w:rsidRDefault="00F265F4" w:rsidP="00B5111B">
            <w:pPr>
              <w:jc w:val="center"/>
              <w:rPr>
                <w:rFonts w:cs="Tahoma"/>
                <w:sz w:val="20"/>
              </w:rPr>
            </w:pPr>
            <w:r w:rsidRPr="00FD510D">
              <w:rPr>
                <w:noProof/>
                <w:lang w:val="en-US"/>
              </w:rPr>
              <w:drawing>
                <wp:inline distT="0" distB="0" distL="0" distR="0" wp14:anchorId="77419214" wp14:editId="298E01D4">
                  <wp:extent cx="2620930" cy="2268000"/>
                  <wp:effectExtent l="0" t="0" r="825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2620930" cy="2268000"/>
                          </a:xfrm>
                          <a:prstGeom prst="rect">
                            <a:avLst/>
                          </a:prstGeom>
                        </pic:spPr>
                      </pic:pic>
                    </a:graphicData>
                  </a:graphic>
                </wp:inline>
              </w:drawing>
            </w:r>
          </w:p>
        </w:tc>
      </w:tr>
    </w:tbl>
    <w:p w14:paraId="1F3480F4" w14:textId="77777777" w:rsidR="00F265F4" w:rsidRPr="00FD510D" w:rsidRDefault="00F265F4" w:rsidP="00F265F4">
      <w:pPr>
        <w:rPr>
          <w:bCs/>
          <w:color w:val="44697D"/>
          <w:sz w:val="18"/>
          <w:szCs w:val="18"/>
        </w:rPr>
      </w:pPr>
      <w:r w:rsidRPr="00FD510D">
        <w:rPr>
          <w:bCs/>
          <w:color w:val="44697D"/>
          <w:sz w:val="18"/>
          <w:szCs w:val="18"/>
        </w:rPr>
        <w:t>Izvor: HAKOM, http://bbzone.hakom.hr/hr-HR/StatistickiPrikaz#sthash.Po9d3Hsq.fFyv3uU1.dpbs</w:t>
      </w:r>
    </w:p>
    <w:p w14:paraId="4162933B" w14:textId="65F2A169" w:rsidR="001A5F94" w:rsidRPr="00D45BAB" w:rsidRDefault="001A5F94" w:rsidP="00D45BAB">
      <w:pPr>
        <w:spacing w:before="0" w:line="276" w:lineRule="auto"/>
        <w:rPr>
          <w:rFonts w:cs="Tahoma"/>
          <w:sz w:val="20"/>
        </w:rPr>
      </w:pPr>
      <w:r>
        <w:br w:type="page"/>
      </w:r>
    </w:p>
    <w:p w14:paraId="7DB7223C" w14:textId="08555E77" w:rsidR="00E04B40" w:rsidRPr="00DA239E" w:rsidRDefault="00BB6915" w:rsidP="001A5F94">
      <w:pPr>
        <w:pStyle w:val="Heading1"/>
        <w:rPr>
          <w:noProof/>
        </w:rPr>
      </w:pPr>
      <w:bookmarkStart w:id="83" w:name="_Toc437390591"/>
      <w:r w:rsidRPr="00DA239E">
        <w:rPr>
          <w:noProof/>
        </w:rPr>
        <w:lastRenderedPageBreak/>
        <w:t>PREPOZNAVANJE RAZVOJNIH POTREBA I POTENCIJALA</w:t>
      </w:r>
      <w:bookmarkEnd w:id="83"/>
    </w:p>
    <w:p w14:paraId="75A955E6" w14:textId="77777777" w:rsidR="00E04B40" w:rsidRPr="00DA06D0" w:rsidRDefault="00E04B40" w:rsidP="00DA06D0"/>
    <w:p w14:paraId="7C514D5D" w14:textId="4E15BFF0" w:rsidR="00E04B40" w:rsidRPr="00DA239E" w:rsidRDefault="000D2F13" w:rsidP="001A5F94">
      <w:pPr>
        <w:pStyle w:val="Heading2"/>
        <w:rPr>
          <w:noProof/>
        </w:rPr>
      </w:pPr>
      <w:bookmarkStart w:id="84" w:name="_Toc437390592"/>
      <w:r>
        <w:rPr>
          <w:noProof/>
        </w:rPr>
        <w:t>Uvod</w:t>
      </w:r>
      <w:bookmarkEnd w:id="84"/>
    </w:p>
    <w:p w14:paraId="5368D0B6" w14:textId="3F28C25B" w:rsidR="00DC4135" w:rsidRDefault="00DC4135" w:rsidP="00DC4135">
      <w:r w:rsidRPr="00C95660">
        <w:t>S</w:t>
      </w:r>
      <w:r>
        <w:t>WOT analiza – koja u užem smislu podrazum</w:t>
      </w:r>
      <w:r w:rsidR="00192EA4">
        <w:t>i</w:t>
      </w:r>
      <w:r>
        <w:t>jeva definiranje pozitivnih i negativnih razvojnih faktora (snage – S, slabosti – W, mogućnosti – O i prijetnje – T) – podrazum</w:t>
      </w:r>
      <w:r w:rsidR="00192EA4">
        <w:t>i</w:t>
      </w:r>
      <w:r>
        <w:t>jeva</w:t>
      </w:r>
      <w:r w:rsidR="00203770">
        <w:t xml:space="preserve"> interpretaciju i vrednovanje </w:t>
      </w:r>
      <w:r>
        <w:t xml:space="preserve">informacija </w:t>
      </w:r>
      <w:r w:rsidR="00203770">
        <w:t>i podataka</w:t>
      </w:r>
      <w:r>
        <w:t xml:space="preserve"> iz osnovne analize</w:t>
      </w:r>
      <w:r w:rsidR="00337B5D">
        <w:t>, koja</w:t>
      </w:r>
      <w:r w:rsidR="00203770">
        <w:t xml:space="preserve"> se bazira na lokalnim kulturološkim preferencijama i razumijevanju šireg konteksta i dubokih pokretača promjena.</w:t>
      </w:r>
      <w:r w:rsidR="006333E2">
        <w:t xml:space="preserve"> Razumijevanje šireg konteksta važan je korak u interpretaciji i projiciranju mogućih razvojnih scenarija urbanog područja.</w:t>
      </w:r>
    </w:p>
    <w:p w14:paraId="690D920E" w14:textId="30B9C056" w:rsidR="00DC4135" w:rsidRPr="00C95660" w:rsidRDefault="00DC4135" w:rsidP="00DC4135">
      <w:r>
        <w:t>S</w:t>
      </w:r>
      <w:r w:rsidRPr="00C95660">
        <w:t xml:space="preserve">uvremeni globalizirani </w:t>
      </w:r>
      <w:r w:rsidR="000D2F13">
        <w:rPr>
          <w:rFonts w:hint="eastAsia"/>
        </w:rPr>
        <w:t>i</w:t>
      </w:r>
      <w:r w:rsidRPr="00C95660">
        <w:t xml:space="preserve"> digitalizirani svijet obilježen je radikalnim mijenama koje se osjete, u manjoj ili većoj mjeri, u svim nacionalnim državama pa tako </w:t>
      </w:r>
      <w:r w:rsidRPr="00C95660">
        <w:rPr>
          <w:rFonts w:hint="eastAsia"/>
        </w:rPr>
        <w:t>i</w:t>
      </w:r>
      <w:r w:rsidRPr="00C95660">
        <w:t xml:space="preserve"> u Hrvatskoj. Iako se ovi globalni trendovi realiziraju na specifičan način u svakoj državi </w:t>
      </w:r>
      <w:r w:rsidRPr="00C95660">
        <w:rPr>
          <w:rFonts w:hint="eastAsia"/>
        </w:rPr>
        <w:t>i</w:t>
      </w:r>
      <w:r w:rsidRPr="00C95660">
        <w:t xml:space="preserve"> lokalitetu, ne treba zanemariti njihov utjecaj čak </w:t>
      </w:r>
      <w:r w:rsidRPr="00C95660">
        <w:rPr>
          <w:rFonts w:hint="eastAsia"/>
        </w:rPr>
        <w:t>i</w:t>
      </w:r>
      <w:r w:rsidRPr="00C95660">
        <w:t xml:space="preserve"> na mala društva </w:t>
      </w:r>
      <w:r w:rsidRPr="00C95660">
        <w:rPr>
          <w:rFonts w:hint="eastAsia"/>
        </w:rPr>
        <w:t>i</w:t>
      </w:r>
      <w:r w:rsidRPr="00C95660">
        <w:t xml:space="preserve"> relativno zatvorene ekonomije poput hrvatske. Prema </w:t>
      </w:r>
      <w:r>
        <w:t xml:space="preserve">najnovijem </w:t>
      </w:r>
      <w:r w:rsidRPr="00C95660">
        <w:t>izvještaju ESPAS-a</w:t>
      </w:r>
      <w:r w:rsidRPr="00D90954">
        <w:rPr>
          <w:rStyle w:val="FootnoteReference"/>
        </w:rPr>
        <w:footnoteReference w:id="22"/>
      </w:r>
      <w:r w:rsidRPr="00C95660">
        <w:t xml:space="preserve">, suvremeni svijet je svijet </w:t>
      </w:r>
      <w:r w:rsidRPr="00E53E31">
        <w:rPr>
          <w:i/>
        </w:rPr>
        <w:t>sve veće povezanosti</w:t>
      </w:r>
      <w:r w:rsidR="001936A6">
        <w:rPr>
          <w:i/>
        </w:rPr>
        <w:t>,</w:t>
      </w:r>
      <w:r w:rsidRPr="00E53E31">
        <w:rPr>
          <w:i/>
        </w:rPr>
        <w:t xml:space="preserve"> ali i fragmentacije, drastičnih transformacija u demografskoj strukturi i korištenju energije te </w:t>
      </w:r>
      <w:r w:rsidR="00203770">
        <w:rPr>
          <w:i/>
        </w:rPr>
        <w:t>uznemirujućih</w:t>
      </w:r>
      <w:r w:rsidRPr="00E53E31">
        <w:rPr>
          <w:i/>
        </w:rPr>
        <w:t xml:space="preserve"> promjena u tehnologiji, okolišu i politici</w:t>
      </w:r>
      <w:r w:rsidRPr="00C95660">
        <w:t xml:space="preserve">, a </w:t>
      </w:r>
      <w:r>
        <w:t xml:space="preserve">put prema budućnosti 2030. godine </w:t>
      </w:r>
      <w:r w:rsidRPr="00C95660">
        <w:t xml:space="preserve">obilježen je </w:t>
      </w:r>
      <w:r>
        <w:t xml:space="preserve">sljedećim </w:t>
      </w:r>
      <w:r w:rsidRPr="00203770">
        <w:rPr>
          <w:b/>
        </w:rPr>
        <w:t>'mega-trendovima'</w:t>
      </w:r>
      <w:r w:rsidRPr="00C95660">
        <w:t xml:space="preserve">: </w:t>
      </w:r>
      <w:r>
        <w:t xml:space="preserve"> </w:t>
      </w:r>
    </w:p>
    <w:p w14:paraId="48A90AA3" w14:textId="77777777" w:rsidR="00DC4135" w:rsidRPr="00C95660" w:rsidRDefault="00DC4135" w:rsidP="007E05F2">
      <w:pPr>
        <w:pStyle w:val="ListParagraph"/>
        <w:numPr>
          <w:ilvl w:val="0"/>
          <w:numId w:val="1"/>
        </w:numPr>
        <w:spacing w:after="60"/>
        <w:contextualSpacing w:val="0"/>
      </w:pPr>
      <w:r>
        <w:t>Globalno zatopljenje i klimatske promjene čiji će efekti u narednim dekadama postajati sve ozbiljniji, učestaliji i evidentniji (suše, poplave, ekstremne temperature, siromaštvo i sl.)</w:t>
      </w:r>
      <w:r w:rsidRPr="00C95660">
        <w:t>.</w:t>
      </w:r>
    </w:p>
    <w:p w14:paraId="1809EA1B" w14:textId="29AC202A" w:rsidR="00DC4135" w:rsidRDefault="00DC4135" w:rsidP="007E05F2">
      <w:pPr>
        <w:pStyle w:val="ListParagraph"/>
        <w:numPr>
          <w:ilvl w:val="0"/>
          <w:numId w:val="1"/>
        </w:numPr>
        <w:spacing w:after="60"/>
        <w:contextualSpacing w:val="0"/>
      </w:pPr>
      <w:r>
        <w:t>Globalni, ali teritorijalno neujednačeni rast stanovništva – porast sa 7,6 milijardi na 8,6 milijardi u 2030, pri čemu je rast stanovnika disproporcionalno veći u dijelovima subsaharske Afrike, južne Azije i bliskom Istoku, a značajno usporen (dugoročno do 2100. g. čak i negativan) u drugim dijelovima svijeta, posebice EU. Istovremeno</w:t>
      </w:r>
      <w:r w:rsidR="001936A6">
        <w:t>, trend</w:t>
      </w:r>
      <w:r>
        <w:t xml:space="preserve"> globalno</w:t>
      </w:r>
      <w:r w:rsidR="001936A6">
        <w:t>g starenja</w:t>
      </w:r>
      <w:r>
        <w:t xml:space="preserve"> stanovništva</w:t>
      </w:r>
      <w:r w:rsidR="001936A6">
        <w:t>,</w:t>
      </w:r>
      <w:r>
        <w:t xml:space="preserve"> u čemu također prednjači EU (25,5% osoba preko 65 godina u 2030., u usporedbi s 19% u 2017.)</w:t>
      </w:r>
    </w:p>
    <w:p w14:paraId="4F66CDF2" w14:textId="09225F00" w:rsidR="00DC4135" w:rsidRPr="00C95660" w:rsidRDefault="00DC4135" w:rsidP="007E05F2">
      <w:pPr>
        <w:pStyle w:val="ListParagraph"/>
        <w:numPr>
          <w:ilvl w:val="0"/>
          <w:numId w:val="1"/>
        </w:numPr>
        <w:spacing w:after="60"/>
        <w:contextualSpacing w:val="0"/>
      </w:pPr>
      <w:r>
        <w:t xml:space="preserve">Urbanizacija, ali po novim obrascima – </w:t>
      </w:r>
      <w:r w:rsidR="001936A6">
        <w:t xml:space="preserve">mali i srednji gradovi rastu duplo brže od mega-metropola čiji broj neće značajnije rasti; </w:t>
      </w:r>
      <w:r>
        <w:t xml:space="preserve">do 2030. </w:t>
      </w:r>
      <w:r w:rsidR="00337B5D">
        <w:t xml:space="preserve">godine </w:t>
      </w:r>
      <w:r>
        <w:t xml:space="preserve">dvije trećine globalnog stanovništva će živjeti u gradovima, no </w:t>
      </w:r>
      <w:r w:rsidR="00EE59D0">
        <w:t xml:space="preserve">najviše </w:t>
      </w:r>
      <w:r>
        <w:t>u onima srednje veličine (do 1 mil. stan.)</w:t>
      </w:r>
      <w:r w:rsidR="00EE59D0">
        <w:t>, a zatim u velikim (1 do 5 mil. stan.), dok mega metropole pružaju dom za svega 8% stanovnika.</w:t>
      </w:r>
    </w:p>
    <w:p w14:paraId="35F7A956" w14:textId="4E949DFB" w:rsidR="00DC4135" w:rsidRPr="00C95660" w:rsidRDefault="00DC4135" w:rsidP="007E05F2">
      <w:pPr>
        <w:pStyle w:val="ListParagraph"/>
        <w:numPr>
          <w:ilvl w:val="0"/>
          <w:numId w:val="1"/>
        </w:numPr>
        <w:spacing w:after="60"/>
        <w:contextualSpacing w:val="0"/>
      </w:pPr>
      <w:r>
        <w:t>Stope gospodarskog rasta BDP-a EU bit će manje od onih u brzo rastućim ekonomijama (Kina, Indija), a do 2030</w:t>
      </w:r>
      <w:r w:rsidR="00337B5D">
        <w:t>-e</w:t>
      </w:r>
      <w:r>
        <w:t xml:space="preserve"> Kina će zam</w:t>
      </w:r>
      <w:r w:rsidR="00192EA4">
        <w:t>i</w:t>
      </w:r>
      <w:r>
        <w:t xml:space="preserve">jeniti SAD na mjestu najveće svjetske ekonomije.  Ipak, Europa će ostati druga svjetska ekonomija, s daleko najvišom kupovnom moći po glavi stanovnika. </w:t>
      </w:r>
      <w:r w:rsidR="00203770">
        <w:t>Izvjestan je i g</w:t>
      </w:r>
      <w:r>
        <w:t>lobalni rast srednje klase, smanjenje siromaštva, ali i veća akumulacija resursa u rukama 1% najbogatijih (2/3 resursa, umjesto sadašnjih 50%).</w:t>
      </w:r>
      <w:r w:rsidR="005D5E96">
        <w:t xml:space="preserve"> U Europi, ko</w:t>
      </w:r>
      <w:r w:rsidR="00203770">
        <w:t xml:space="preserve">ja je u proteklih 50 godina </w:t>
      </w:r>
      <w:r w:rsidR="005D5E96">
        <w:t xml:space="preserve">već </w:t>
      </w:r>
      <w:r w:rsidR="00203770">
        <w:t xml:space="preserve">postigla mnogo na smanjenju siromaštva i </w:t>
      </w:r>
      <w:r w:rsidR="00337B5D">
        <w:t>društvene</w:t>
      </w:r>
      <w:r w:rsidR="005D5E96">
        <w:t xml:space="preserve"> </w:t>
      </w:r>
      <w:r w:rsidR="00337B5D">
        <w:t>ne</w:t>
      </w:r>
      <w:r w:rsidR="005D5E96">
        <w:t>jednakosti, nastavit će se osjećaj 'stagnacije', bez</w:t>
      </w:r>
      <w:r w:rsidR="00203770">
        <w:t xml:space="preserve"> </w:t>
      </w:r>
      <w:r w:rsidR="005D5E96">
        <w:t xml:space="preserve">velikih iskoraka u prosperitetu u odnosu na starije generacije. </w:t>
      </w:r>
    </w:p>
    <w:p w14:paraId="79281BB6" w14:textId="77777777" w:rsidR="00DC4135" w:rsidRPr="00C95660" w:rsidRDefault="00DC4135" w:rsidP="007E05F2">
      <w:pPr>
        <w:pStyle w:val="ListParagraph"/>
        <w:numPr>
          <w:ilvl w:val="0"/>
          <w:numId w:val="1"/>
        </w:numPr>
        <w:spacing w:after="60"/>
        <w:contextualSpacing w:val="0"/>
      </w:pPr>
      <w:r>
        <w:t>Porast potrošnje energije kao rezultat demografskog i ekonomskog rasta, po globalnoj stopi od 1,7% godišnje</w:t>
      </w:r>
      <w:r w:rsidRPr="00C95660">
        <w:t>.</w:t>
      </w:r>
    </w:p>
    <w:p w14:paraId="12BBFC4C" w14:textId="3C3372FE" w:rsidR="00DC4135" w:rsidRDefault="00DC4135" w:rsidP="007E05F2">
      <w:pPr>
        <w:pStyle w:val="ListParagraph"/>
        <w:numPr>
          <w:ilvl w:val="0"/>
          <w:numId w:val="1"/>
        </w:numPr>
        <w:spacing w:after="60"/>
        <w:contextualSpacing w:val="0"/>
      </w:pPr>
      <w:r>
        <w:t>Sve veća povezanost, digitalno (pristup internetu, 'internet stvari”</w:t>
      </w:r>
      <w:r w:rsidR="007B6AA0">
        <w:t xml:space="preserve"> (</w:t>
      </w:r>
      <w:r>
        <w:t>IoT</w:t>
      </w:r>
      <w:r w:rsidR="007B6AA0">
        <w:t xml:space="preserve">) – od 27 milijardi povezanih uređaja u 2017. </w:t>
      </w:r>
      <w:r w:rsidR="00337B5D">
        <w:t xml:space="preserve">godini </w:t>
      </w:r>
      <w:r w:rsidR="007B6AA0">
        <w:t xml:space="preserve">do 125 milijardi uređaja u 2030. </w:t>
      </w:r>
      <w:r w:rsidR="00337B5D">
        <w:t>g.</w:t>
      </w:r>
      <w:r>
        <w:t xml:space="preserve">), ali i fizički (transport </w:t>
      </w:r>
      <w:r>
        <w:lastRenderedPageBreak/>
        <w:t>roba i ljudi</w:t>
      </w:r>
      <w:r w:rsidR="007B6AA0">
        <w:t xml:space="preserve"> – u odnosu na 2016.</w:t>
      </w:r>
      <w:r w:rsidR="00337B5D">
        <w:t xml:space="preserve"> godinu</w:t>
      </w:r>
      <w:r w:rsidR="007B6AA0">
        <w:t>, duplo veći putnički avio promet, trostruko veći avio prijevoz roba i četverostruko veći lučki promet</w:t>
      </w:r>
      <w:r>
        <w:t>)</w:t>
      </w:r>
      <w:r w:rsidRPr="00C95660">
        <w:t>.</w:t>
      </w:r>
    </w:p>
    <w:p w14:paraId="50CAA7BB" w14:textId="725BBE5F" w:rsidR="00DC4135" w:rsidRPr="00C95660" w:rsidRDefault="00DC4135" w:rsidP="007E05F2">
      <w:pPr>
        <w:pStyle w:val="ListParagraph"/>
        <w:numPr>
          <w:ilvl w:val="0"/>
          <w:numId w:val="1"/>
        </w:numPr>
        <w:spacing w:after="60"/>
        <w:contextualSpacing w:val="0"/>
      </w:pPr>
      <w:r>
        <w:t xml:space="preserve">U geopolitičkom smislu, </w:t>
      </w:r>
      <w:r w:rsidR="00203770">
        <w:t xml:space="preserve">na globalnom nivou izvjestan je </w:t>
      </w:r>
      <w:r>
        <w:t>nastavak tranzicije od 'bipolarnog' prema 'multi-polarnom' svijetu u kojem moć i snaga nacionalnih država ovise o njihovim bilateralnim i multilateralnim odnosima</w:t>
      </w:r>
      <w:r w:rsidR="000D2F13">
        <w:t>, a lokalno-regionalne politike i akteri jačaju svoj utjecaj</w:t>
      </w:r>
      <w:r>
        <w:t>.</w:t>
      </w:r>
      <w:r w:rsidR="005D5E96">
        <w:t xml:space="preserve"> Promjene u odnosima moći </w:t>
      </w:r>
      <w:r w:rsidR="000D2F13">
        <w:t xml:space="preserve">znače i visoku izvjesnost konflikata, naročito u narednoj dekadi. </w:t>
      </w:r>
    </w:p>
    <w:p w14:paraId="1A044C89" w14:textId="56E40822" w:rsidR="001D4FCF" w:rsidRDefault="00DC26A7" w:rsidP="00DC26A7">
      <w:r>
        <w:rPr>
          <w:szCs w:val="20"/>
        </w:rPr>
        <w:t>Mada o</w:t>
      </w:r>
      <w:r w:rsidR="00DC4135" w:rsidRPr="00C95660">
        <w:rPr>
          <w:szCs w:val="20"/>
        </w:rPr>
        <w:t xml:space="preserve">vi duboki i globalni trendovi </w:t>
      </w:r>
      <w:r>
        <w:rPr>
          <w:szCs w:val="20"/>
        </w:rPr>
        <w:t xml:space="preserve">najčešće nisu lako uočljivi </w:t>
      </w:r>
      <w:r w:rsidR="00BB5A1C">
        <w:rPr>
          <w:szCs w:val="20"/>
        </w:rPr>
        <w:t xml:space="preserve">i prepoznatljivi na nižim razinama, </w:t>
      </w:r>
      <w:r>
        <w:rPr>
          <w:szCs w:val="20"/>
        </w:rPr>
        <w:t xml:space="preserve">njihov se utjecaj projicira i na </w:t>
      </w:r>
      <w:r>
        <w:t>hrvatsko društvo i ekonomiju,</w:t>
      </w:r>
      <w:r w:rsidR="00BB5A1C">
        <w:t xml:space="preserve"> najčešće kroz </w:t>
      </w:r>
      <w:r w:rsidR="00337B5D">
        <w:t>javne (EU i nacionalne politike</w:t>
      </w:r>
      <w:r w:rsidR="00BB5A1C">
        <w:t xml:space="preserve"> pa tako oni u lokalnom okruženju</w:t>
      </w:r>
      <w:r w:rsidR="00192EA4">
        <w:t xml:space="preserve"> dobiv</w:t>
      </w:r>
      <w:r w:rsidR="00DC4135" w:rsidRPr="00C95660">
        <w:t>aju svoje specifične pojavne oblike.</w:t>
      </w:r>
      <w:r w:rsidR="000D2F13">
        <w:t xml:space="preserve"> </w:t>
      </w:r>
      <w:r w:rsidR="002B723E">
        <w:t>Tako je</w:t>
      </w:r>
      <w:r w:rsidR="008F39EB">
        <w:t xml:space="preserve"> naprimjer, temeljem socio</w:t>
      </w:r>
      <w:r w:rsidR="008A4758">
        <w:t xml:space="preserve">ekonomske analize na području evidentan trend pada broja stanovnika, urbanizacija (gubitak stanovništva u odnosu na najveće gradove </w:t>
      </w:r>
      <w:r w:rsidR="008A30A0">
        <w:t>Zagreb, Rijeka, Split) i sve već</w:t>
      </w:r>
      <w:r w:rsidR="008A4758">
        <w:t xml:space="preserve">a mobilnost stanovništva. </w:t>
      </w:r>
      <w:r w:rsidR="00DC4135" w:rsidRPr="00AE08A0">
        <w:t xml:space="preserve">Pojedinačne (tematske) SWOT analize </w:t>
      </w:r>
      <w:r w:rsidR="00DC4135">
        <w:t xml:space="preserve">prezentirane u nastavku </w:t>
      </w:r>
      <w:r w:rsidR="00BB5A1C">
        <w:t>koncentrirane su na takve, lokalno specifične uzorke, a njihova artikulacija pomaže</w:t>
      </w:r>
      <w:r w:rsidR="00DC4135" w:rsidRPr="00AE08A0">
        <w:t xml:space="preserve"> </w:t>
      </w:r>
      <w:r w:rsidR="00DC4135">
        <w:t xml:space="preserve">u strateškom </w:t>
      </w:r>
      <w:r w:rsidR="00DC4135" w:rsidRPr="00AE08A0">
        <w:t xml:space="preserve">usmjeravanju </w:t>
      </w:r>
      <w:r w:rsidR="00BB5A1C">
        <w:t xml:space="preserve">razvoja. </w:t>
      </w:r>
    </w:p>
    <w:p w14:paraId="496F362D" w14:textId="0518E908" w:rsidR="004914B1" w:rsidRPr="004914B1" w:rsidRDefault="00BB5A1C" w:rsidP="004914B1">
      <w:r>
        <w:t xml:space="preserve">Tematske </w:t>
      </w:r>
      <w:r w:rsidR="001D4FCF">
        <w:t xml:space="preserve">SWOT </w:t>
      </w:r>
      <w:r>
        <w:t>analize daju</w:t>
      </w:r>
      <w:r w:rsidR="00DC4135" w:rsidRPr="00AE08A0">
        <w:t xml:space="preserve"> generalni uvid u faktore </w:t>
      </w:r>
      <w:r w:rsidR="00E24A52">
        <w:t>relevantne</w:t>
      </w:r>
      <w:r w:rsidR="00DC4135" w:rsidRPr="00AE08A0">
        <w:t xml:space="preserve"> </w:t>
      </w:r>
      <w:r w:rsidR="00E24A52">
        <w:t xml:space="preserve">za razvoj na </w:t>
      </w:r>
      <w:r w:rsidR="008F39EB">
        <w:t xml:space="preserve">Većem </w:t>
      </w:r>
      <w:r w:rsidR="00E24A52">
        <w:t>urbanom području Karlovac</w:t>
      </w:r>
      <w:r w:rsidR="00DC4135" w:rsidRPr="00AE08A0">
        <w:t xml:space="preserve">, </w:t>
      </w:r>
      <w:r>
        <w:t xml:space="preserve">a postavljene su u odnosu na </w:t>
      </w:r>
      <w:r w:rsidR="00DC4135">
        <w:t>tri stupa održivog razvoja – društvo, gospodarstvo i prostor.</w:t>
      </w:r>
      <w:r w:rsidR="001D4FCF">
        <w:t xml:space="preserve"> </w:t>
      </w:r>
      <w:r w:rsidR="004914B1">
        <w:t>SWOT analiza u svakom od triju područja započinje kratkim pregledom pozitivnih i negativnih</w:t>
      </w:r>
      <w:r w:rsidR="004914B1" w:rsidRPr="004914B1">
        <w:t xml:space="preserve"> obilježja, odnosno razvojni</w:t>
      </w:r>
      <w:r w:rsidR="004914B1">
        <w:t>h problema i potreba.</w:t>
      </w:r>
    </w:p>
    <w:p w14:paraId="70714CA5" w14:textId="51B6CE11" w:rsidR="00DC4135" w:rsidRDefault="001D4FCF" w:rsidP="00DC26A7">
      <w:r>
        <w:t>Također treba naglasiti da je, pod pretpostavkom nastavka procesa urbanizacije</w:t>
      </w:r>
      <w:r w:rsidR="0055754F">
        <w:t xml:space="preserve"> koja je vrlo izvjesna, za integrirani urbani razvoj </w:t>
      </w:r>
      <w:r w:rsidR="00B55150">
        <w:t>SRVUPKA</w:t>
      </w:r>
      <w:r w:rsidR="0055754F">
        <w:t xml:space="preserve"> važna identifikacija razvojnih faktora (snaga, slabosti, </w:t>
      </w:r>
      <w:r w:rsidR="008F39EB">
        <w:t>prilika</w:t>
      </w:r>
      <w:r w:rsidR="0055754F">
        <w:t xml:space="preserve"> i prijetnji) u odnosu na glavne ”konkurente” – grad Zagreb</w:t>
      </w:r>
      <w:r w:rsidR="004914B1">
        <w:t xml:space="preserve"> </w:t>
      </w:r>
      <w:r w:rsidR="0055754F">
        <w:t>i Rijeku</w:t>
      </w:r>
      <w:r w:rsidR="004914B1">
        <w:t xml:space="preserve"> pa je u tom smislu </w:t>
      </w:r>
      <w:r w:rsidR="008F39EB">
        <w:t xml:space="preserve">naglasak </w:t>
      </w:r>
      <w:r w:rsidR="004914B1">
        <w:t xml:space="preserve">stavljen upravo </w:t>
      </w:r>
      <w:r w:rsidR="008F39EB">
        <w:t xml:space="preserve">na </w:t>
      </w:r>
      <w:r w:rsidR="004914B1">
        <w:t>takve faktore</w:t>
      </w:r>
      <w:r w:rsidR="0055754F">
        <w:t>.</w:t>
      </w:r>
    </w:p>
    <w:p w14:paraId="65DF329A" w14:textId="77777777" w:rsidR="00014FEF" w:rsidRPr="00AE08A0" w:rsidRDefault="00014FEF" w:rsidP="00DC26A7"/>
    <w:p w14:paraId="15ABCAA6" w14:textId="7DC416CB" w:rsidR="00E04B40" w:rsidRDefault="005A153F" w:rsidP="001A5F94">
      <w:pPr>
        <w:pStyle w:val="Heading2"/>
        <w:rPr>
          <w:noProof/>
        </w:rPr>
      </w:pPr>
      <w:bookmarkStart w:id="85" w:name="_Toc437390593"/>
      <w:r>
        <w:rPr>
          <w:noProof/>
        </w:rPr>
        <w:t xml:space="preserve">SWOT </w:t>
      </w:r>
      <w:r w:rsidR="006333E2">
        <w:rPr>
          <w:noProof/>
        </w:rPr>
        <w:t>Društvo</w:t>
      </w:r>
      <w:bookmarkEnd w:id="85"/>
    </w:p>
    <w:p w14:paraId="6AD01200" w14:textId="666F7708" w:rsidR="004914B1" w:rsidRPr="001458D5" w:rsidRDefault="001458D5" w:rsidP="004914B1">
      <w:pPr>
        <w:rPr>
          <w:b/>
          <w:color w:val="17365D" w:themeColor="text2" w:themeShade="BF"/>
        </w:rPr>
      </w:pPr>
      <w:r>
        <w:rPr>
          <w:b/>
          <w:color w:val="17365D" w:themeColor="text2" w:themeShade="BF"/>
        </w:rPr>
        <w:t>Glavna o</w:t>
      </w:r>
      <w:r w:rsidR="004914B1" w:rsidRPr="001458D5">
        <w:rPr>
          <w:b/>
          <w:color w:val="17365D" w:themeColor="text2" w:themeShade="BF"/>
        </w:rPr>
        <w:t>biježja</w:t>
      </w:r>
    </w:p>
    <w:p w14:paraId="4B4F81F6" w14:textId="77777777" w:rsidR="004914B1" w:rsidRPr="00334068" w:rsidRDefault="004914B1" w:rsidP="00EC1C17">
      <w:pPr>
        <w:pStyle w:val="ListParagraph"/>
        <w:numPr>
          <w:ilvl w:val="0"/>
          <w:numId w:val="38"/>
        </w:numPr>
        <w:spacing w:before="60" w:after="60"/>
        <w:ind w:hanging="357"/>
        <w:contextualSpacing w:val="0"/>
      </w:pPr>
      <w:r>
        <w:t>Nepovoljni</w:t>
      </w:r>
      <w:r w:rsidRPr="00334068">
        <w:t xml:space="preserve"> demografski trendovi:</w:t>
      </w:r>
    </w:p>
    <w:p w14:paraId="44398CDD" w14:textId="77777777" w:rsidR="004914B1" w:rsidRPr="00334068" w:rsidRDefault="004914B1" w:rsidP="00EC1C17">
      <w:pPr>
        <w:pStyle w:val="ListParagraph"/>
        <w:numPr>
          <w:ilvl w:val="1"/>
          <w:numId w:val="38"/>
        </w:numPr>
        <w:spacing w:before="60" w:after="60"/>
        <w:ind w:hanging="357"/>
        <w:contextualSpacing w:val="0"/>
      </w:pPr>
      <w:r w:rsidRPr="00334068">
        <w:t>Negativan prirodni prirast (prosječna godišnja stopa od -1%, u razdoblju 2013-2017)</w:t>
      </w:r>
    </w:p>
    <w:p w14:paraId="6EDDD399" w14:textId="77777777" w:rsidR="004914B1" w:rsidRPr="00334068" w:rsidRDefault="004914B1" w:rsidP="00EC1C17">
      <w:pPr>
        <w:pStyle w:val="ListParagraph"/>
        <w:numPr>
          <w:ilvl w:val="1"/>
          <w:numId w:val="38"/>
        </w:numPr>
        <w:spacing w:before="60" w:after="60"/>
        <w:ind w:hanging="357"/>
        <w:contextualSpacing w:val="0"/>
      </w:pPr>
      <w:r w:rsidRPr="00334068">
        <w:t>Negativan migracijski saldo (prosječna godišnja stopa od -11% u razdoblju 2013-2017)</w:t>
      </w:r>
    </w:p>
    <w:p w14:paraId="4F0B8234" w14:textId="09393933" w:rsidR="004914B1" w:rsidRPr="00334068" w:rsidRDefault="004914B1" w:rsidP="00EC1C17">
      <w:pPr>
        <w:pStyle w:val="ListParagraph"/>
        <w:numPr>
          <w:ilvl w:val="1"/>
          <w:numId w:val="38"/>
        </w:numPr>
        <w:spacing w:before="60" w:after="60"/>
        <w:ind w:hanging="357"/>
        <w:contextualSpacing w:val="0"/>
      </w:pPr>
      <w:r w:rsidRPr="00334068">
        <w:t xml:space="preserve">Starosna struktura stanovništva lošija od </w:t>
      </w:r>
      <w:r w:rsidR="008F39EB">
        <w:t>nacionalnog</w:t>
      </w:r>
      <w:r w:rsidRPr="00334068">
        <w:t xml:space="preserve"> prosjeka (više od četvrtine stanovništva starije od 60 godina), neznatno bolja od županijske razine</w:t>
      </w:r>
    </w:p>
    <w:p w14:paraId="078ED4D8" w14:textId="78DA442C" w:rsidR="004914B1" w:rsidRPr="00334068" w:rsidRDefault="004914B1" w:rsidP="00EC1C17">
      <w:pPr>
        <w:pStyle w:val="ListParagraph"/>
        <w:numPr>
          <w:ilvl w:val="1"/>
          <w:numId w:val="38"/>
        </w:numPr>
        <w:spacing w:before="60" w:after="60"/>
        <w:ind w:hanging="357"/>
        <w:contextualSpacing w:val="0"/>
      </w:pPr>
      <w:r w:rsidRPr="00334068">
        <w:t xml:space="preserve">Udio osoba s teškoćama u obavljaju svakodnevnih aktivnosti (16%) veći od </w:t>
      </w:r>
      <w:r w:rsidR="008F39EB">
        <w:t>nacionalnog</w:t>
      </w:r>
      <w:r w:rsidRPr="00334068">
        <w:t xml:space="preserve"> prosjeka, niži od onog na županijskoj razini</w:t>
      </w:r>
    </w:p>
    <w:p w14:paraId="0D880EAE" w14:textId="77777777" w:rsidR="004914B1" w:rsidRPr="00334068" w:rsidRDefault="004914B1" w:rsidP="00EC1C17">
      <w:pPr>
        <w:pStyle w:val="ListParagraph"/>
        <w:numPr>
          <w:ilvl w:val="0"/>
          <w:numId w:val="38"/>
        </w:numPr>
        <w:spacing w:before="60" w:after="60"/>
        <w:ind w:hanging="357"/>
        <w:contextualSpacing w:val="0"/>
      </w:pPr>
      <w:r w:rsidRPr="00334068">
        <w:t>Obrazovna struktura stanovništva nešto povoljnija od županijske i nacionalne razine (29% bez škole i s OŠ, 54% SŠ, 17% visokoobrazovano).</w:t>
      </w:r>
    </w:p>
    <w:p w14:paraId="37A7E322" w14:textId="77777777" w:rsidR="004914B1" w:rsidRPr="00334068" w:rsidRDefault="004914B1" w:rsidP="00EC1C17">
      <w:pPr>
        <w:pStyle w:val="ListParagraph"/>
        <w:numPr>
          <w:ilvl w:val="0"/>
          <w:numId w:val="38"/>
        </w:numPr>
        <w:spacing w:before="60" w:after="60"/>
        <w:ind w:hanging="357"/>
        <w:contextualSpacing w:val="0"/>
      </w:pPr>
      <w:r w:rsidRPr="00334068">
        <w:t>Stope rizika od siromaštva (na razini triju JLS i na razini županije) dvostruko veće od nacionalnog prosjeka, s nešto povoljnijom, ali još uvijek lošom situacijom na području grada Karlovca (stopa rizika od siromaštva 26%).</w:t>
      </w:r>
    </w:p>
    <w:p w14:paraId="3EC1527D" w14:textId="77777777" w:rsidR="004914B1" w:rsidRPr="00334068" w:rsidRDefault="004914B1" w:rsidP="00EC1C17">
      <w:pPr>
        <w:pStyle w:val="ListParagraph"/>
        <w:numPr>
          <w:ilvl w:val="0"/>
          <w:numId w:val="38"/>
        </w:numPr>
        <w:spacing w:before="60" w:after="60"/>
        <w:ind w:hanging="357"/>
        <w:contextualSpacing w:val="0"/>
      </w:pPr>
      <w:r w:rsidRPr="00334068">
        <w:t>Gotovo 70% korisnika zajamčene minimalne naknade u županiji registrirano je na području VUPKA.</w:t>
      </w:r>
      <w:r>
        <w:t xml:space="preserve"> U</w:t>
      </w:r>
      <w:r w:rsidRPr="00334068">
        <w:t xml:space="preserve"> cilju unaprjeđenja kvalitete života, nadležne </w:t>
      </w:r>
      <w:r>
        <w:t>JLS</w:t>
      </w:r>
      <w:r w:rsidRPr="00334068">
        <w:t xml:space="preserve"> provode više projekata kojima se utječe na poboljšanje postojećih te uvođenje novih oblika socijalnih usluga</w:t>
      </w:r>
      <w:r>
        <w:t xml:space="preserve">, koji su uglavnom </w:t>
      </w:r>
      <w:r w:rsidRPr="00334068">
        <w:t>koncentrirani na područje Grada Karlovca</w:t>
      </w:r>
      <w:r>
        <w:t>.</w:t>
      </w:r>
    </w:p>
    <w:p w14:paraId="198655A9" w14:textId="77777777" w:rsidR="004914B1" w:rsidRDefault="004914B1" w:rsidP="00EC1C17">
      <w:pPr>
        <w:pStyle w:val="ListParagraph"/>
        <w:numPr>
          <w:ilvl w:val="0"/>
          <w:numId w:val="38"/>
        </w:numPr>
        <w:spacing w:before="60" w:after="60"/>
        <w:ind w:hanging="357"/>
        <w:contextualSpacing w:val="0"/>
      </w:pPr>
      <w:r w:rsidRPr="00334068">
        <w:t>Relativno zadovoljavajuće stanje u pogledu stambenih kapaciteta (36 m2 po stanovniku i gotovo potpuna opremljenost osnovnom infrastrukturom)</w:t>
      </w:r>
    </w:p>
    <w:p w14:paraId="5190FC7A" w14:textId="1CB4A66E" w:rsidR="004914B1" w:rsidRPr="00334068" w:rsidRDefault="004914B1" w:rsidP="00EC1C17">
      <w:pPr>
        <w:pStyle w:val="ListParagraph"/>
        <w:numPr>
          <w:ilvl w:val="0"/>
          <w:numId w:val="38"/>
        </w:numPr>
        <w:spacing w:before="60" w:after="60"/>
        <w:ind w:hanging="357"/>
        <w:contextualSpacing w:val="0"/>
      </w:pPr>
      <w:r>
        <w:t>Sportska, rekreacijska kao i kulturna infrastruktura je relativno zadovoljavajuća (brojem i prostornim smještajem), iako po</w:t>
      </w:r>
      <w:r w:rsidR="008F39EB">
        <w:t>stoje potrebe za fizičkim unapr</w:t>
      </w:r>
      <w:r>
        <w:t>jeđenjem iste, kao i iznalaženjem izvora financiranja aktivnosti sportskih i kulturnih institucija te civilnih inicijativa.</w:t>
      </w:r>
    </w:p>
    <w:p w14:paraId="4232A41E" w14:textId="77777777" w:rsidR="004914B1" w:rsidRDefault="004914B1" w:rsidP="00EC1C17">
      <w:pPr>
        <w:pStyle w:val="ListParagraph"/>
        <w:numPr>
          <w:ilvl w:val="0"/>
          <w:numId w:val="38"/>
        </w:numPr>
        <w:spacing w:before="60" w:after="60"/>
        <w:ind w:hanging="357"/>
        <w:contextualSpacing w:val="0"/>
      </w:pPr>
      <w:r>
        <w:lastRenderedPageBreak/>
        <w:t>P</w:t>
      </w:r>
      <w:r w:rsidRPr="00CD251C">
        <w:t>otreba za većom aktivacijom projekata kojima se izravno doprinosi razvoju modernog civilnog društva kao i većem participiranju građana u donošenju odluka u okviru provedbe lokalnih politika</w:t>
      </w:r>
      <w:r w:rsidRPr="00334068">
        <w:t xml:space="preserve"> </w:t>
      </w:r>
    </w:p>
    <w:p w14:paraId="2BCEFDE6" w14:textId="77777777" w:rsidR="004914B1" w:rsidRPr="00334068" w:rsidRDefault="004914B1" w:rsidP="00EC1C17">
      <w:pPr>
        <w:pStyle w:val="ListParagraph"/>
        <w:numPr>
          <w:ilvl w:val="0"/>
          <w:numId w:val="38"/>
        </w:numPr>
        <w:spacing w:before="60" w:after="60"/>
        <w:ind w:hanging="357"/>
        <w:contextualSpacing w:val="0"/>
      </w:pPr>
      <w:r w:rsidRPr="00334068">
        <w:t>Nominalno zadovoljavajuća pokrivenost uslugama zdravstvene skrbi (6,9 kreveta na 1.000 stanovnika, što je gotovo 1,5 puta povoljniji omjer u odnosu na KŽ (4,7) i RH (4,8).</w:t>
      </w:r>
      <w:r>
        <w:t xml:space="preserve"> Pored strukturnih problema u sustavu na nacionalnoj razini, problemi zdravstvene skrbi na području odnose se na podkapacitiranost i nedovoljnu opremljenost te opadanje razine usluge.</w:t>
      </w:r>
    </w:p>
    <w:p w14:paraId="493641BA" w14:textId="0D271714" w:rsidR="004914B1" w:rsidRDefault="004914B1" w:rsidP="00EC1C17">
      <w:pPr>
        <w:pStyle w:val="ListParagraph"/>
        <w:numPr>
          <w:ilvl w:val="0"/>
          <w:numId w:val="38"/>
        </w:numPr>
        <w:spacing w:before="60" w:after="60"/>
        <w:ind w:hanging="357"/>
        <w:contextualSpacing w:val="0"/>
      </w:pPr>
      <w:r w:rsidRPr="00334068">
        <w:t xml:space="preserve">Specifična struktura srednjoškolaca VUPKA u odnosu na </w:t>
      </w:r>
      <w:r w:rsidR="008F39EB">
        <w:t>nacionalni</w:t>
      </w:r>
      <w:r w:rsidRPr="00334068">
        <w:t xml:space="preserve"> prosjek: gimnazijalci 20%, polaznici tehničkih i industrijskih škola 75%, polaznici umjetničkih škola 4%. (RH: 31% - 66% - 3%).</w:t>
      </w:r>
    </w:p>
    <w:p w14:paraId="41844793" w14:textId="0AA9CB2D" w:rsidR="004914B1" w:rsidRPr="001458D5" w:rsidRDefault="001458D5" w:rsidP="001458D5">
      <w:pPr>
        <w:rPr>
          <w:b/>
          <w:color w:val="17365D" w:themeColor="text2" w:themeShade="BF"/>
        </w:rPr>
      </w:pPr>
      <w:r>
        <w:rPr>
          <w:b/>
          <w:color w:val="17365D" w:themeColor="text2" w:themeShade="BF"/>
        </w:rPr>
        <w:t>Glavni razvojni problemi i p</w:t>
      </w:r>
      <w:r w:rsidR="004914B1" w:rsidRPr="001458D5">
        <w:rPr>
          <w:b/>
          <w:color w:val="17365D" w:themeColor="text2" w:themeShade="BF"/>
        </w:rPr>
        <w:t>otrebe:</w:t>
      </w:r>
    </w:p>
    <w:p w14:paraId="0ABAA56D" w14:textId="1BB5F20E" w:rsidR="004914B1" w:rsidRDefault="008F39EB" w:rsidP="00EC1C17">
      <w:pPr>
        <w:pStyle w:val="ListParagraph"/>
        <w:numPr>
          <w:ilvl w:val="0"/>
          <w:numId w:val="39"/>
        </w:numPr>
        <w:spacing w:before="60" w:after="60"/>
        <w:ind w:left="714" w:hanging="357"/>
        <w:contextualSpacing w:val="0"/>
      </w:pPr>
      <w:r>
        <w:t>Osmišljavanje i provedba</w:t>
      </w:r>
      <w:r w:rsidR="004914B1" w:rsidRPr="005F1AC9">
        <w:t xml:space="preserve"> učinkovitih javnih politika kojima će se uhvatiti ukoštac s posljedicama sve lošije demografske strukture (izvjesno povećanje potreba za institucionalnim i vaninstitucionalnim socijalnim i zdravstvenim uslugama). </w:t>
      </w:r>
      <w:r w:rsidR="004914B1">
        <w:t>Proaktivno djelovanje u ovom smjeru podrazumijeva i k</w:t>
      </w:r>
      <w:r w:rsidR="004914B1" w:rsidRPr="005F1AC9">
        <w:t>reiranje specifičnih lokalnih inicijativa usmjerenih na mlade kako bi se isti zadržali na urbanom području, kao i onih usmjerenih na ranjive skupine</w:t>
      </w:r>
      <w:r w:rsidR="004914B1">
        <w:t>.</w:t>
      </w:r>
    </w:p>
    <w:p w14:paraId="356903F7" w14:textId="77777777" w:rsidR="004914B1" w:rsidRDefault="004914B1" w:rsidP="00EC1C17">
      <w:pPr>
        <w:pStyle w:val="ListParagraph"/>
        <w:numPr>
          <w:ilvl w:val="0"/>
          <w:numId w:val="39"/>
        </w:numPr>
        <w:spacing w:before="60" w:after="60"/>
        <w:ind w:left="714" w:hanging="357"/>
        <w:contextualSpacing w:val="0"/>
      </w:pPr>
      <w:r>
        <w:t>Fizičko unaprjeđenje sportske i rekreacijske infrastrukture, ulaganja u očuvanje i promicanje kulturne baštine.</w:t>
      </w:r>
    </w:p>
    <w:p w14:paraId="155C865D" w14:textId="0B2D5603" w:rsidR="004914B1" w:rsidRDefault="004914B1" w:rsidP="00EC1C17">
      <w:pPr>
        <w:pStyle w:val="ListParagraph"/>
        <w:numPr>
          <w:ilvl w:val="0"/>
          <w:numId w:val="39"/>
        </w:numPr>
        <w:spacing w:before="60" w:after="60"/>
        <w:ind w:left="714" w:hanging="357"/>
        <w:contextualSpacing w:val="0"/>
      </w:pPr>
      <w:r>
        <w:t>P</w:t>
      </w:r>
      <w:r w:rsidRPr="00CD251C">
        <w:t>otreba za većom aktivacijom projekata kojima se izravno doprinosi razvoju modernog civilnog društva kao i većem participiranju građana u donošenju odluka u okviru provedbe lokalnih politika</w:t>
      </w:r>
      <w:r w:rsidRPr="00334068">
        <w:t xml:space="preserve"> </w:t>
      </w:r>
    </w:p>
    <w:p w14:paraId="767529EA" w14:textId="11619D09" w:rsidR="004914B1" w:rsidRDefault="004914B1" w:rsidP="00EC1C17">
      <w:pPr>
        <w:pStyle w:val="ListParagraph"/>
        <w:numPr>
          <w:ilvl w:val="0"/>
          <w:numId w:val="39"/>
        </w:numPr>
        <w:spacing w:before="60" w:after="60"/>
        <w:ind w:left="714" w:hanging="357"/>
        <w:contextualSpacing w:val="0"/>
      </w:pPr>
      <w:r w:rsidRPr="00605701">
        <w:t>Potrebe u dječjim vrtićima u vidu jačanja kapaciteta osoblja, nabavu pomagala i opreme</w:t>
      </w:r>
      <w:r>
        <w:t xml:space="preserve">, kao </w:t>
      </w:r>
      <w:r w:rsidRPr="00605701">
        <w:t>i potrebe za infrastrukturnim zahvatima</w:t>
      </w:r>
      <w:r>
        <w:t>.</w:t>
      </w:r>
      <w:r w:rsidRPr="00D1727E">
        <w:t xml:space="preserve"> </w:t>
      </w:r>
    </w:p>
    <w:p w14:paraId="34D4F8A4" w14:textId="7D088954" w:rsidR="004914B1" w:rsidRDefault="004914B1" w:rsidP="00EC1C17">
      <w:pPr>
        <w:pStyle w:val="ListParagraph"/>
        <w:numPr>
          <w:ilvl w:val="0"/>
          <w:numId w:val="39"/>
        </w:numPr>
        <w:spacing w:before="60" w:after="60"/>
        <w:ind w:left="714" w:hanging="357"/>
        <w:contextualSpacing w:val="0"/>
      </w:pPr>
      <w:r>
        <w:t>N</w:t>
      </w:r>
      <w:r w:rsidRPr="00605701">
        <w:t xml:space="preserve">ova ulaganja u povećanje postojećih prostornih kapaciteta </w:t>
      </w:r>
      <w:r>
        <w:t xml:space="preserve">osnovnih škola </w:t>
      </w:r>
      <w:r w:rsidRPr="00605701">
        <w:t xml:space="preserve">za potpuno usklađivanje s Državnim pedagoškim standardom, odnosno za postizanje jednosmjenskog rada u svim školama. </w:t>
      </w:r>
      <w:r>
        <w:t>Stvaranje odgovarajućih uvjeta</w:t>
      </w:r>
      <w:r w:rsidRPr="00605701">
        <w:t xml:space="preserve"> za provedbu nastave tjelesne i zdravstvene kulture</w:t>
      </w:r>
      <w:r>
        <w:t xml:space="preserve"> u svim školama te infrastrukturni zahvati na postojećim objektima (npr. za zadovoljenje uvjeta </w:t>
      </w:r>
      <w:r w:rsidRPr="00605701">
        <w:t>za pristupačnost osobama s in</w:t>
      </w:r>
      <w:r>
        <w:t>validitetom).</w:t>
      </w:r>
    </w:p>
    <w:p w14:paraId="6953778E" w14:textId="342696DC" w:rsidR="004914B1" w:rsidRDefault="004914B1" w:rsidP="00EC1C17">
      <w:pPr>
        <w:pStyle w:val="ListParagraph"/>
        <w:numPr>
          <w:ilvl w:val="0"/>
          <w:numId w:val="39"/>
        </w:numPr>
        <w:spacing w:before="60" w:after="60"/>
        <w:ind w:left="714" w:hanging="357"/>
        <w:contextualSpacing w:val="0"/>
      </w:pPr>
      <w:r>
        <w:t>Srednjoškolsko i visokoškolsko obrazovanje: u</w:t>
      </w:r>
      <w:r w:rsidRPr="00605701">
        <w:t>napređenje nastavničkih kompetencija, razvoj sustava osiguravanja kvalitete obrazovanja te modernizacija opreme za vježbovni dio nastav</w:t>
      </w:r>
      <w:r>
        <w:t>e te infrastrukturni za</w:t>
      </w:r>
      <w:r w:rsidR="008F39EB">
        <w:t>hvati (proširenja, uređenja, re</w:t>
      </w:r>
      <w:r>
        <w:t>k</w:t>
      </w:r>
      <w:r w:rsidR="008F39EB">
        <w:t>o</w:t>
      </w:r>
      <w:r>
        <w:t>nstrukcije, energetske obnove i sl.)</w:t>
      </w:r>
    </w:p>
    <w:p w14:paraId="22DAC71D" w14:textId="1DCDFFBC" w:rsidR="004914B1" w:rsidRPr="00605701" w:rsidRDefault="004914B1" w:rsidP="00EC1C17">
      <w:pPr>
        <w:pStyle w:val="ListParagraph"/>
        <w:numPr>
          <w:ilvl w:val="0"/>
          <w:numId w:val="39"/>
        </w:numPr>
        <w:spacing w:before="60" w:after="60"/>
        <w:ind w:left="714" w:hanging="357"/>
        <w:contextualSpacing w:val="0"/>
      </w:pPr>
      <w:r>
        <w:t xml:space="preserve">Generalno </w:t>
      </w:r>
      <w:r w:rsidRPr="00605701">
        <w:t>jačanje</w:t>
      </w:r>
      <w:r>
        <w:t xml:space="preserve"> kapaciteta odgojno obrazovnih </w:t>
      </w:r>
      <w:r w:rsidRPr="00605701">
        <w:t xml:space="preserve">ustanova </w:t>
      </w:r>
      <w:r>
        <w:t xml:space="preserve">(uključujući one za obrazovanje odraslih i </w:t>
      </w:r>
      <w:r w:rsidRPr="00605701">
        <w:t>cjeloživotno učenje</w:t>
      </w:r>
      <w:r>
        <w:t>) za kreiranje i</w:t>
      </w:r>
      <w:r w:rsidRPr="00605701">
        <w:t xml:space="preserve"> jačanje ljudskih potencijala, znanja, vještina i zapošljivosti </w:t>
      </w:r>
      <w:r>
        <w:t>postojeće i</w:t>
      </w:r>
      <w:r w:rsidRPr="00605701">
        <w:t xml:space="preserve"> buduće radne snage</w:t>
      </w:r>
      <w:r>
        <w:t>.</w:t>
      </w:r>
    </w:p>
    <w:p w14:paraId="2D2AA112" w14:textId="77777777" w:rsidR="004914B1" w:rsidRPr="004914B1" w:rsidRDefault="004914B1" w:rsidP="004914B1"/>
    <w:tbl>
      <w:tblPr>
        <w:tblW w:w="0" w:type="auto"/>
        <w:tblBorders>
          <w:top w:val="single" w:sz="4" w:space="0" w:color="9AB9AD"/>
          <w:left w:val="single" w:sz="4" w:space="0" w:color="9AB9AD"/>
          <w:bottom w:val="single" w:sz="4" w:space="0" w:color="9AB9AD"/>
          <w:right w:val="single" w:sz="4" w:space="0" w:color="9AB9AD"/>
          <w:insideH w:val="single" w:sz="4" w:space="0" w:color="9AB9AD"/>
          <w:insideV w:val="single" w:sz="4" w:space="0" w:color="9AB9AD"/>
        </w:tblBorders>
        <w:tblLook w:val="04A0" w:firstRow="1" w:lastRow="0" w:firstColumn="1" w:lastColumn="0" w:noHBand="0" w:noVBand="1"/>
      </w:tblPr>
      <w:tblGrid>
        <w:gridCol w:w="4531"/>
        <w:gridCol w:w="4531"/>
      </w:tblGrid>
      <w:tr w:rsidR="00F277E4" w:rsidRPr="00F277E4" w14:paraId="3D10FFA7" w14:textId="77777777" w:rsidTr="00F277E4">
        <w:trPr>
          <w:trHeight w:val="397"/>
          <w:tblHeader/>
        </w:trPr>
        <w:tc>
          <w:tcPr>
            <w:tcW w:w="4531" w:type="dxa"/>
            <w:shd w:val="clear" w:color="auto" w:fill="39617A"/>
            <w:vAlign w:val="center"/>
          </w:tcPr>
          <w:p w14:paraId="7AD1A83B" w14:textId="77777777" w:rsidR="00F277E4" w:rsidRPr="002E1F2A" w:rsidRDefault="00F277E4" w:rsidP="00F277E4">
            <w:pPr>
              <w:rPr>
                <w:b/>
                <w:color w:val="FFFFFF" w:themeColor="background1"/>
                <w:sz w:val="20"/>
                <w:szCs w:val="20"/>
              </w:rPr>
            </w:pPr>
            <w:r w:rsidRPr="002E1F2A">
              <w:rPr>
                <w:b/>
                <w:color w:val="FFFFFF" w:themeColor="background1"/>
                <w:sz w:val="20"/>
                <w:szCs w:val="20"/>
              </w:rPr>
              <w:t>SNAGE</w:t>
            </w:r>
          </w:p>
        </w:tc>
        <w:tc>
          <w:tcPr>
            <w:tcW w:w="4531" w:type="dxa"/>
            <w:shd w:val="clear" w:color="auto" w:fill="39617A"/>
            <w:vAlign w:val="center"/>
          </w:tcPr>
          <w:p w14:paraId="582FCE7A" w14:textId="77777777" w:rsidR="00F277E4" w:rsidRPr="002E1F2A" w:rsidRDefault="00F277E4" w:rsidP="00F277E4">
            <w:pPr>
              <w:rPr>
                <w:b/>
                <w:color w:val="FFFFFF" w:themeColor="background1"/>
                <w:sz w:val="20"/>
                <w:szCs w:val="20"/>
              </w:rPr>
            </w:pPr>
            <w:r w:rsidRPr="002E1F2A">
              <w:rPr>
                <w:b/>
                <w:color w:val="FFFFFF" w:themeColor="background1"/>
                <w:sz w:val="20"/>
                <w:szCs w:val="20"/>
              </w:rPr>
              <w:t>SLABOSTI</w:t>
            </w:r>
          </w:p>
        </w:tc>
      </w:tr>
      <w:tr w:rsidR="00F277E4" w:rsidRPr="001D2B87" w14:paraId="53390CFC" w14:textId="77777777" w:rsidTr="00F277E4">
        <w:tc>
          <w:tcPr>
            <w:tcW w:w="4531" w:type="dxa"/>
          </w:tcPr>
          <w:p w14:paraId="502C81A2" w14:textId="77777777" w:rsidR="00F277E4" w:rsidRPr="002E1F2A" w:rsidRDefault="00F277E4" w:rsidP="00F277E4">
            <w:pPr>
              <w:rPr>
                <w:sz w:val="20"/>
                <w:szCs w:val="20"/>
              </w:rPr>
            </w:pPr>
            <w:r w:rsidRPr="002E1F2A">
              <w:rPr>
                <w:sz w:val="20"/>
                <w:szCs w:val="20"/>
              </w:rPr>
              <w:t>Kvalitetan ljudski potencijal (obrazovana radna snaga)</w:t>
            </w:r>
          </w:p>
          <w:p w14:paraId="56760721" w14:textId="77777777" w:rsidR="00F277E4" w:rsidRPr="002E1F2A" w:rsidRDefault="00F277E4" w:rsidP="00F277E4">
            <w:pPr>
              <w:rPr>
                <w:sz w:val="20"/>
                <w:szCs w:val="20"/>
              </w:rPr>
            </w:pPr>
            <w:r w:rsidRPr="002E1F2A">
              <w:rPr>
                <w:sz w:val="20"/>
                <w:szCs w:val="20"/>
              </w:rPr>
              <w:t>Raspoloživost radne snage za prerađivačku industriju</w:t>
            </w:r>
          </w:p>
          <w:p w14:paraId="08FC70AE" w14:textId="77777777" w:rsidR="00F277E4" w:rsidRPr="002E1F2A" w:rsidRDefault="00F277E4" w:rsidP="00F277E4">
            <w:pPr>
              <w:rPr>
                <w:sz w:val="20"/>
                <w:szCs w:val="20"/>
              </w:rPr>
            </w:pPr>
            <w:r w:rsidRPr="002E1F2A">
              <w:rPr>
                <w:sz w:val="20"/>
                <w:szCs w:val="20"/>
              </w:rPr>
              <w:t xml:space="preserve">Zadovoljavajuća informatička pismenost </w:t>
            </w:r>
          </w:p>
          <w:p w14:paraId="577B8812" w14:textId="77777777" w:rsidR="00F277E4" w:rsidRPr="002E1F2A" w:rsidRDefault="00F277E4" w:rsidP="00F277E4">
            <w:pPr>
              <w:rPr>
                <w:sz w:val="20"/>
                <w:szCs w:val="20"/>
              </w:rPr>
            </w:pPr>
            <w:r w:rsidRPr="002E1F2A">
              <w:rPr>
                <w:sz w:val="20"/>
                <w:szCs w:val="20"/>
              </w:rPr>
              <w:t>Mobilnost radne snage</w:t>
            </w:r>
          </w:p>
          <w:p w14:paraId="391FF19B" w14:textId="77777777" w:rsidR="00F277E4" w:rsidRPr="002E1F2A" w:rsidRDefault="00F277E4" w:rsidP="00F277E4">
            <w:pPr>
              <w:rPr>
                <w:sz w:val="20"/>
                <w:szCs w:val="20"/>
              </w:rPr>
            </w:pPr>
            <w:r w:rsidRPr="002E1F2A">
              <w:rPr>
                <w:sz w:val="20"/>
                <w:szCs w:val="20"/>
              </w:rPr>
              <w:t xml:space="preserve">Brojnost srednjoškolskih programa, utjecaj Veleučilišta i privatnog sektora u području cjeloživotnog obrazovanja </w:t>
            </w:r>
          </w:p>
          <w:p w14:paraId="1984A3B3" w14:textId="77777777" w:rsidR="00F277E4" w:rsidRPr="002E1F2A" w:rsidRDefault="00F277E4" w:rsidP="00F277E4">
            <w:pPr>
              <w:rPr>
                <w:sz w:val="20"/>
                <w:szCs w:val="20"/>
              </w:rPr>
            </w:pPr>
            <w:r w:rsidRPr="002E1F2A">
              <w:rPr>
                <w:sz w:val="20"/>
                <w:szCs w:val="20"/>
              </w:rPr>
              <w:t xml:space="preserve">Organizirani prijevoz za osnovnoškolce i </w:t>
            </w:r>
            <w:r w:rsidRPr="002E1F2A">
              <w:rPr>
                <w:sz w:val="20"/>
                <w:szCs w:val="20"/>
              </w:rPr>
              <w:lastRenderedPageBreak/>
              <w:t xml:space="preserve">srednjoškolce </w:t>
            </w:r>
          </w:p>
          <w:p w14:paraId="68A431FD" w14:textId="767C80EB" w:rsidR="00F277E4" w:rsidRPr="002E1F2A" w:rsidRDefault="00F277E4" w:rsidP="00F277E4">
            <w:pPr>
              <w:rPr>
                <w:sz w:val="20"/>
                <w:szCs w:val="20"/>
              </w:rPr>
            </w:pPr>
            <w:r w:rsidRPr="002E1F2A">
              <w:rPr>
                <w:sz w:val="20"/>
                <w:szCs w:val="20"/>
              </w:rPr>
              <w:t xml:space="preserve">Kvaliteta </w:t>
            </w:r>
            <w:r w:rsidR="0055754F">
              <w:rPr>
                <w:sz w:val="20"/>
                <w:szCs w:val="20"/>
              </w:rPr>
              <w:t>urbanog života (</w:t>
            </w:r>
            <w:r w:rsidR="001458D5">
              <w:rPr>
                <w:sz w:val="20"/>
                <w:szCs w:val="20"/>
              </w:rPr>
              <w:t xml:space="preserve">dostupnost </w:t>
            </w:r>
            <w:r w:rsidR="0055754F">
              <w:rPr>
                <w:sz w:val="20"/>
                <w:szCs w:val="20"/>
              </w:rPr>
              <w:t>osnovn</w:t>
            </w:r>
            <w:r w:rsidR="001458D5">
              <w:rPr>
                <w:sz w:val="20"/>
                <w:szCs w:val="20"/>
              </w:rPr>
              <w:t>ih usluga i infrastrukture, kvaliteta okoliša</w:t>
            </w:r>
            <w:r w:rsidR="0055754F">
              <w:rPr>
                <w:sz w:val="20"/>
                <w:szCs w:val="20"/>
              </w:rPr>
              <w:t>)</w:t>
            </w:r>
            <w:r w:rsidRPr="002E1F2A">
              <w:rPr>
                <w:sz w:val="20"/>
                <w:szCs w:val="20"/>
              </w:rPr>
              <w:t xml:space="preserve"> </w:t>
            </w:r>
          </w:p>
          <w:p w14:paraId="7B8EC344" w14:textId="0568A2CF" w:rsidR="00F277E4" w:rsidRPr="002E1F2A" w:rsidRDefault="001458D5" w:rsidP="00F277E4">
            <w:pPr>
              <w:rPr>
                <w:sz w:val="20"/>
                <w:szCs w:val="20"/>
              </w:rPr>
            </w:pPr>
            <w:r>
              <w:rPr>
                <w:sz w:val="20"/>
                <w:szCs w:val="20"/>
              </w:rPr>
              <w:t>Razvijeno civilno društvo, v</w:t>
            </w:r>
            <w:r w:rsidR="00F277E4" w:rsidRPr="002E1F2A">
              <w:rPr>
                <w:sz w:val="20"/>
                <w:szCs w:val="20"/>
              </w:rPr>
              <w:t>elik broj sportskih udruga i klubova</w:t>
            </w:r>
          </w:p>
          <w:p w14:paraId="2EE5F014" w14:textId="7E64B38A" w:rsidR="00F277E4" w:rsidRPr="002E1F2A" w:rsidRDefault="001458D5" w:rsidP="00F277E4">
            <w:pPr>
              <w:rPr>
                <w:sz w:val="20"/>
                <w:szCs w:val="20"/>
              </w:rPr>
            </w:pPr>
            <w:r>
              <w:rPr>
                <w:sz w:val="20"/>
                <w:szCs w:val="20"/>
              </w:rPr>
              <w:t xml:space="preserve">Institucionalizirani </w:t>
            </w:r>
            <w:r w:rsidR="00F277E4" w:rsidRPr="002E1F2A">
              <w:rPr>
                <w:sz w:val="20"/>
                <w:szCs w:val="20"/>
              </w:rPr>
              <w:t xml:space="preserve">sustav potpore sportu i rekreaciji </w:t>
            </w:r>
          </w:p>
          <w:p w14:paraId="46380A27" w14:textId="77777777" w:rsidR="00F277E4" w:rsidRPr="002E1F2A" w:rsidRDefault="00F277E4" w:rsidP="00F277E4">
            <w:pPr>
              <w:rPr>
                <w:sz w:val="20"/>
                <w:szCs w:val="20"/>
              </w:rPr>
            </w:pPr>
            <w:r w:rsidRPr="002E1F2A">
              <w:rPr>
                <w:sz w:val="20"/>
                <w:szCs w:val="20"/>
              </w:rPr>
              <w:t xml:space="preserve">Postojanje sportsko-rekreacijske infrastrukture </w:t>
            </w:r>
          </w:p>
          <w:p w14:paraId="6EEA60AB" w14:textId="77777777" w:rsidR="00F277E4" w:rsidRPr="002E1F2A" w:rsidRDefault="00F277E4" w:rsidP="00F277E4">
            <w:pPr>
              <w:rPr>
                <w:sz w:val="20"/>
                <w:szCs w:val="20"/>
              </w:rPr>
            </w:pPr>
            <w:r w:rsidRPr="002E1F2A">
              <w:rPr>
                <w:sz w:val="20"/>
                <w:szCs w:val="20"/>
              </w:rPr>
              <w:t xml:space="preserve">Razvijena tradicija amaterskog kazališta, dobra društvena infrastruktura </w:t>
            </w:r>
          </w:p>
          <w:p w14:paraId="308B6C8B" w14:textId="77777777" w:rsidR="00F277E4" w:rsidRPr="002E1F2A" w:rsidRDefault="00F277E4" w:rsidP="00F277E4">
            <w:pPr>
              <w:rPr>
                <w:sz w:val="20"/>
                <w:szCs w:val="20"/>
              </w:rPr>
            </w:pPr>
            <w:r w:rsidRPr="002E1F2A">
              <w:rPr>
                <w:sz w:val="20"/>
                <w:szCs w:val="20"/>
              </w:rPr>
              <w:t>Bogata ponuda kulturnih i sportskih manifestacija i programa</w:t>
            </w:r>
          </w:p>
          <w:p w14:paraId="6FCFE40A" w14:textId="77777777" w:rsidR="00F277E4" w:rsidRPr="002E1F2A" w:rsidRDefault="00F277E4" w:rsidP="00F277E4">
            <w:pPr>
              <w:rPr>
                <w:sz w:val="20"/>
                <w:szCs w:val="20"/>
              </w:rPr>
            </w:pPr>
            <w:r w:rsidRPr="002E1F2A">
              <w:rPr>
                <w:sz w:val="20"/>
                <w:szCs w:val="20"/>
              </w:rPr>
              <w:t xml:space="preserve">Razvijena tehnička kultura civilnog sektora (prostorni i informatički kapaciteti) </w:t>
            </w:r>
          </w:p>
          <w:p w14:paraId="752449BA" w14:textId="2EFE8DB5" w:rsidR="00F277E4" w:rsidRPr="002E1F2A" w:rsidRDefault="001458D5" w:rsidP="00F277E4">
            <w:pPr>
              <w:rPr>
                <w:sz w:val="20"/>
                <w:szCs w:val="20"/>
              </w:rPr>
            </w:pPr>
            <w:r>
              <w:rPr>
                <w:sz w:val="20"/>
                <w:szCs w:val="20"/>
              </w:rPr>
              <w:t>Instutucionalizirani</w:t>
            </w:r>
            <w:r w:rsidR="00F277E4" w:rsidRPr="002E1F2A">
              <w:rPr>
                <w:sz w:val="20"/>
                <w:szCs w:val="20"/>
              </w:rPr>
              <w:t xml:space="preserve"> sustav zdravstvene i socijalne skrbi</w:t>
            </w:r>
          </w:p>
        </w:tc>
        <w:tc>
          <w:tcPr>
            <w:tcW w:w="4531" w:type="dxa"/>
          </w:tcPr>
          <w:p w14:paraId="0C2D6DFE" w14:textId="77777777" w:rsidR="00F277E4" w:rsidRPr="002E1F2A" w:rsidRDefault="00F277E4" w:rsidP="00F277E4">
            <w:pPr>
              <w:rPr>
                <w:sz w:val="20"/>
                <w:szCs w:val="20"/>
              </w:rPr>
            </w:pPr>
            <w:r w:rsidRPr="002E1F2A">
              <w:rPr>
                <w:sz w:val="20"/>
                <w:szCs w:val="20"/>
              </w:rPr>
              <w:lastRenderedPageBreak/>
              <w:t xml:space="preserve">Nepovoljna demografska kretanja (pad ukupnog broja stanovnika, negativan prirodni prirast, migracije stanovnika u veće gradove, starenje stanovništva) </w:t>
            </w:r>
          </w:p>
          <w:p w14:paraId="53344030" w14:textId="77777777" w:rsidR="00F277E4" w:rsidRPr="002E1F2A" w:rsidRDefault="00F277E4" w:rsidP="00F277E4">
            <w:pPr>
              <w:rPr>
                <w:sz w:val="20"/>
                <w:szCs w:val="20"/>
              </w:rPr>
            </w:pPr>
            <w:r w:rsidRPr="002E1F2A">
              <w:rPr>
                <w:sz w:val="20"/>
                <w:szCs w:val="20"/>
              </w:rPr>
              <w:t xml:space="preserve">Nizak životni standard </w:t>
            </w:r>
            <w:r w:rsidRPr="002E1F2A">
              <w:rPr>
                <w:rFonts w:ascii="Times New Roman" w:hAnsi="Times New Roman" w:cs="Times New Roman"/>
                <w:sz w:val="20"/>
                <w:szCs w:val="20"/>
              </w:rPr>
              <w:t>→</w:t>
            </w:r>
            <w:r w:rsidRPr="002E1F2A">
              <w:rPr>
                <w:sz w:val="20"/>
                <w:szCs w:val="20"/>
              </w:rPr>
              <w:t xml:space="preserve"> visoka stopa siromaštva</w:t>
            </w:r>
          </w:p>
          <w:p w14:paraId="145E5C6A" w14:textId="35CA7318" w:rsidR="00F277E4" w:rsidRPr="002E1F2A" w:rsidRDefault="00F277E4" w:rsidP="00F277E4">
            <w:pPr>
              <w:rPr>
                <w:sz w:val="20"/>
                <w:szCs w:val="20"/>
              </w:rPr>
            </w:pPr>
            <w:r w:rsidRPr="002E1F2A">
              <w:rPr>
                <w:sz w:val="20"/>
                <w:szCs w:val="20"/>
              </w:rPr>
              <w:t xml:space="preserve">Manjak </w:t>
            </w:r>
            <w:r w:rsidR="001458D5">
              <w:rPr>
                <w:sz w:val="20"/>
                <w:szCs w:val="20"/>
              </w:rPr>
              <w:t xml:space="preserve">kapaciteta (ljudski, oprema i usluge) u sustavu </w:t>
            </w:r>
            <w:r w:rsidR="00154632">
              <w:rPr>
                <w:sz w:val="20"/>
                <w:szCs w:val="20"/>
              </w:rPr>
              <w:t>zdravstva</w:t>
            </w:r>
            <w:r w:rsidRPr="002E1F2A">
              <w:rPr>
                <w:sz w:val="20"/>
                <w:szCs w:val="20"/>
              </w:rPr>
              <w:t xml:space="preserve"> </w:t>
            </w:r>
          </w:p>
          <w:p w14:paraId="6D642734" w14:textId="77777777" w:rsidR="00F277E4" w:rsidRPr="002E1F2A" w:rsidRDefault="00F277E4" w:rsidP="00F277E4">
            <w:pPr>
              <w:rPr>
                <w:sz w:val="20"/>
                <w:szCs w:val="20"/>
              </w:rPr>
            </w:pPr>
            <w:r w:rsidRPr="002E1F2A">
              <w:rPr>
                <w:sz w:val="20"/>
                <w:szCs w:val="20"/>
              </w:rPr>
              <w:t>Nedovoljno razvijeni upravljački kapaciteti civilnog društva</w:t>
            </w:r>
          </w:p>
          <w:p w14:paraId="3640E35D" w14:textId="77777777" w:rsidR="00F277E4" w:rsidRPr="002E1F2A" w:rsidRDefault="00F277E4" w:rsidP="00F277E4">
            <w:pPr>
              <w:rPr>
                <w:sz w:val="20"/>
                <w:szCs w:val="20"/>
              </w:rPr>
            </w:pPr>
            <w:r w:rsidRPr="002E1F2A">
              <w:rPr>
                <w:sz w:val="20"/>
                <w:szCs w:val="20"/>
              </w:rPr>
              <w:t xml:space="preserve">Nedovoljna razina svijesti građana o djelovanju </w:t>
            </w:r>
            <w:r w:rsidRPr="002E1F2A">
              <w:rPr>
                <w:sz w:val="20"/>
                <w:szCs w:val="20"/>
              </w:rPr>
              <w:lastRenderedPageBreak/>
              <w:t>civilnog društva</w:t>
            </w:r>
          </w:p>
          <w:p w14:paraId="725F28CB" w14:textId="45F71100" w:rsidR="00F277E4" w:rsidRPr="002E1F2A" w:rsidRDefault="00F277E4" w:rsidP="00F277E4">
            <w:pPr>
              <w:rPr>
                <w:sz w:val="20"/>
                <w:szCs w:val="20"/>
              </w:rPr>
            </w:pPr>
            <w:r w:rsidRPr="002E1F2A">
              <w:rPr>
                <w:sz w:val="20"/>
                <w:szCs w:val="20"/>
              </w:rPr>
              <w:t>Nedovoljni kapaciteti za dvoranske</w:t>
            </w:r>
            <w:r w:rsidR="00154632">
              <w:rPr>
                <w:sz w:val="20"/>
                <w:szCs w:val="20"/>
              </w:rPr>
              <w:t xml:space="preserve"> sportove, zapuštenost i neuređenost</w:t>
            </w:r>
            <w:r w:rsidR="00154632" w:rsidRPr="002E1F2A">
              <w:rPr>
                <w:sz w:val="20"/>
                <w:szCs w:val="20"/>
              </w:rPr>
              <w:t xml:space="preserve"> sportski</w:t>
            </w:r>
            <w:r w:rsidR="00154632">
              <w:rPr>
                <w:sz w:val="20"/>
                <w:szCs w:val="20"/>
              </w:rPr>
              <w:t>h objekata</w:t>
            </w:r>
            <w:r w:rsidR="00154632" w:rsidRPr="002E1F2A">
              <w:rPr>
                <w:sz w:val="20"/>
                <w:szCs w:val="20"/>
              </w:rPr>
              <w:t xml:space="preserve"> i igrališta</w:t>
            </w:r>
            <w:r w:rsidR="00154632">
              <w:rPr>
                <w:sz w:val="20"/>
                <w:szCs w:val="20"/>
              </w:rPr>
              <w:t>, uz visoke troškove održavanja</w:t>
            </w:r>
          </w:p>
          <w:p w14:paraId="47ACF4EC" w14:textId="77777777" w:rsidR="00F277E4" w:rsidRPr="002E1F2A" w:rsidRDefault="00F277E4" w:rsidP="00F277E4">
            <w:pPr>
              <w:rPr>
                <w:sz w:val="20"/>
                <w:szCs w:val="20"/>
              </w:rPr>
            </w:pPr>
            <w:r w:rsidRPr="002E1F2A">
              <w:rPr>
                <w:sz w:val="20"/>
                <w:szCs w:val="20"/>
              </w:rPr>
              <w:t xml:space="preserve">Nedovoljno prepoznata i valorizirana kulturna dobra </w:t>
            </w:r>
          </w:p>
          <w:p w14:paraId="513CE144" w14:textId="77777777" w:rsidR="00F277E4" w:rsidRPr="002E1F2A" w:rsidRDefault="00F277E4" w:rsidP="00F277E4">
            <w:pPr>
              <w:rPr>
                <w:sz w:val="20"/>
                <w:szCs w:val="20"/>
              </w:rPr>
            </w:pPr>
            <w:r w:rsidRPr="002E1F2A">
              <w:rPr>
                <w:sz w:val="20"/>
                <w:szCs w:val="20"/>
              </w:rPr>
              <w:t xml:space="preserve">Neprilagođena infrastruktura za očuvanje kulturne baštine </w:t>
            </w:r>
          </w:p>
          <w:p w14:paraId="7B4CE9FB" w14:textId="77777777" w:rsidR="00F277E4" w:rsidRPr="002E1F2A" w:rsidRDefault="00F277E4" w:rsidP="00F277E4">
            <w:pPr>
              <w:rPr>
                <w:sz w:val="20"/>
                <w:szCs w:val="20"/>
              </w:rPr>
            </w:pPr>
            <w:r w:rsidRPr="002E1F2A">
              <w:rPr>
                <w:sz w:val="20"/>
                <w:szCs w:val="20"/>
              </w:rPr>
              <w:t>Velik broj područnih škola u kojima se ne održava nastava</w:t>
            </w:r>
          </w:p>
          <w:p w14:paraId="50B92CE1" w14:textId="77777777" w:rsidR="00F277E4" w:rsidRPr="002E1F2A" w:rsidRDefault="00F277E4" w:rsidP="00F277E4">
            <w:pPr>
              <w:rPr>
                <w:sz w:val="20"/>
                <w:szCs w:val="20"/>
              </w:rPr>
            </w:pPr>
            <w:r w:rsidRPr="002E1F2A">
              <w:rPr>
                <w:sz w:val="20"/>
                <w:szCs w:val="20"/>
              </w:rPr>
              <w:t>Nedostatni kapaciteti za skrb ranjivih skupina</w:t>
            </w:r>
          </w:p>
          <w:p w14:paraId="6AFBA6C0" w14:textId="27060373" w:rsidR="00F277E4" w:rsidRPr="002E1F2A" w:rsidRDefault="00F277E4" w:rsidP="00F277E4">
            <w:pPr>
              <w:rPr>
                <w:sz w:val="20"/>
                <w:szCs w:val="20"/>
              </w:rPr>
            </w:pPr>
          </w:p>
        </w:tc>
      </w:tr>
      <w:tr w:rsidR="00F277E4" w:rsidRPr="00F277E4" w14:paraId="19D0F04B" w14:textId="77777777" w:rsidTr="00F277E4">
        <w:trPr>
          <w:trHeight w:val="397"/>
        </w:trPr>
        <w:tc>
          <w:tcPr>
            <w:tcW w:w="4531" w:type="dxa"/>
            <w:shd w:val="clear" w:color="auto" w:fill="39617A"/>
            <w:vAlign w:val="center"/>
          </w:tcPr>
          <w:p w14:paraId="4EB3F57D" w14:textId="77777777" w:rsidR="00F277E4" w:rsidRPr="002E1F2A" w:rsidRDefault="00F277E4" w:rsidP="00F277E4">
            <w:pPr>
              <w:rPr>
                <w:b/>
                <w:color w:val="FFFFFF" w:themeColor="background1"/>
                <w:sz w:val="20"/>
                <w:szCs w:val="20"/>
              </w:rPr>
            </w:pPr>
            <w:r w:rsidRPr="002E1F2A">
              <w:rPr>
                <w:b/>
                <w:color w:val="FFFFFF" w:themeColor="background1"/>
                <w:sz w:val="20"/>
                <w:szCs w:val="20"/>
              </w:rPr>
              <w:lastRenderedPageBreak/>
              <w:t>PRILIKE</w:t>
            </w:r>
          </w:p>
        </w:tc>
        <w:tc>
          <w:tcPr>
            <w:tcW w:w="4531" w:type="dxa"/>
            <w:shd w:val="clear" w:color="auto" w:fill="39617A"/>
            <w:vAlign w:val="center"/>
          </w:tcPr>
          <w:p w14:paraId="68DDA35C" w14:textId="77777777" w:rsidR="00F277E4" w:rsidRPr="002E1F2A" w:rsidRDefault="00F277E4" w:rsidP="00F277E4">
            <w:pPr>
              <w:rPr>
                <w:b/>
                <w:color w:val="FFFFFF" w:themeColor="background1"/>
                <w:sz w:val="20"/>
                <w:szCs w:val="20"/>
              </w:rPr>
            </w:pPr>
            <w:r w:rsidRPr="002E1F2A">
              <w:rPr>
                <w:b/>
                <w:color w:val="FFFFFF" w:themeColor="background1"/>
                <w:sz w:val="20"/>
                <w:szCs w:val="20"/>
              </w:rPr>
              <w:t>PRIJETNJE</w:t>
            </w:r>
          </w:p>
        </w:tc>
      </w:tr>
      <w:tr w:rsidR="00F277E4" w:rsidRPr="001D2B87" w14:paraId="53990B4A" w14:textId="77777777" w:rsidTr="00F277E4">
        <w:tc>
          <w:tcPr>
            <w:tcW w:w="4531" w:type="dxa"/>
          </w:tcPr>
          <w:p w14:paraId="087EC668" w14:textId="448F4D15" w:rsidR="00F277E4" w:rsidRPr="002E1F2A" w:rsidRDefault="007676FA" w:rsidP="00F277E4">
            <w:pPr>
              <w:rPr>
                <w:sz w:val="20"/>
                <w:szCs w:val="20"/>
              </w:rPr>
            </w:pPr>
            <w:r>
              <w:rPr>
                <w:sz w:val="20"/>
                <w:szCs w:val="20"/>
              </w:rPr>
              <w:t>Podizanje kvalitete</w:t>
            </w:r>
            <w:r w:rsidR="00F277E4" w:rsidRPr="002E1F2A">
              <w:rPr>
                <w:sz w:val="20"/>
                <w:szCs w:val="20"/>
              </w:rPr>
              <w:t xml:space="preserve"> obrazovnog sustava </w:t>
            </w:r>
            <w:r>
              <w:rPr>
                <w:sz w:val="20"/>
                <w:szCs w:val="20"/>
              </w:rPr>
              <w:t>i razvitak kompetencija sukladnih potrebama gospodarstva</w:t>
            </w:r>
          </w:p>
          <w:p w14:paraId="23EDBC08" w14:textId="52F867AD" w:rsidR="00F277E4" w:rsidRPr="002E1F2A" w:rsidRDefault="00F277E4" w:rsidP="00F277E4">
            <w:pPr>
              <w:rPr>
                <w:sz w:val="20"/>
                <w:szCs w:val="20"/>
              </w:rPr>
            </w:pPr>
            <w:r w:rsidRPr="002E1F2A">
              <w:rPr>
                <w:sz w:val="20"/>
                <w:szCs w:val="20"/>
              </w:rPr>
              <w:t>Ulaganje u kapacitete civilnog sektora</w:t>
            </w:r>
            <w:r w:rsidR="007676FA">
              <w:rPr>
                <w:sz w:val="20"/>
                <w:szCs w:val="20"/>
              </w:rPr>
              <w:t>, umrežavanje</w:t>
            </w:r>
            <w:r w:rsidRPr="002E1F2A">
              <w:rPr>
                <w:sz w:val="20"/>
                <w:szCs w:val="20"/>
              </w:rPr>
              <w:t xml:space="preserve"> civilnog i poslovnog sektora</w:t>
            </w:r>
          </w:p>
          <w:p w14:paraId="72534351" w14:textId="77777777" w:rsidR="00F277E4" w:rsidRPr="002E1F2A" w:rsidRDefault="00F277E4" w:rsidP="00F277E4">
            <w:pPr>
              <w:rPr>
                <w:sz w:val="20"/>
                <w:szCs w:val="20"/>
              </w:rPr>
            </w:pPr>
            <w:r w:rsidRPr="002E1F2A">
              <w:rPr>
                <w:sz w:val="20"/>
                <w:szCs w:val="20"/>
              </w:rPr>
              <w:t xml:space="preserve">Uređenje i izgradnja objekata za obrazovne, kulturne i rekreativne programe i sadržaje </w:t>
            </w:r>
          </w:p>
          <w:p w14:paraId="7F4A650C" w14:textId="77777777" w:rsidR="00F277E4" w:rsidRPr="002E1F2A" w:rsidRDefault="00F277E4" w:rsidP="00F277E4">
            <w:pPr>
              <w:rPr>
                <w:sz w:val="20"/>
                <w:szCs w:val="20"/>
              </w:rPr>
            </w:pPr>
            <w:r w:rsidRPr="002E1F2A">
              <w:rPr>
                <w:sz w:val="20"/>
                <w:szCs w:val="20"/>
              </w:rPr>
              <w:t>Poboljšanje životnog standarda kroz provedbu mjera socijalne politike</w:t>
            </w:r>
          </w:p>
          <w:p w14:paraId="6413697B" w14:textId="77777777" w:rsidR="00F277E4" w:rsidRPr="002E1F2A" w:rsidRDefault="00F277E4" w:rsidP="00F277E4">
            <w:pPr>
              <w:rPr>
                <w:sz w:val="20"/>
                <w:szCs w:val="20"/>
              </w:rPr>
            </w:pPr>
            <w:r w:rsidRPr="002E1F2A">
              <w:rPr>
                <w:sz w:val="20"/>
                <w:szCs w:val="20"/>
              </w:rPr>
              <w:t xml:space="preserve">Razvoj socijalnih usluga kroz suradnju s udrugama i socijalno poduzetništvo </w:t>
            </w:r>
          </w:p>
          <w:p w14:paraId="57C271B8" w14:textId="77777777" w:rsidR="00F277E4" w:rsidRPr="002E1F2A" w:rsidRDefault="00F277E4" w:rsidP="00F277E4">
            <w:pPr>
              <w:rPr>
                <w:sz w:val="20"/>
                <w:szCs w:val="20"/>
              </w:rPr>
            </w:pPr>
            <w:r w:rsidRPr="002E1F2A">
              <w:rPr>
                <w:sz w:val="20"/>
                <w:szCs w:val="20"/>
              </w:rPr>
              <w:t xml:space="preserve">Unapređenje brige i skrbi te razvoj socijalnih usluga za socijalno osjetljive skupine stanovništva </w:t>
            </w:r>
          </w:p>
          <w:p w14:paraId="22346F2E" w14:textId="77777777" w:rsidR="00F277E4" w:rsidRDefault="00F277E4" w:rsidP="007676FA">
            <w:pPr>
              <w:rPr>
                <w:sz w:val="20"/>
                <w:szCs w:val="20"/>
              </w:rPr>
            </w:pPr>
            <w:r w:rsidRPr="002E1F2A">
              <w:rPr>
                <w:sz w:val="20"/>
                <w:szCs w:val="20"/>
              </w:rPr>
              <w:t>Poticanje sustavne suradnje između zdravstvenih i socijalnih ustanova s</w:t>
            </w:r>
            <w:r w:rsidR="007676FA">
              <w:rPr>
                <w:sz w:val="20"/>
                <w:szCs w:val="20"/>
              </w:rPr>
              <w:t xml:space="preserve"> institucijama civilnog sektora, razvoj</w:t>
            </w:r>
            <w:r w:rsidRPr="002E1F2A">
              <w:rPr>
                <w:sz w:val="20"/>
                <w:szCs w:val="20"/>
              </w:rPr>
              <w:t xml:space="preserve"> izvaninstitucionalnih oblika socijalne skrbi </w:t>
            </w:r>
          </w:p>
          <w:p w14:paraId="3CB9A2F6" w14:textId="736A05D2" w:rsidR="009F1381" w:rsidRPr="002E1F2A" w:rsidRDefault="009F1381" w:rsidP="007676FA">
            <w:pPr>
              <w:rPr>
                <w:sz w:val="20"/>
                <w:szCs w:val="20"/>
              </w:rPr>
            </w:pPr>
            <w:r>
              <w:rPr>
                <w:sz w:val="20"/>
                <w:szCs w:val="20"/>
              </w:rPr>
              <w:t>Dostupnost EU fondova</w:t>
            </w:r>
          </w:p>
        </w:tc>
        <w:tc>
          <w:tcPr>
            <w:tcW w:w="4531" w:type="dxa"/>
          </w:tcPr>
          <w:p w14:paraId="38AD9A93" w14:textId="77777777" w:rsidR="00F277E4" w:rsidRPr="002E1F2A" w:rsidRDefault="00F277E4" w:rsidP="00F277E4">
            <w:pPr>
              <w:rPr>
                <w:sz w:val="20"/>
                <w:szCs w:val="20"/>
              </w:rPr>
            </w:pPr>
            <w:r w:rsidRPr="002E1F2A">
              <w:rPr>
                <w:sz w:val="20"/>
                <w:szCs w:val="20"/>
              </w:rPr>
              <w:t>Kontinuirani negativni prirodni prirast</w:t>
            </w:r>
          </w:p>
          <w:p w14:paraId="770FBFC2" w14:textId="775DD0F1" w:rsidR="00F277E4" w:rsidRDefault="00F277E4" w:rsidP="00F277E4">
            <w:pPr>
              <w:rPr>
                <w:sz w:val="20"/>
                <w:szCs w:val="20"/>
              </w:rPr>
            </w:pPr>
            <w:r w:rsidRPr="002E1F2A">
              <w:rPr>
                <w:sz w:val="20"/>
                <w:szCs w:val="20"/>
              </w:rPr>
              <w:t>Negativan</w:t>
            </w:r>
            <w:r w:rsidR="001E1F0C">
              <w:rPr>
                <w:sz w:val="20"/>
                <w:szCs w:val="20"/>
              </w:rPr>
              <w:t>i migracijski tokovi</w:t>
            </w:r>
          </w:p>
          <w:p w14:paraId="2D4B1DCC" w14:textId="768F34B0" w:rsidR="0055754F" w:rsidRPr="002E1F2A" w:rsidRDefault="0055754F" w:rsidP="00F277E4">
            <w:pPr>
              <w:rPr>
                <w:sz w:val="20"/>
                <w:szCs w:val="20"/>
              </w:rPr>
            </w:pPr>
            <w:r w:rsidRPr="002E1F2A">
              <w:rPr>
                <w:sz w:val="20"/>
                <w:szCs w:val="20"/>
              </w:rPr>
              <w:t>Migracija velikog broja stručnog kadra u veće gradove ili u inozemstvo</w:t>
            </w:r>
          </w:p>
          <w:p w14:paraId="51F4A321" w14:textId="5ADF6342" w:rsidR="00F277E4" w:rsidRPr="002E1F2A" w:rsidRDefault="00F277E4" w:rsidP="00F277E4">
            <w:pPr>
              <w:rPr>
                <w:sz w:val="20"/>
                <w:szCs w:val="20"/>
              </w:rPr>
            </w:pPr>
            <w:r w:rsidRPr="002E1F2A">
              <w:rPr>
                <w:sz w:val="20"/>
                <w:szCs w:val="20"/>
              </w:rPr>
              <w:t xml:space="preserve">Nepostojanje </w:t>
            </w:r>
            <w:r w:rsidR="001E1F0C">
              <w:rPr>
                <w:sz w:val="20"/>
                <w:szCs w:val="20"/>
              </w:rPr>
              <w:t>strateški usmjerene i jasne nacionalne politike</w:t>
            </w:r>
            <w:r w:rsidRPr="002E1F2A">
              <w:rPr>
                <w:sz w:val="20"/>
                <w:szCs w:val="20"/>
              </w:rPr>
              <w:t xml:space="preserve"> demografske obnove </w:t>
            </w:r>
          </w:p>
          <w:p w14:paraId="312316D6" w14:textId="0883E3CD" w:rsidR="00F277E4" w:rsidRPr="002E1F2A" w:rsidRDefault="00F277E4" w:rsidP="00F277E4">
            <w:pPr>
              <w:rPr>
                <w:sz w:val="20"/>
                <w:szCs w:val="20"/>
              </w:rPr>
            </w:pPr>
            <w:r w:rsidRPr="002E1F2A">
              <w:rPr>
                <w:sz w:val="20"/>
                <w:szCs w:val="20"/>
              </w:rPr>
              <w:t xml:space="preserve">Nedostatak koordinacije između </w:t>
            </w:r>
            <w:r w:rsidR="00D2782E">
              <w:rPr>
                <w:sz w:val="20"/>
                <w:szCs w:val="20"/>
              </w:rPr>
              <w:t>obrazovnog sektora</w:t>
            </w:r>
            <w:r w:rsidR="001E1F0C">
              <w:rPr>
                <w:sz w:val="20"/>
                <w:szCs w:val="20"/>
              </w:rPr>
              <w:t xml:space="preserve"> (srednjoškolskog i</w:t>
            </w:r>
            <w:r w:rsidRPr="002E1F2A">
              <w:rPr>
                <w:sz w:val="20"/>
                <w:szCs w:val="20"/>
              </w:rPr>
              <w:t xml:space="preserve"> višeg obrazovanja</w:t>
            </w:r>
            <w:r w:rsidR="001E1F0C">
              <w:rPr>
                <w:sz w:val="20"/>
                <w:szCs w:val="20"/>
              </w:rPr>
              <w:t>)</w:t>
            </w:r>
            <w:r w:rsidRPr="002E1F2A">
              <w:rPr>
                <w:sz w:val="20"/>
                <w:szCs w:val="20"/>
              </w:rPr>
              <w:t xml:space="preserve"> i gospodarstva</w:t>
            </w:r>
            <w:r w:rsidR="001E1F0C">
              <w:rPr>
                <w:sz w:val="20"/>
                <w:szCs w:val="20"/>
              </w:rPr>
              <w:t xml:space="preserve"> (potreba tržišta rada)</w:t>
            </w:r>
          </w:p>
          <w:p w14:paraId="693AC643" w14:textId="77777777" w:rsidR="007676FA" w:rsidRDefault="00F277E4" w:rsidP="00F277E4">
            <w:pPr>
              <w:rPr>
                <w:sz w:val="20"/>
                <w:szCs w:val="20"/>
              </w:rPr>
            </w:pPr>
            <w:r w:rsidRPr="002E1F2A">
              <w:rPr>
                <w:sz w:val="20"/>
                <w:szCs w:val="20"/>
              </w:rPr>
              <w:t>Siromaštvo i socijalna isključenost</w:t>
            </w:r>
          </w:p>
          <w:p w14:paraId="624D894C" w14:textId="49887DA7" w:rsidR="00F277E4" w:rsidRPr="002E1F2A" w:rsidRDefault="007676FA" w:rsidP="007676FA">
            <w:pPr>
              <w:rPr>
                <w:sz w:val="20"/>
                <w:szCs w:val="20"/>
              </w:rPr>
            </w:pPr>
            <w:r>
              <w:rPr>
                <w:sz w:val="20"/>
                <w:szCs w:val="20"/>
              </w:rPr>
              <w:t>Smanjenje vitalnosti stanovništva / rastući broj starijeg stanovništva i povećanje potreba za socijalnim i zdravstvenim uslugama</w:t>
            </w:r>
          </w:p>
        </w:tc>
      </w:tr>
    </w:tbl>
    <w:p w14:paraId="1C8C69F7" w14:textId="77777777" w:rsidR="00E04B40" w:rsidRPr="00F277E4" w:rsidRDefault="00E04B40" w:rsidP="00F277E4"/>
    <w:p w14:paraId="51C9E6B2" w14:textId="66AB569D" w:rsidR="00E04B40" w:rsidRDefault="005A153F" w:rsidP="001A5F94">
      <w:pPr>
        <w:pStyle w:val="Heading2"/>
        <w:rPr>
          <w:noProof/>
        </w:rPr>
      </w:pPr>
      <w:bookmarkStart w:id="86" w:name="_Toc437390594"/>
      <w:r>
        <w:rPr>
          <w:noProof/>
        </w:rPr>
        <w:t xml:space="preserve">SWOT </w:t>
      </w:r>
      <w:r w:rsidR="006333E2">
        <w:rPr>
          <w:noProof/>
        </w:rPr>
        <w:t>G</w:t>
      </w:r>
      <w:r w:rsidR="0005720E" w:rsidRPr="00DA239E">
        <w:rPr>
          <w:noProof/>
        </w:rPr>
        <w:t>ospodarstv</w:t>
      </w:r>
      <w:r w:rsidR="00B00DB1" w:rsidRPr="00DA239E">
        <w:rPr>
          <w:noProof/>
        </w:rPr>
        <w:t>o</w:t>
      </w:r>
      <w:bookmarkEnd w:id="86"/>
    </w:p>
    <w:p w14:paraId="68AC4C04" w14:textId="1C60DF95" w:rsidR="007676FA" w:rsidRPr="007676FA" w:rsidRDefault="007676FA" w:rsidP="007676FA">
      <w:pPr>
        <w:rPr>
          <w:b/>
          <w:color w:val="17365D" w:themeColor="text2" w:themeShade="BF"/>
        </w:rPr>
      </w:pPr>
      <w:r>
        <w:rPr>
          <w:b/>
          <w:color w:val="17365D" w:themeColor="text2" w:themeShade="BF"/>
        </w:rPr>
        <w:t>Glavna o</w:t>
      </w:r>
      <w:r w:rsidRPr="001458D5">
        <w:rPr>
          <w:b/>
          <w:color w:val="17365D" w:themeColor="text2" w:themeShade="BF"/>
        </w:rPr>
        <w:t>biježja</w:t>
      </w:r>
    </w:p>
    <w:p w14:paraId="51D67F30" w14:textId="4776334A" w:rsidR="007676FA" w:rsidRPr="00A9401F" w:rsidRDefault="007676FA" w:rsidP="00EC1C17">
      <w:pPr>
        <w:pStyle w:val="ListParagraph"/>
        <w:numPr>
          <w:ilvl w:val="0"/>
          <w:numId w:val="40"/>
        </w:numPr>
        <w:spacing w:before="60" w:after="60"/>
        <w:ind w:left="714" w:hanging="357"/>
        <w:contextualSpacing w:val="0"/>
      </w:pPr>
      <w:r w:rsidRPr="00A9401F">
        <w:t xml:space="preserve">Na području VUPKA </w:t>
      </w:r>
      <w:r w:rsidR="008F39EB">
        <w:t xml:space="preserve">posluje </w:t>
      </w:r>
      <w:r w:rsidRPr="00A9401F">
        <w:t xml:space="preserve">oko 1400 trgovačkih društava, što je 70% trgovačkih društava Karlovačke županije. Gospodarsku sliku dopunjuje i oko 1.111 obrta, što je 59% obrta Karlovačke županije aktivnih u 2019. </w:t>
      </w:r>
      <w:r>
        <w:t>g</w:t>
      </w:r>
      <w:r w:rsidRPr="00A9401F">
        <w:t>odini.</w:t>
      </w:r>
    </w:p>
    <w:p w14:paraId="69F83FAD" w14:textId="263F155C" w:rsidR="007676FA" w:rsidRDefault="007676FA" w:rsidP="00EC1C17">
      <w:pPr>
        <w:pStyle w:val="ListParagraph"/>
        <w:numPr>
          <w:ilvl w:val="0"/>
          <w:numId w:val="40"/>
        </w:numPr>
        <w:spacing w:before="60" w:after="60"/>
        <w:ind w:left="714" w:hanging="357"/>
        <w:contextualSpacing w:val="0"/>
      </w:pPr>
      <w:r w:rsidRPr="00915405">
        <w:t xml:space="preserve">Najznačajnije gospodarske grane </w:t>
      </w:r>
      <w:r>
        <w:t xml:space="preserve">po prihodima i broju zaposlenih </w:t>
      </w:r>
      <w:r w:rsidRPr="00915405">
        <w:t>su prerađivačka industrija, trgovina, graditeljstvo te prijevoz i skladištenje</w:t>
      </w:r>
      <w:r>
        <w:t>. Po broju poduzetnika</w:t>
      </w:r>
      <w:r w:rsidR="008F39EB">
        <w:t>,</w:t>
      </w:r>
      <w:r w:rsidRPr="00915405">
        <w:t xml:space="preserve"> </w:t>
      </w:r>
      <w:r>
        <w:t xml:space="preserve">u gradu Karlovcu i Dugoj Resi dominiraju oni koji posluju u </w:t>
      </w:r>
      <w:r w:rsidRPr="00FD510D">
        <w:t>sektoru trgovine na veliko i na malo</w:t>
      </w:r>
      <w:r>
        <w:t xml:space="preserve"> (58% poduzetnika u Karlovcu i 57% poduzetnika u Dugoj Resi), a n</w:t>
      </w:r>
      <w:r w:rsidRPr="008B7334">
        <w:t xml:space="preserve">a području grada Ozlja </w:t>
      </w:r>
      <w:r>
        <w:t xml:space="preserve">najveći </w:t>
      </w:r>
      <w:r>
        <w:lastRenderedPageBreak/>
        <w:t>broj poduzetnika djeluje u sektorima</w:t>
      </w:r>
      <w:r w:rsidR="009D2828">
        <w:t xml:space="preserve"> </w:t>
      </w:r>
      <w:r>
        <w:t xml:space="preserve">prerađivačke industrije (23,81%), trgovine </w:t>
      </w:r>
      <w:r w:rsidRPr="008B7334">
        <w:t>(22,22%) te gra</w:t>
      </w:r>
      <w:r>
        <w:t>đevinarstva</w:t>
      </w:r>
      <w:r w:rsidRPr="008B7334">
        <w:t xml:space="preserve"> (18,25%).</w:t>
      </w:r>
      <w:r>
        <w:t xml:space="preserve"> </w:t>
      </w:r>
      <w:r w:rsidRPr="00135760">
        <w:t>Unutar industrije prevladavaju proizvodnja hrane i pića</w:t>
      </w:r>
      <w:r w:rsidR="008F39EB">
        <w:t>, proizvodnja metala te opreme i</w:t>
      </w:r>
      <w:r w:rsidRPr="00135760">
        <w:t xml:space="preserve"> strojeva, proizvodnja proizvoda od gume i plastičnih masa, tekstilna i drvna industrija.</w:t>
      </w:r>
    </w:p>
    <w:p w14:paraId="39A541B7" w14:textId="2A35B016" w:rsidR="007676FA" w:rsidRDefault="007676FA" w:rsidP="00EC1C17">
      <w:pPr>
        <w:pStyle w:val="ListParagraph"/>
        <w:numPr>
          <w:ilvl w:val="0"/>
          <w:numId w:val="40"/>
        </w:numPr>
        <w:spacing w:before="60" w:after="60"/>
        <w:ind w:left="714" w:hanging="357"/>
        <w:contextualSpacing w:val="0"/>
      </w:pPr>
      <w:r>
        <w:t xml:space="preserve">Razdoblje 2013. – 2018. obilježeno je fazom ekspanzije poslovnog ciklusa, </w:t>
      </w:r>
      <w:r w:rsidR="008F39EB">
        <w:t xml:space="preserve">kako </w:t>
      </w:r>
      <w:r>
        <w:t xml:space="preserve">na nacionalnom, tako i </w:t>
      </w:r>
      <w:r w:rsidR="008F39EB">
        <w:t xml:space="preserve">na </w:t>
      </w:r>
      <w:r>
        <w:t>regionalnom / lokalnom nivou. Na području VUPKA bilježi se porast broja poduzetnika i pozitivnih financijskih rezultata, povećanje broja zaposlenih, porast gospodarske aktivnosti (uvoz i izvoz), porast prosječne mjesečne neto plaće po zaposlenom.</w:t>
      </w:r>
    </w:p>
    <w:p w14:paraId="362C0ED7" w14:textId="429C8A3C" w:rsidR="007676FA" w:rsidRPr="00563A7B" w:rsidRDefault="007676FA" w:rsidP="00EC1C17">
      <w:pPr>
        <w:pStyle w:val="ListParagraph"/>
        <w:numPr>
          <w:ilvl w:val="0"/>
          <w:numId w:val="40"/>
        </w:numPr>
        <w:spacing w:before="60" w:after="60"/>
        <w:ind w:left="714" w:hanging="357"/>
        <w:contextualSpacing w:val="0"/>
      </w:pPr>
      <w:r>
        <w:t>Specifično za područje VUPKA je izvozna orjentacija gospodarstva i pozitivni trgovinski saldo u razmjeni s inozemstvom; u razdoblju 2013.-2017. broj izvoznika se povećao za 46%, a vrijednost izvoza za 11%; usljed porasta uvoza za 19%, u promatranom</w:t>
      </w:r>
      <w:r w:rsidR="008F39EB">
        <w:t xml:space="preserve"> razdoblju došlo je do smanjenja</w:t>
      </w:r>
      <w:r>
        <w:t xml:space="preserve"> pozitivnog izvoznog salda koji je u 2017. g</w:t>
      </w:r>
      <w:r w:rsidR="008F39EB">
        <w:t>odini</w:t>
      </w:r>
      <w:r>
        <w:t xml:space="preserve"> iznosio oko tristo tisuća kuna.</w:t>
      </w:r>
    </w:p>
    <w:p w14:paraId="53422732" w14:textId="77777777" w:rsidR="007676FA" w:rsidRPr="00563A7B" w:rsidRDefault="007676FA" w:rsidP="00EC1C17">
      <w:pPr>
        <w:pStyle w:val="ListParagraph"/>
        <w:numPr>
          <w:ilvl w:val="0"/>
          <w:numId w:val="40"/>
        </w:numPr>
        <w:spacing w:before="60" w:after="60"/>
        <w:ind w:left="714" w:hanging="357"/>
        <w:contextualSpacing w:val="0"/>
      </w:pPr>
      <w:r>
        <w:t>T</w:t>
      </w:r>
      <w:r w:rsidRPr="00563A7B">
        <w:t xml:space="preserve">uristička i ugostiteljska djelatnost bilježi sve veće stope rasta zahvaljujući otvaranju novih kapaciteta i uvođenju novih turističkih proizvoda u skladu s porastom atraktivnosti kontinentalnih turističkih destinacija za što </w:t>
      </w:r>
      <w:r>
        <w:t xml:space="preserve">VUPKA i </w:t>
      </w:r>
      <w:r w:rsidRPr="00563A7B">
        <w:t>Karlovačka županija, uzevši u obzir svoje prirodne i kulturne atraktivnosti, ima</w:t>
      </w:r>
      <w:r>
        <w:t>ju</w:t>
      </w:r>
      <w:r w:rsidRPr="00563A7B">
        <w:t xml:space="preserve"> odlične preduvjete. </w:t>
      </w:r>
    </w:p>
    <w:p w14:paraId="5038B1AA" w14:textId="5DDAF1A0" w:rsidR="007676FA" w:rsidRPr="007676FA" w:rsidRDefault="007676FA" w:rsidP="007676FA">
      <w:pPr>
        <w:rPr>
          <w:b/>
          <w:color w:val="17365D" w:themeColor="text2" w:themeShade="BF"/>
        </w:rPr>
      </w:pPr>
      <w:r w:rsidRPr="007676FA">
        <w:rPr>
          <w:b/>
          <w:color w:val="17365D" w:themeColor="text2" w:themeShade="BF"/>
        </w:rPr>
        <w:t>Glavni razvojni problemi i potrebe</w:t>
      </w:r>
      <w:r w:rsidR="00EC1C17">
        <w:rPr>
          <w:rStyle w:val="FootnoteReference"/>
          <w:b/>
          <w:color w:val="17365D" w:themeColor="text2" w:themeShade="BF"/>
        </w:rPr>
        <w:footnoteReference w:id="23"/>
      </w:r>
      <w:r w:rsidRPr="007676FA">
        <w:rPr>
          <w:b/>
          <w:color w:val="17365D" w:themeColor="text2" w:themeShade="BF"/>
        </w:rPr>
        <w:t>:</w:t>
      </w:r>
    </w:p>
    <w:p w14:paraId="61AD12B9" w14:textId="65543D2A" w:rsidR="00EC1C17" w:rsidRPr="00EC1C17" w:rsidRDefault="008407EF" w:rsidP="00EC1C17">
      <w:pPr>
        <w:pStyle w:val="ListParagraph"/>
        <w:numPr>
          <w:ilvl w:val="0"/>
          <w:numId w:val="41"/>
        </w:numPr>
        <w:spacing w:before="60" w:after="60"/>
        <w:ind w:left="714" w:hanging="357"/>
        <w:contextualSpacing w:val="0"/>
        <w:rPr>
          <w:b/>
        </w:rPr>
      </w:pPr>
      <w:r>
        <w:t xml:space="preserve">Poboljšanje </w:t>
      </w:r>
      <w:r w:rsidR="00EC1C17">
        <w:t>osnovne infrastrukture, javnih servisa i učinkovitosti javnog sektora</w:t>
      </w:r>
    </w:p>
    <w:p w14:paraId="7B6EA56A" w14:textId="7627D48E" w:rsidR="008407EF" w:rsidRPr="008407EF" w:rsidRDefault="00EC1C17" w:rsidP="00EC1C17">
      <w:pPr>
        <w:pStyle w:val="ListParagraph"/>
        <w:numPr>
          <w:ilvl w:val="0"/>
          <w:numId w:val="41"/>
        </w:numPr>
        <w:spacing w:before="60" w:after="60"/>
        <w:ind w:left="714" w:hanging="357"/>
        <w:contextualSpacing w:val="0"/>
        <w:rPr>
          <w:b/>
        </w:rPr>
      </w:pPr>
      <w:r>
        <w:t xml:space="preserve">Poboljšanje </w:t>
      </w:r>
      <w:r w:rsidR="008407EF">
        <w:t>poslovne infrastrukture</w:t>
      </w:r>
    </w:p>
    <w:p w14:paraId="4C48BDCB" w14:textId="0535EEFA" w:rsidR="008407EF" w:rsidRPr="00EC1C17" w:rsidRDefault="00EC1C17" w:rsidP="00EC1C17">
      <w:pPr>
        <w:pStyle w:val="ListParagraph"/>
        <w:numPr>
          <w:ilvl w:val="0"/>
          <w:numId w:val="41"/>
        </w:numPr>
        <w:spacing w:before="60" w:after="60"/>
        <w:ind w:left="714" w:hanging="357"/>
        <w:contextualSpacing w:val="0"/>
        <w:rPr>
          <w:b/>
        </w:rPr>
      </w:pPr>
      <w:r>
        <w:t>Stvaranje jačih poveznica</w:t>
      </w:r>
      <w:r w:rsidR="008407EF">
        <w:t xml:space="preserve"> s obrazovnim sustavom</w:t>
      </w:r>
      <w:r w:rsidR="008F39EB">
        <w:t>, uklj</w:t>
      </w:r>
      <w:r>
        <w:t>učujući povećanje dostupnosti i kvalitete poslovnih škola i programa za cjeloživotno obrazovanje</w:t>
      </w:r>
    </w:p>
    <w:p w14:paraId="2BE40C68" w14:textId="73EF9A7B" w:rsidR="00261001" w:rsidRPr="00EC1C17" w:rsidRDefault="00EC1C17" w:rsidP="00EC1C17">
      <w:pPr>
        <w:pStyle w:val="ListParagraph"/>
        <w:numPr>
          <w:ilvl w:val="0"/>
          <w:numId w:val="41"/>
        </w:numPr>
        <w:spacing w:before="60" w:after="60"/>
        <w:ind w:left="714" w:hanging="357"/>
        <w:contextualSpacing w:val="0"/>
        <w:rPr>
          <w:b/>
        </w:rPr>
      </w:pPr>
      <w:r>
        <w:t>Veća dostupnost različitih izvora financiranja</w:t>
      </w:r>
    </w:p>
    <w:p w14:paraId="34ED17E9" w14:textId="77777777" w:rsidR="007676FA" w:rsidRPr="007676FA" w:rsidRDefault="007676FA" w:rsidP="007676FA"/>
    <w:tbl>
      <w:tblPr>
        <w:tblW w:w="0" w:type="auto"/>
        <w:tblBorders>
          <w:top w:val="single" w:sz="4" w:space="0" w:color="9AB9AD"/>
          <w:left w:val="single" w:sz="4" w:space="0" w:color="9AB9AD"/>
          <w:bottom w:val="single" w:sz="4" w:space="0" w:color="9AB9AD"/>
          <w:right w:val="single" w:sz="4" w:space="0" w:color="9AB9AD"/>
          <w:insideH w:val="single" w:sz="4" w:space="0" w:color="9AB9AD"/>
          <w:insideV w:val="single" w:sz="4" w:space="0" w:color="9AB9AD"/>
        </w:tblBorders>
        <w:tblLook w:val="04A0" w:firstRow="1" w:lastRow="0" w:firstColumn="1" w:lastColumn="0" w:noHBand="0" w:noVBand="1"/>
      </w:tblPr>
      <w:tblGrid>
        <w:gridCol w:w="4531"/>
        <w:gridCol w:w="4531"/>
      </w:tblGrid>
      <w:tr w:rsidR="00F277E4" w:rsidRPr="00F277E4" w14:paraId="003F738B" w14:textId="77777777" w:rsidTr="00F277E4">
        <w:trPr>
          <w:trHeight w:val="397"/>
        </w:trPr>
        <w:tc>
          <w:tcPr>
            <w:tcW w:w="4531" w:type="dxa"/>
            <w:shd w:val="clear" w:color="auto" w:fill="39617A"/>
            <w:vAlign w:val="center"/>
          </w:tcPr>
          <w:p w14:paraId="01E17AD2" w14:textId="77777777" w:rsidR="00F277E4" w:rsidRPr="002E1F2A" w:rsidRDefault="00F277E4" w:rsidP="00F277E4">
            <w:pPr>
              <w:rPr>
                <w:b/>
                <w:color w:val="FFFFFF" w:themeColor="background1"/>
                <w:sz w:val="20"/>
                <w:szCs w:val="20"/>
              </w:rPr>
            </w:pPr>
            <w:r w:rsidRPr="002E1F2A">
              <w:rPr>
                <w:b/>
                <w:color w:val="FFFFFF" w:themeColor="background1"/>
                <w:sz w:val="20"/>
                <w:szCs w:val="20"/>
              </w:rPr>
              <w:t>SNAGE</w:t>
            </w:r>
          </w:p>
        </w:tc>
        <w:tc>
          <w:tcPr>
            <w:tcW w:w="4531" w:type="dxa"/>
            <w:shd w:val="clear" w:color="auto" w:fill="39617A"/>
            <w:vAlign w:val="center"/>
          </w:tcPr>
          <w:p w14:paraId="42318170" w14:textId="77777777" w:rsidR="00F277E4" w:rsidRPr="002E1F2A" w:rsidRDefault="00F277E4" w:rsidP="00F277E4">
            <w:pPr>
              <w:rPr>
                <w:b/>
                <w:color w:val="FFFFFF" w:themeColor="background1"/>
                <w:sz w:val="20"/>
                <w:szCs w:val="20"/>
              </w:rPr>
            </w:pPr>
            <w:r w:rsidRPr="002E1F2A">
              <w:rPr>
                <w:b/>
                <w:color w:val="FFFFFF" w:themeColor="background1"/>
                <w:sz w:val="20"/>
                <w:szCs w:val="20"/>
              </w:rPr>
              <w:t>SLABOSTI</w:t>
            </w:r>
          </w:p>
        </w:tc>
      </w:tr>
      <w:tr w:rsidR="00F277E4" w:rsidRPr="00F277E4" w14:paraId="46B67242" w14:textId="77777777" w:rsidTr="00F277E4">
        <w:tc>
          <w:tcPr>
            <w:tcW w:w="4531" w:type="dxa"/>
          </w:tcPr>
          <w:p w14:paraId="48FFA2A9" w14:textId="77777777" w:rsidR="00F277E4" w:rsidRPr="002E1F2A" w:rsidRDefault="00F277E4" w:rsidP="00F277E4">
            <w:pPr>
              <w:rPr>
                <w:sz w:val="20"/>
                <w:szCs w:val="20"/>
              </w:rPr>
            </w:pPr>
            <w:r w:rsidRPr="002E1F2A">
              <w:rPr>
                <w:sz w:val="20"/>
                <w:szCs w:val="20"/>
              </w:rPr>
              <w:t>Prerađivačka industrija (prehrambena i metaloprerađivačka) najznačajnija je gospodarska djelatnost prema udjelu u BDP-u, zaposlenosti i ostvarenim prihodima – industrijska tradicija</w:t>
            </w:r>
          </w:p>
          <w:p w14:paraId="12101B9E" w14:textId="77777777" w:rsidR="00F277E4" w:rsidRPr="002E1F2A" w:rsidRDefault="00F277E4" w:rsidP="00F277E4">
            <w:pPr>
              <w:rPr>
                <w:sz w:val="20"/>
                <w:szCs w:val="20"/>
              </w:rPr>
            </w:pPr>
            <w:r w:rsidRPr="002E1F2A">
              <w:rPr>
                <w:sz w:val="20"/>
                <w:szCs w:val="20"/>
              </w:rPr>
              <w:t xml:space="preserve">Izvozno orijentirano gospodarstvo </w:t>
            </w:r>
          </w:p>
          <w:p w14:paraId="0F00374C" w14:textId="77777777" w:rsidR="00F277E4" w:rsidRPr="002E1F2A" w:rsidRDefault="00F277E4" w:rsidP="00F277E4">
            <w:pPr>
              <w:rPr>
                <w:sz w:val="20"/>
                <w:szCs w:val="20"/>
              </w:rPr>
            </w:pPr>
            <w:r w:rsidRPr="002E1F2A">
              <w:rPr>
                <w:sz w:val="20"/>
                <w:szCs w:val="20"/>
              </w:rPr>
              <w:t>Stabilna i pozitivna trgovinska robna razmjena</w:t>
            </w:r>
          </w:p>
          <w:p w14:paraId="7DAD76EC" w14:textId="77777777" w:rsidR="00F277E4" w:rsidRPr="002E1F2A" w:rsidRDefault="00F277E4" w:rsidP="00F277E4">
            <w:pPr>
              <w:rPr>
                <w:sz w:val="20"/>
                <w:szCs w:val="20"/>
              </w:rPr>
            </w:pPr>
            <w:r w:rsidRPr="002E1F2A">
              <w:rPr>
                <w:sz w:val="20"/>
                <w:szCs w:val="20"/>
              </w:rPr>
              <w:t>Očuvano poljoprivredno zemljište</w:t>
            </w:r>
          </w:p>
          <w:p w14:paraId="6EF1CE2D" w14:textId="77777777" w:rsidR="00F277E4" w:rsidRPr="002E1F2A" w:rsidRDefault="00F277E4" w:rsidP="00F277E4">
            <w:pPr>
              <w:rPr>
                <w:sz w:val="20"/>
                <w:szCs w:val="20"/>
              </w:rPr>
            </w:pPr>
            <w:r w:rsidRPr="002E1F2A">
              <w:rPr>
                <w:sz w:val="20"/>
                <w:szCs w:val="20"/>
              </w:rPr>
              <w:t xml:space="preserve">Povoljna klima za razvoj poljoprivrede </w:t>
            </w:r>
          </w:p>
          <w:p w14:paraId="306A8562" w14:textId="77777777" w:rsidR="00F277E4" w:rsidRPr="002E1F2A" w:rsidRDefault="00F277E4" w:rsidP="00F277E4">
            <w:pPr>
              <w:rPr>
                <w:sz w:val="20"/>
                <w:szCs w:val="20"/>
              </w:rPr>
            </w:pPr>
            <w:r w:rsidRPr="002E1F2A">
              <w:rPr>
                <w:sz w:val="20"/>
                <w:szCs w:val="20"/>
              </w:rPr>
              <w:t xml:space="preserve">Razvijen šumarski sektor </w:t>
            </w:r>
          </w:p>
          <w:p w14:paraId="018BC28B" w14:textId="5AD6F18E" w:rsidR="00F277E4" w:rsidRPr="002E1F2A" w:rsidRDefault="001E1F0C" w:rsidP="00F277E4">
            <w:pPr>
              <w:rPr>
                <w:sz w:val="20"/>
                <w:szCs w:val="20"/>
              </w:rPr>
            </w:pPr>
            <w:r>
              <w:rPr>
                <w:sz w:val="20"/>
                <w:szCs w:val="20"/>
              </w:rPr>
              <w:t xml:space="preserve">Bogata prirodna baština (NATURA 2000 područja) </w:t>
            </w:r>
            <w:r w:rsidR="009F1381">
              <w:rPr>
                <w:sz w:val="20"/>
                <w:szCs w:val="20"/>
              </w:rPr>
              <w:t xml:space="preserve">i materijalna i nematerijalna kulturna baština </w:t>
            </w:r>
            <w:r>
              <w:rPr>
                <w:sz w:val="20"/>
                <w:szCs w:val="20"/>
              </w:rPr>
              <w:t>kao podloga za razvoj turizma i umrežavanje kulturnog i turizma baziranog na očuvanoj prirodnoj baštini</w:t>
            </w:r>
          </w:p>
          <w:p w14:paraId="69B2FBFA" w14:textId="77777777" w:rsidR="00F277E4" w:rsidRPr="002E1F2A" w:rsidRDefault="00F277E4" w:rsidP="00F277E4">
            <w:pPr>
              <w:rPr>
                <w:sz w:val="20"/>
                <w:szCs w:val="20"/>
              </w:rPr>
            </w:pPr>
            <w:r w:rsidRPr="002E1F2A">
              <w:rPr>
                <w:sz w:val="20"/>
                <w:szCs w:val="20"/>
              </w:rPr>
              <w:t xml:space="preserve">Povoljan geografski položaj grada za razvoj aktivnog, izletničkog, brdskog i lovnog turizma </w:t>
            </w:r>
          </w:p>
          <w:p w14:paraId="166CAB09" w14:textId="77777777" w:rsidR="00F277E4" w:rsidRPr="002E1F2A" w:rsidRDefault="00F277E4" w:rsidP="00F277E4">
            <w:pPr>
              <w:rPr>
                <w:sz w:val="20"/>
                <w:szCs w:val="20"/>
              </w:rPr>
            </w:pPr>
            <w:r w:rsidRPr="002E1F2A">
              <w:rPr>
                <w:sz w:val="20"/>
                <w:szCs w:val="20"/>
              </w:rPr>
              <w:lastRenderedPageBreak/>
              <w:t xml:space="preserve">Konkurentne cijene poslovnih prostora i zemljišta na atraktivnim lokacijama </w:t>
            </w:r>
          </w:p>
          <w:p w14:paraId="61EA34A9" w14:textId="77777777" w:rsidR="00F277E4" w:rsidRPr="002E1F2A" w:rsidRDefault="00F277E4" w:rsidP="00F277E4">
            <w:pPr>
              <w:rPr>
                <w:sz w:val="20"/>
                <w:szCs w:val="20"/>
              </w:rPr>
            </w:pPr>
            <w:r w:rsidRPr="002E1F2A">
              <w:rPr>
                <w:sz w:val="20"/>
                <w:szCs w:val="20"/>
              </w:rPr>
              <w:t>Institucionalizirana međuregionalna i međunarodna suradnja</w:t>
            </w:r>
          </w:p>
          <w:p w14:paraId="70F320AB" w14:textId="77777777" w:rsidR="00F277E4" w:rsidRPr="002E1F2A" w:rsidRDefault="00F277E4" w:rsidP="00F277E4">
            <w:pPr>
              <w:rPr>
                <w:sz w:val="20"/>
                <w:szCs w:val="20"/>
              </w:rPr>
            </w:pPr>
          </w:p>
        </w:tc>
        <w:tc>
          <w:tcPr>
            <w:tcW w:w="4531" w:type="dxa"/>
          </w:tcPr>
          <w:p w14:paraId="3A3921D4" w14:textId="6ADEF7FF" w:rsidR="00F277E4" w:rsidRPr="002E1F2A" w:rsidRDefault="00F277E4" w:rsidP="00F277E4">
            <w:pPr>
              <w:rPr>
                <w:sz w:val="20"/>
                <w:szCs w:val="20"/>
              </w:rPr>
            </w:pPr>
            <w:r w:rsidRPr="002E1F2A">
              <w:rPr>
                <w:sz w:val="20"/>
                <w:szCs w:val="20"/>
              </w:rPr>
              <w:lastRenderedPageBreak/>
              <w:t>Ovisnost o velikim poduzećima</w:t>
            </w:r>
            <w:r w:rsidR="001E1F0C">
              <w:rPr>
                <w:sz w:val="20"/>
                <w:szCs w:val="20"/>
              </w:rPr>
              <w:t xml:space="preserve"> / koncentracija u dvije djelatnosti (prehrambena i metaloprerađivačka)</w:t>
            </w:r>
          </w:p>
          <w:p w14:paraId="3CD39676" w14:textId="77777777" w:rsidR="00F277E4" w:rsidRPr="002E1F2A" w:rsidRDefault="00F277E4" w:rsidP="00F277E4">
            <w:pPr>
              <w:rPr>
                <w:sz w:val="20"/>
                <w:szCs w:val="20"/>
              </w:rPr>
            </w:pPr>
            <w:r w:rsidRPr="002E1F2A">
              <w:rPr>
                <w:sz w:val="20"/>
                <w:szCs w:val="20"/>
              </w:rPr>
              <w:t xml:space="preserve">Slaba ekonomska snaga mikro i malih poduzetnika </w:t>
            </w:r>
          </w:p>
          <w:p w14:paraId="1C3FFB8B" w14:textId="3670BB62" w:rsidR="00F277E4" w:rsidRPr="002E1F2A" w:rsidRDefault="00F277E4" w:rsidP="00F277E4">
            <w:pPr>
              <w:rPr>
                <w:sz w:val="20"/>
                <w:szCs w:val="20"/>
              </w:rPr>
            </w:pPr>
            <w:r w:rsidRPr="002E1F2A">
              <w:rPr>
                <w:sz w:val="20"/>
                <w:szCs w:val="20"/>
              </w:rPr>
              <w:t xml:space="preserve">Nedostatak ulaganja u nove tehnologije </w:t>
            </w:r>
            <w:r w:rsidR="001E1F0C">
              <w:rPr>
                <w:sz w:val="20"/>
                <w:szCs w:val="20"/>
              </w:rPr>
              <w:t>/ nedostatak inovacija</w:t>
            </w:r>
          </w:p>
          <w:p w14:paraId="40CF417D" w14:textId="77777777" w:rsidR="00F277E4" w:rsidRPr="002E1F2A" w:rsidRDefault="00F277E4" w:rsidP="00F277E4">
            <w:pPr>
              <w:rPr>
                <w:sz w:val="20"/>
                <w:szCs w:val="20"/>
              </w:rPr>
            </w:pPr>
            <w:r w:rsidRPr="002E1F2A">
              <w:rPr>
                <w:sz w:val="20"/>
                <w:szCs w:val="20"/>
              </w:rPr>
              <w:t>Kontinuirano smanjenje broja obrtnika</w:t>
            </w:r>
          </w:p>
          <w:p w14:paraId="087BF460" w14:textId="77777777" w:rsidR="00F277E4" w:rsidRPr="002E1F2A" w:rsidRDefault="00F277E4" w:rsidP="00F277E4">
            <w:pPr>
              <w:rPr>
                <w:sz w:val="20"/>
                <w:szCs w:val="20"/>
              </w:rPr>
            </w:pPr>
            <w:r w:rsidRPr="002E1F2A">
              <w:rPr>
                <w:sz w:val="20"/>
                <w:szCs w:val="20"/>
              </w:rPr>
              <w:t>Nedostatak financijskih sredstava za razvojne planove</w:t>
            </w:r>
          </w:p>
          <w:p w14:paraId="165ABBED" w14:textId="77777777" w:rsidR="00F277E4" w:rsidRPr="002E1F2A" w:rsidRDefault="00F277E4" w:rsidP="00F277E4">
            <w:pPr>
              <w:rPr>
                <w:sz w:val="20"/>
                <w:szCs w:val="20"/>
              </w:rPr>
            </w:pPr>
            <w:r w:rsidRPr="002E1F2A">
              <w:rPr>
                <w:sz w:val="20"/>
                <w:szCs w:val="20"/>
              </w:rPr>
              <w:t xml:space="preserve">Nepostojanje razvojnog centra za nove tehnologije </w:t>
            </w:r>
          </w:p>
          <w:p w14:paraId="31E83DA7" w14:textId="76E6363C" w:rsidR="00F277E4" w:rsidRPr="002E1F2A" w:rsidRDefault="00F277E4" w:rsidP="00F277E4">
            <w:pPr>
              <w:rPr>
                <w:sz w:val="20"/>
                <w:szCs w:val="20"/>
              </w:rPr>
            </w:pPr>
            <w:r w:rsidRPr="002E1F2A">
              <w:rPr>
                <w:sz w:val="20"/>
                <w:szCs w:val="20"/>
              </w:rPr>
              <w:t>Model upravljanja poduzetničkim zonama ne daje očekivane rezultate</w:t>
            </w:r>
            <w:r w:rsidR="00697C84">
              <w:rPr>
                <w:sz w:val="20"/>
                <w:szCs w:val="20"/>
              </w:rPr>
              <w:t>; d</w:t>
            </w:r>
            <w:r w:rsidR="00697C84" w:rsidRPr="002E1F2A">
              <w:rPr>
                <w:sz w:val="20"/>
                <w:szCs w:val="20"/>
              </w:rPr>
              <w:t xml:space="preserve">isperziranost gospodarskih zona </w:t>
            </w:r>
            <w:r w:rsidR="00697C84">
              <w:rPr>
                <w:sz w:val="20"/>
                <w:szCs w:val="20"/>
              </w:rPr>
              <w:t>i vrlo nizak stupanj aktivacije poduzetničkih zona u KŽ; djelomično nedovoljna infrastrukturna opremljenost industrijskih zona</w:t>
            </w:r>
          </w:p>
          <w:p w14:paraId="3591FF3E" w14:textId="77777777" w:rsidR="00F277E4" w:rsidRPr="002E1F2A" w:rsidRDefault="00F277E4" w:rsidP="00F277E4">
            <w:pPr>
              <w:rPr>
                <w:sz w:val="20"/>
                <w:szCs w:val="20"/>
              </w:rPr>
            </w:pPr>
            <w:r w:rsidRPr="002E1F2A">
              <w:rPr>
                <w:sz w:val="20"/>
                <w:szCs w:val="20"/>
              </w:rPr>
              <w:lastRenderedPageBreak/>
              <w:t xml:space="preserve">Nesklonost poduzetnika za suradnju i zajednički nastup na tržištu </w:t>
            </w:r>
          </w:p>
          <w:p w14:paraId="54D252EC" w14:textId="77777777" w:rsidR="00F277E4" w:rsidRPr="002E1F2A" w:rsidRDefault="00F277E4" w:rsidP="00F277E4">
            <w:pPr>
              <w:rPr>
                <w:sz w:val="20"/>
                <w:szCs w:val="20"/>
              </w:rPr>
            </w:pPr>
            <w:r w:rsidRPr="002E1F2A">
              <w:rPr>
                <w:sz w:val="20"/>
                <w:szCs w:val="20"/>
              </w:rPr>
              <w:t>Nedovoljna koordiniranost između potreba tržišta radne snage i obrazovnog sustava</w:t>
            </w:r>
          </w:p>
          <w:p w14:paraId="338E1E48" w14:textId="77777777" w:rsidR="00F277E4" w:rsidRPr="002E1F2A" w:rsidRDefault="00F277E4" w:rsidP="00F277E4">
            <w:pPr>
              <w:rPr>
                <w:sz w:val="20"/>
                <w:szCs w:val="20"/>
              </w:rPr>
            </w:pPr>
            <w:r w:rsidRPr="002E1F2A">
              <w:rPr>
                <w:sz w:val="20"/>
                <w:szCs w:val="20"/>
              </w:rPr>
              <w:t xml:space="preserve">Neorganiziranost i usitnjenost poljoprivredne proizvodnje </w:t>
            </w:r>
          </w:p>
          <w:p w14:paraId="393EC0C8" w14:textId="77777777" w:rsidR="00F277E4" w:rsidRPr="002E1F2A" w:rsidRDefault="00F277E4" w:rsidP="00F277E4">
            <w:pPr>
              <w:rPr>
                <w:sz w:val="20"/>
                <w:szCs w:val="20"/>
              </w:rPr>
            </w:pPr>
            <w:r w:rsidRPr="002E1F2A">
              <w:rPr>
                <w:sz w:val="20"/>
                <w:szCs w:val="20"/>
              </w:rPr>
              <w:t xml:space="preserve">Nedostatna valorizacija turističkih atrakcija i neiskorištenost postojećih turističkih resursa  </w:t>
            </w:r>
          </w:p>
          <w:p w14:paraId="464E58EE" w14:textId="31B6CB2B" w:rsidR="00F277E4" w:rsidRPr="002E1F2A" w:rsidRDefault="00F277E4" w:rsidP="00F277E4">
            <w:pPr>
              <w:rPr>
                <w:sz w:val="20"/>
                <w:szCs w:val="20"/>
              </w:rPr>
            </w:pPr>
            <w:r w:rsidRPr="002E1F2A">
              <w:rPr>
                <w:sz w:val="20"/>
                <w:szCs w:val="20"/>
              </w:rPr>
              <w:t xml:space="preserve">Tranzitni turizam i manjak kvalitetnog smještajnog kapaciteta </w:t>
            </w:r>
          </w:p>
        </w:tc>
      </w:tr>
      <w:tr w:rsidR="00F277E4" w:rsidRPr="00F277E4" w14:paraId="1E5ED5F0" w14:textId="77777777" w:rsidTr="00F277E4">
        <w:trPr>
          <w:trHeight w:val="397"/>
        </w:trPr>
        <w:tc>
          <w:tcPr>
            <w:tcW w:w="4531" w:type="dxa"/>
            <w:shd w:val="clear" w:color="auto" w:fill="39617A"/>
            <w:vAlign w:val="center"/>
          </w:tcPr>
          <w:p w14:paraId="604A38F9" w14:textId="77777777" w:rsidR="00F277E4" w:rsidRPr="002E1F2A" w:rsidRDefault="00F277E4" w:rsidP="00F277E4">
            <w:pPr>
              <w:rPr>
                <w:b/>
                <w:color w:val="FFFFFF" w:themeColor="background1"/>
                <w:sz w:val="20"/>
                <w:szCs w:val="20"/>
              </w:rPr>
            </w:pPr>
            <w:r w:rsidRPr="002E1F2A">
              <w:rPr>
                <w:b/>
                <w:color w:val="FFFFFF" w:themeColor="background1"/>
                <w:sz w:val="20"/>
                <w:szCs w:val="20"/>
              </w:rPr>
              <w:lastRenderedPageBreak/>
              <w:t>PRILIKE</w:t>
            </w:r>
          </w:p>
        </w:tc>
        <w:tc>
          <w:tcPr>
            <w:tcW w:w="4531" w:type="dxa"/>
            <w:shd w:val="clear" w:color="auto" w:fill="39617A"/>
            <w:vAlign w:val="center"/>
          </w:tcPr>
          <w:p w14:paraId="1A7890FC" w14:textId="77777777" w:rsidR="00F277E4" w:rsidRPr="002E1F2A" w:rsidRDefault="00F277E4" w:rsidP="00F277E4">
            <w:pPr>
              <w:rPr>
                <w:b/>
                <w:color w:val="FFFFFF" w:themeColor="background1"/>
                <w:sz w:val="20"/>
                <w:szCs w:val="20"/>
              </w:rPr>
            </w:pPr>
            <w:r w:rsidRPr="002E1F2A">
              <w:rPr>
                <w:b/>
                <w:color w:val="FFFFFF" w:themeColor="background1"/>
                <w:sz w:val="20"/>
                <w:szCs w:val="20"/>
              </w:rPr>
              <w:t>PRIJETNJE</w:t>
            </w:r>
          </w:p>
        </w:tc>
      </w:tr>
      <w:tr w:rsidR="00F277E4" w:rsidRPr="00F277E4" w14:paraId="410B26C0" w14:textId="77777777" w:rsidTr="00F277E4">
        <w:tc>
          <w:tcPr>
            <w:tcW w:w="4531" w:type="dxa"/>
          </w:tcPr>
          <w:p w14:paraId="0834B769" w14:textId="696CE1C7" w:rsidR="001E1F0C" w:rsidRDefault="001E1F0C" w:rsidP="00F277E4">
            <w:pPr>
              <w:rPr>
                <w:sz w:val="20"/>
                <w:szCs w:val="20"/>
              </w:rPr>
            </w:pPr>
            <w:r>
              <w:rPr>
                <w:sz w:val="20"/>
                <w:szCs w:val="20"/>
              </w:rPr>
              <w:t>Dobar geoprometni položaj / prometna infrastruktura</w:t>
            </w:r>
          </w:p>
          <w:p w14:paraId="3742091E" w14:textId="77777777" w:rsidR="00F277E4" w:rsidRPr="002E1F2A" w:rsidRDefault="00F277E4" w:rsidP="00F277E4">
            <w:pPr>
              <w:rPr>
                <w:sz w:val="20"/>
                <w:szCs w:val="20"/>
              </w:rPr>
            </w:pPr>
            <w:r w:rsidRPr="002E1F2A">
              <w:rPr>
                <w:sz w:val="20"/>
                <w:szCs w:val="20"/>
              </w:rPr>
              <w:t>Blizina velikih emitivnih tržišta</w:t>
            </w:r>
          </w:p>
          <w:p w14:paraId="1F7C968A" w14:textId="26F61F84" w:rsidR="009F1381" w:rsidRPr="002E1F2A" w:rsidRDefault="00F277E4" w:rsidP="009F1381">
            <w:pPr>
              <w:rPr>
                <w:sz w:val="20"/>
                <w:szCs w:val="20"/>
              </w:rPr>
            </w:pPr>
            <w:r w:rsidRPr="002E1F2A">
              <w:rPr>
                <w:sz w:val="20"/>
                <w:szCs w:val="20"/>
              </w:rPr>
              <w:t>Pozitivni turistički trendovi</w:t>
            </w:r>
            <w:r w:rsidR="009F1381">
              <w:rPr>
                <w:sz w:val="20"/>
                <w:szCs w:val="20"/>
              </w:rPr>
              <w:t xml:space="preserve">, rast potražnje </w:t>
            </w:r>
            <w:r w:rsidR="009F1381" w:rsidRPr="002E1F2A">
              <w:rPr>
                <w:sz w:val="20"/>
                <w:szCs w:val="20"/>
              </w:rPr>
              <w:t xml:space="preserve">za aktivnim odmorom i proizvodima povezanima s prirodnim resursima na globalnoj razini </w:t>
            </w:r>
          </w:p>
          <w:p w14:paraId="6E4F2075" w14:textId="30E02692" w:rsidR="00F277E4" w:rsidRPr="002E1F2A" w:rsidRDefault="00F277E4" w:rsidP="00F277E4">
            <w:pPr>
              <w:rPr>
                <w:sz w:val="20"/>
                <w:szCs w:val="20"/>
              </w:rPr>
            </w:pPr>
            <w:r w:rsidRPr="002E1F2A">
              <w:rPr>
                <w:sz w:val="20"/>
                <w:szCs w:val="20"/>
              </w:rPr>
              <w:t>Mogućnost proizvodnje kvalitetne hrane za lokalno tržište</w:t>
            </w:r>
            <w:r w:rsidR="009F1381">
              <w:rPr>
                <w:sz w:val="20"/>
                <w:szCs w:val="20"/>
              </w:rPr>
              <w:t xml:space="preserve"> i r</w:t>
            </w:r>
            <w:r w:rsidRPr="002E1F2A">
              <w:rPr>
                <w:sz w:val="20"/>
                <w:szCs w:val="20"/>
              </w:rPr>
              <w:t>egionalizacija poljoprivredne proizvodnje</w:t>
            </w:r>
          </w:p>
          <w:p w14:paraId="31FF6E8C" w14:textId="77777777" w:rsidR="00F277E4" w:rsidRPr="002E1F2A" w:rsidRDefault="00F277E4" w:rsidP="00F277E4">
            <w:pPr>
              <w:rPr>
                <w:sz w:val="20"/>
                <w:szCs w:val="20"/>
              </w:rPr>
            </w:pPr>
            <w:r w:rsidRPr="002E1F2A">
              <w:rPr>
                <w:sz w:val="20"/>
                <w:szCs w:val="20"/>
              </w:rPr>
              <w:t>Unapređenje poduzetničke potporne infrastrukture i klime</w:t>
            </w:r>
          </w:p>
          <w:p w14:paraId="2F40B62B" w14:textId="77777777" w:rsidR="00F277E4" w:rsidRPr="002E1F2A" w:rsidRDefault="00F277E4" w:rsidP="00F277E4">
            <w:pPr>
              <w:rPr>
                <w:sz w:val="20"/>
                <w:szCs w:val="20"/>
              </w:rPr>
            </w:pPr>
            <w:r w:rsidRPr="002E1F2A">
              <w:rPr>
                <w:sz w:val="20"/>
                <w:szCs w:val="20"/>
              </w:rPr>
              <w:t>Jačanje privlačenja ulaganja</w:t>
            </w:r>
          </w:p>
          <w:p w14:paraId="487CD3D4" w14:textId="23A575C2" w:rsidR="00690C82" w:rsidRPr="002E1F2A" w:rsidRDefault="00F277E4" w:rsidP="00F277E4">
            <w:pPr>
              <w:rPr>
                <w:sz w:val="20"/>
                <w:szCs w:val="20"/>
              </w:rPr>
            </w:pPr>
            <w:r w:rsidRPr="002E1F2A">
              <w:rPr>
                <w:sz w:val="20"/>
                <w:szCs w:val="20"/>
              </w:rPr>
              <w:t>Razvoj strateškog partnerstva</w:t>
            </w:r>
            <w:r w:rsidR="00690C82">
              <w:rPr>
                <w:sz w:val="20"/>
                <w:szCs w:val="20"/>
              </w:rPr>
              <w:t xml:space="preserve"> i klastera – stvaranje modela cirkularne ekonomije (proizvodnja hrane, turizam, oporaba otpada)</w:t>
            </w:r>
          </w:p>
          <w:p w14:paraId="33D6057A" w14:textId="77777777" w:rsidR="00B94952" w:rsidRDefault="00B94952" w:rsidP="009F1381">
            <w:pPr>
              <w:rPr>
                <w:sz w:val="20"/>
                <w:szCs w:val="20"/>
              </w:rPr>
            </w:pPr>
            <w:r>
              <w:rPr>
                <w:sz w:val="20"/>
                <w:szCs w:val="20"/>
              </w:rPr>
              <w:t xml:space="preserve">Povezivanje turizma, kulture i </w:t>
            </w:r>
            <w:r w:rsidR="009F1381">
              <w:rPr>
                <w:sz w:val="20"/>
                <w:szCs w:val="20"/>
              </w:rPr>
              <w:t>MSP</w:t>
            </w:r>
            <w:r>
              <w:rPr>
                <w:sz w:val="20"/>
                <w:szCs w:val="20"/>
              </w:rPr>
              <w:t xml:space="preserve"> – kreativne i umjetničke industrije</w:t>
            </w:r>
          </w:p>
          <w:p w14:paraId="7889845F" w14:textId="70A2474A" w:rsidR="00690C82" w:rsidRPr="002E1F2A" w:rsidRDefault="009F1381" w:rsidP="009F1381">
            <w:pPr>
              <w:rPr>
                <w:sz w:val="20"/>
                <w:szCs w:val="20"/>
              </w:rPr>
            </w:pPr>
            <w:r>
              <w:rPr>
                <w:sz w:val="20"/>
                <w:szCs w:val="20"/>
              </w:rPr>
              <w:t>Uvođenje pametnih sustava i digitalizacija uprave</w:t>
            </w:r>
          </w:p>
        </w:tc>
        <w:tc>
          <w:tcPr>
            <w:tcW w:w="4531" w:type="dxa"/>
          </w:tcPr>
          <w:p w14:paraId="36267E10" w14:textId="77777777" w:rsidR="00E46BB8" w:rsidRDefault="00E46BB8" w:rsidP="00F277E4">
            <w:pPr>
              <w:rPr>
                <w:sz w:val="20"/>
                <w:szCs w:val="20"/>
              </w:rPr>
            </w:pPr>
            <w:r>
              <w:rPr>
                <w:sz w:val="20"/>
                <w:szCs w:val="20"/>
              </w:rPr>
              <w:t>Usporavanje gospodarstva na najvećim emitivnim tržištima (Njemačka, Italija...)</w:t>
            </w:r>
          </w:p>
          <w:p w14:paraId="777F9CAB" w14:textId="3AAD3400" w:rsidR="009F1381" w:rsidRPr="002E1F2A" w:rsidRDefault="009F1381" w:rsidP="009F1381">
            <w:pPr>
              <w:rPr>
                <w:sz w:val="20"/>
                <w:szCs w:val="20"/>
              </w:rPr>
            </w:pPr>
            <w:r>
              <w:rPr>
                <w:sz w:val="20"/>
                <w:szCs w:val="20"/>
              </w:rPr>
              <w:t>P</w:t>
            </w:r>
            <w:r w:rsidRPr="002E1F2A">
              <w:rPr>
                <w:sz w:val="20"/>
                <w:szCs w:val="20"/>
              </w:rPr>
              <w:t>ad broja radno aktivnog stanovništva</w:t>
            </w:r>
            <w:r>
              <w:rPr>
                <w:sz w:val="20"/>
                <w:szCs w:val="20"/>
              </w:rPr>
              <w:t xml:space="preserve"> i iseljavanje </w:t>
            </w:r>
            <w:r w:rsidRPr="002E1F2A">
              <w:rPr>
                <w:sz w:val="20"/>
                <w:szCs w:val="20"/>
              </w:rPr>
              <w:t>visokoobrazovanog stanovništva</w:t>
            </w:r>
          </w:p>
          <w:p w14:paraId="4EA8318A" w14:textId="77777777" w:rsidR="00F277E4" w:rsidRPr="002E1F2A" w:rsidRDefault="00F277E4" w:rsidP="00F277E4">
            <w:pPr>
              <w:rPr>
                <w:sz w:val="20"/>
                <w:szCs w:val="20"/>
              </w:rPr>
            </w:pPr>
            <w:r w:rsidRPr="002E1F2A">
              <w:rPr>
                <w:sz w:val="20"/>
                <w:szCs w:val="20"/>
              </w:rPr>
              <w:t xml:space="preserve">Povećanje izloženosti međunarodnoj konkurenciji </w:t>
            </w:r>
          </w:p>
          <w:p w14:paraId="25814CE2" w14:textId="77777777" w:rsidR="00F277E4" w:rsidRPr="002E1F2A" w:rsidRDefault="00F277E4" w:rsidP="00F277E4">
            <w:pPr>
              <w:rPr>
                <w:sz w:val="20"/>
                <w:szCs w:val="20"/>
              </w:rPr>
            </w:pPr>
            <w:r w:rsidRPr="002E1F2A">
              <w:rPr>
                <w:sz w:val="20"/>
                <w:szCs w:val="20"/>
              </w:rPr>
              <w:t xml:space="preserve">Neadekvatna investicijska klima </w:t>
            </w:r>
          </w:p>
          <w:p w14:paraId="536F05B9" w14:textId="653B7E7F" w:rsidR="001E1F0C" w:rsidRPr="002E1F2A" w:rsidRDefault="00F277E4" w:rsidP="00F277E4">
            <w:pPr>
              <w:rPr>
                <w:sz w:val="20"/>
                <w:szCs w:val="20"/>
              </w:rPr>
            </w:pPr>
            <w:r w:rsidRPr="002E1F2A">
              <w:rPr>
                <w:sz w:val="20"/>
                <w:szCs w:val="20"/>
              </w:rPr>
              <w:t>Nefleksibilan obrazovni sustav utječe na nesrazmjer ponude i potražnje na tržištu rada</w:t>
            </w:r>
          </w:p>
          <w:p w14:paraId="57288404" w14:textId="3D74F288" w:rsidR="00CF42AB" w:rsidRPr="002E1F2A" w:rsidRDefault="00F277E4" w:rsidP="00F277E4">
            <w:pPr>
              <w:rPr>
                <w:sz w:val="20"/>
                <w:szCs w:val="20"/>
              </w:rPr>
            </w:pPr>
            <w:r w:rsidRPr="002E1F2A">
              <w:rPr>
                <w:sz w:val="20"/>
                <w:szCs w:val="20"/>
              </w:rPr>
              <w:t xml:space="preserve">Birokratiziranost i sporost djelovanja </w:t>
            </w:r>
            <w:r w:rsidR="009F1381">
              <w:rPr>
                <w:sz w:val="20"/>
                <w:szCs w:val="20"/>
              </w:rPr>
              <w:t xml:space="preserve">uprave i pravosuđa; </w:t>
            </w:r>
            <w:r w:rsidR="00CF42AB" w:rsidRPr="009F1381">
              <w:rPr>
                <w:sz w:val="20"/>
                <w:szCs w:val="20"/>
              </w:rPr>
              <w:t>česte promjene propisa</w:t>
            </w:r>
          </w:p>
          <w:p w14:paraId="1575855B" w14:textId="77777777" w:rsidR="009F1381" w:rsidRDefault="00F277E4" w:rsidP="009F1381">
            <w:pPr>
              <w:rPr>
                <w:sz w:val="20"/>
                <w:szCs w:val="20"/>
              </w:rPr>
            </w:pPr>
            <w:r w:rsidRPr="002E1F2A">
              <w:rPr>
                <w:sz w:val="20"/>
                <w:szCs w:val="20"/>
              </w:rPr>
              <w:t xml:space="preserve">Neriješeni imovinsko-pravni odnosi </w:t>
            </w:r>
            <w:r w:rsidR="00CF42AB" w:rsidRPr="009F1381">
              <w:rPr>
                <w:sz w:val="20"/>
                <w:szCs w:val="20"/>
              </w:rPr>
              <w:t xml:space="preserve">i nesređene baze podataka </w:t>
            </w:r>
            <w:r w:rsidR="009F1381">
              <w:rPr>
                <w:sz w:val="20"/>
                <w:szCs w:val="20"/>
              </w:rPr>
              <w:t>(npr. katastar)</w:t>
            </w:r>
          </w:p>
          <w:p w14:paraId="66A7739C" w14:textId="77777777" w:rsidR="00CF42AB" w:rsidRPr="002E1F2A" w:rsidRDefault="00CF42AB" w:rsidP="009F1381">
            <w:pPr>
              <w:rPr>
                <w:sz w:val="20"/>
                <w:szCs w:val="20"/>
              </w:rPr>
            </w:pPr>
          </w:p>
        </w:tc>
      </w:tr>
    </w:tbl>
    <w:p w14:paraId="37F27C2E" w14:textId="5889A6EF" w:rsidR="00E04B40" w:rsidRPr="00F277E4" w:rsidRDefault="00E04B40" w:rsidP="00F277E4"/>
    <w:p w14:paraId="6C92CD05" w14:textId="5626C264" w:rsidR="00E04B40" w:rsidRDefault="005A153F" w:rsidP="001A5F94">
      <w:pPr>
        <w:pStyle w:val="Heading2"/>
        <w:rPr>
          <w:noProof/>
        </w:rPr>
      </w:pPr>
      <w:bookmarkStart w:id="87" w:name="_Toc437390595"/>
      <w:r>
        <w:rPr>
          <w:noProof/>
        </w:rPr>
        <w:t xml:space="preserve">SWOT </w:t>
      </w:r>
      <w:r w:rsidR="006333E2">
        <w:rPr>
          <w:noProof/>
        </w:rPr>
        <w:t>U</w:t>
      </w:r>
      <w:r w:rsidR="000C7568">
        <w:rPr>
          <w:noProof/>
        </w:rPr>
        <w:t>rbano okruženje</w:t>
      </w:r>
      <w:bookmarkEnd w:id="87"/>
    </w:p>
    <w:p w14:paraId="03F05E9B" w14:textId="2AE788B9" w:rsidR="009F1381" w:rsidRPr="00697C84" w:rsidRDefault="00697C84" w:rsidP="009F1381">
      <w:pPr>
        <w:rPr>
          <w:b/>
          <w:color w:val="17365D" w:themeColor="text2" w:themeShade="BF"/>
        </w:rPr>
      </w:pPr>
      <w:r>
        <w:rPr>
          <w:b/>
          <w:color w:val="17365D" w:themeColor="text2" w:themeShade="BF"/>
        </w:rPr>
        <w:t>Glavna o</w:t>
      </w:r>
      <w:r w:rsidRPr="001458D5">
        <w:rPr>
          <w:b/>
          <w:color w:val="17365D" w:themeColor="text2" w:themeShade="BF"/>
        </w:rPr>
        <w:t>biježja</w:t>
      </w:r>
    </w:p>
    <w:p w14:paraId="14F71C73" w14:textId="011D9CB4" w:rsidR="009F1381" w:rsidRDefault="009F1381" w:rsidP="00697C84">
      <w:pPr>
        <w:pStyle w:val="ListParagraph"/>
        <w:numPr>
          <w:ilvl w:val="0"/>
          <w:numId w:val="42"/>
        </w:numPr>
        <w:spacing w:before="60" w:after="60"/>
        <w:ind w:left="714" w:hanging="357"/>
        <w:contextualSpacing w:val="0"/>
      </w:pPr>
      <w:r>
        <w:t xml:space="preserve">Prema dostupnim podacima, stanje okoliša (zrak, tlo, voda) </w:t>
      </w:r>
      <w:r w:rsidR="008F39EB">
        <w:t xml:space="preserve">je </w:t>
      </w:r>
      <w:r>
        <w:t>zadovoljavajuće. Glavni izvori onečišćenja su promet i lokalna onečišćenja usljed ekoloških havarija, a u smislu prirodnih katastrofa najveću potencijalnu ugrozu predstavljaju poplave.</w:t>
      </w:r>
    </w:p>
    <w:p w14:paraId="670B1C9A" w14:textId="68115B7D" w:rsidR="009F1381" w:rsidRDefault="009F1381" w:rsidP="00697C84">
      <w:pPr>
        <w:pStyle w:val="ListParagraph"/>
        <w:numPr>
          <w:ilvl w:val="0"/>
          <w:numId w:val="42"/>
        </w:numPr>
        <w:spacing w:before="60" w:after="60"/>
        <w:ind w:left="714" w:hanging="357"/>
        <w:contextualSpacing w:val="0"/>
      </w:pPr>
      <w:r>
        <w:t xml:space="preserve">Sustav gospodarenja otpadom obuhvaća 98% stanovnika; na području </w:t>
      </w:r>
      <w:r w:rsidR="008F39EB">
        <w:t xml:space="preserve">VUPKA </w:t>
      </w:r>
      <w:r>
        <w:t>nema neusklađenih odlagališta.</w:t>
      </w:r>
    </w:p>
    <w:p w14:paraId="30551BF5" w14:textId="77777777" w:rsidR="009F1381" w:rsidRDefault="009F1381" w:rsidP="00697C84">
      <w:pPr>
        <w:pStyle w:val="ListParagraph"/>
        <w:numPr>
          <w:ilvl w:val="0"/>
          <w:numId w:val="42"/>
        </w:numPr>
        <w:spacing w:before="60" w:after="60"/>
        <w:ind w:left="714" w:hanging="357"/>
        <w:contextualSpacing w:val="0"/>
      </w:pPr>
      <w:r w:rsidRPr="0056670C">
        <w:t>Duljina javne vodoopskrbne mreže na urbanom području iznosi 1.542 km</w:t>
      </w:r>
      <w:r>
        <w:t>, a vodoopskrbom je obuhvaćeno 90 – 100% stanovništva. Pokrivenost odvodnjom je znatno niža i kreće se od 50 do 60%.</w:t>
      </w:r>
    </w:p>
    <w:p w14:paraId="4C1E61F1" w14:textId="7CEFA9CB" w:rsidR="009F1381" w:rsidRDefault="009F1381" w:rsidP="00697C84">
      <w:pPr>
        <w:pStyle w:val="ListParagraph"/>
        <w:numPr>
          <w:ilvl w:val="0"/>
          <w:numId w:val="42"/>
        </w:numPr>
        <w:spacing w:before="60" w:after="60"/>
        <w:ind w:left="714" w:hanging="357"/>
        <w:contextualSpacing w:val="0"/>
      </w:pPr>
      <w:r w:rsidRPr="00DA3ECE">
        <w:t>Obnovljivi izvori energije</w:t>
      </w:r>
      <w:r w:rsidRPr="00071B77">
        <w:t xml:space="preserve"> predstavljaju velik</w:t>
      </w:r>
      <w:r w:rsidR="008F39EB">
        <w:t>i</w:t>
      </w:r>
      <w:r w:rsidRPr="00071B77">
        <w:t xml:space="preserve"> potencijal na području Karlovačke županije, a od osobite je važnosti za predmetno urbano područje značajan šumski i potencijal drvne industrije kojim se izravno omogućava razvoj lokalnog gospodarstva baziranog na proizvodnji energije iz </w:t>
      </w:r>
      <w:r w:rsidRPr="00DA3ECE">
        <w:t>biomase</w:t>
      </w:r>
      <w:r w:rsidRPr="00071B77">
        <w:t xml:space="preserve">. </w:t>
      </w:r>
    </w:p>
    <w:p w14:paraId="44A02F85" w14:textId="4E5262FD" w:rsidR="009F1381" w:rsidRDefault="009F1381" w:rsidP="00697C84">
      <w:pPr>
        <w:pStyle w:val="ListParagraph"/>
        <w:numPr>
          <w:ilvl w:val="0"/>
          <w:numId w:val="42"/>
        </w:numPr>
        <w:spacing w:before="60" w:after="60"/>
        <w:ind w:left="714" w:hanging="357"/>
        <w:contextualSpacing w:val="0"/>
      </w:pPr>
      <w:r>
        <w:lastRenderedPageBreak/>
        <w:t>Izuzetno povoljan središnji geoprometni položaj na kontaktnoj zoni južne i sjeverne Hrvatske i trasi međunarodnog prometnog koridora Vb (Rijeka-Zagreb-</w:t>
      </w:r>
      <w:r w:rsidR="008F39EB">
        <w:t>Budimpešta</w:t>
      </w:r>
      <w:r>
        <w:t>).</w:t>
      </w:r>
    </w:p>
    <w:p w14:paraId="14CFF88B" w14:textId="77777777" w:rsidR="00697C84" w:rsidRPr="00697C84" w:rsidRDefault="00697C84" w:rsidP="00697C84">
      <w:pPr>
        <w:rPr>
          <w:b/>
          <w:color w:val="17365D" w:themeColor="text2" w:themeShade="BF"/>
        </w:rPr>
      </w:pPr>
      <w:r w:rsidRPr="00697C84">
        <w:rPr>
          <w:b/>
          <w:color w:val="17365D" w:themeColor="text2" w:themeShade="BF"/>
        </w:rPr>
        <w:t>Glavni razvojni problemi i potrebe:</w:t>
      </w:r>
    </w:p>
    <w:p w14:paraId="0906A080" w14:textId="49AC71FB" w:rsidR="009F1381" w:rsidRPr="0056670C" w:rsidRDefault="009F1381" w:rsidP="00697C84">
      <w:pPr>
        <w:pStyle w:val="ListParagraph"/>
        <w:numPr>
          <w:ilvl w:val="0"/>
          <w:numId w:val="43"/>
        </w:numPr>
        <w:spacing w:before="60" w:after="60"/>
        <w:ind w:left="714" w:hanging="357"/>
        <w:contextualSpacing w:val="0"/>
      </w:pPr>
      <w:r>
        <w:t xml:space="preserve">Izraženija od potrebe za proširenjem vodovodne mreže jest potreba za obnovom iste, s obzirom </w:t>
      </w:r>
      <w:r w:rsidR="008F39EB">
        <w:t xml:space="preserve">na to </w:t>
      </w:r>
      <w:r>
        <w:t>da su</w:t>
      </w:r>
      <w:r w:rsidRPr="0056670C">
        <w:t xml:space="preserve"> na cijelom su urbanom području prisutni i </w:t>
      </w:r>
      <w:r w:rsidRPr="00571110">
        <w:t xml:space="preserve">značajni gubici vode u distribuciji </w:t>
      </w:r>
      <w:r>
        <w:t>(oko 50% u gradu Karlovcu i 65% na području Duge</w:t>
      </w:r>
      <w:r w:rsidRPr="0056670C">
        <w:t xml:space="preserve"> Rese</w:t>
      </w:r>
      <w:r>
        <w:t>).</w:t>
      </w:r>
    </w:p>
    <w:p w14:paraId="5E48045F" w14:textId="77777777" w:rsidR="009F1381" w:rsidRDefault="009F1381" w:rsidP="00697C84">
      <w:pPr>
        <w:pStyle w:val="ListParagraph"/>
        <w:numPr>
          <w:ilvl w:val="0"/>
          <w:numId w:val="43"/>
        </w:numPr>
        <w:spacing w:before="60" w:after="60"/>
        <w:ind w:left="714" w:hanging="357"/>
        <w:contextualSpacing w:val="0"/>
      </w:pPr>
      <w:r>
        <w:t xml:space="preserve">Unaprjeđenje sustava </w:t>
      </w:r>
      <w:r w:rsidRPr="0056670C">
        <w:t>odvodnje</w:t>
      </w:r>
      <w:r>
        <w:t xml:space="preserve">, od kojih je najznačajniji </w:t>
      </w:r>
      <w:r w:rsidRPr="00DA3ECE">
        <w:t>sustav odvodnje aglomeracije Karlovac – Duga Resa, ko</w:t>
      </w:r>
      <w:r w:rsidRPr="0056670C">
        <w:t xml:space="preserve">ji čini jednu tehnološko-projektnu cjelinu te predstavlja prioritet na razini Županije. </w:t>
      </w:r>
    </w:p>
    <w:p w14:paraId="0BDCA15B" w14:textId="6FE4971A" w:rsidR="009F1381" w:rsidRDefault="008F39EB" w:rsidP="00697C84">
      <w:pPr>
        <w:pStyle w:val="ListParagraph"/>
        <w:numPr>
          <w:ilvl w:val="0"/>
          <w:numId w:val="43"/>
        </w:numPr>
        <w:spacing w:before="60" w:after="60"/>
        <w:ind w:left="714" w:hanging="357"/>
        <w:contextualSpacing w:val="0"/>
      </w:pPr>
      <w:r>
        <w:t>Sanacija i unaprj</w:t>
      </w:r>
      <w:r w:rsidR="009F1381">
        <w:t>eđenje sustava opskrbe toplinskom energijom u gradu Karlovcu.</w:t>
      </w:r>
    </w:p>
    <w:p w14:paraId="2A26E8AA" w14:textId="30E2DBD5" w:rsidR="009F1381" w:rsidRDefault="009F1381" w:rsidP="00697C84">
      <w:pPr>
        <w:pStyle w:val="ListParagraph"/>
        <w:numPr>
          <w:ilvl w:val="0"/>
          <w:numId w:val="43"/>
        </w:numPr>
        <w:spacing w:before="60" w:after="60"/>
        <w:ind w:left="714" w:hanging="357"/>
        <w:contextualSpacing w:val="0"/>
      </w:pPr>
      <w:r>
        <w:t>Iznalaženje izvora financiranja za ulaganja u obnovljive izvore energije</w:t>
      </w:r>
      <w:r w:rsidR="00697C84">
        <w:t>, naročito one s dugom perspektivom povrata investicije (npr. geotermalni izvori)</w:t>
      </w:r>
    </w:p>
    <w:p w14:paraId="31B89BF9" w14:textId="77777777" w:rsidR="009F1381" w:rsidRDefault="009F1381" w:rsidP="00697C84">
      <w:pPr>
        <w:pStyle w:val="ListParagraph"/>
        <w:numPr>
          <w:ilvl w:val="0"/>
          <w:numId w:val="43"/>
        </w:numPr>
        <w:spacing w:before="60" w:after="60"/>
        <w:ind w:left="714" w:hanging="357"/>
        <w:contextualSpacing w:val="0"/>
      </w:pPr>
      <w:r>
        <w:t>Razvoj multimodalnog prometa i javnog prijevoza, uključujući uvođenje pametnih prometnih sustava</w:t>
      </w:r>
    </w:p>
    <w:p w14:paraId="12446D9C" w14:textId="77777777" w:rsidR="009F1381" w:rsidRPr="00D3107C" w:rsidRDefault="009F1381" w:rsidP="00697C84">
      <w:pPr>
        <w:pStyle w:val="ListParagraph"/>
        <w:numPr>
          <w:ilvl w:val="0"/>
          <w:numId w:val="43"/>
        </w:numPr>
        <w:spacing w:before="60" w:after="60"/>
        <w:ind w:left="714" w:hanging="357"/>
        <w:contextualSpacing w:val="0"/>
      </w:pPr>
      <w:r>
        <w:t>Razvoj</w:t>
      </w:r>
      <w:r w:rsidRPr="00156B52">
        <w:t xml:space="preserve"> infrastrukture širokopojasnog pristupa</w:t>
      </w:r>
      <w:r>
        <w:t xml:space="preserve"> internetu.</w:t>
      </w:r>
    </w:p>
    <w:p w14:paraId="25BB13E6" w14:textId="77777777" w:rsidR="009F1381" w:rsidRPr="009F1381" w:rsidRDefault="009F1381" w:rsidP="009F1381"/>
    <w:tbl>
      <w:tblPr>
        <w:tblW w:w="0" w:type="auto"/>
        <w:tblBorders>
          <w:top w:val="single" w:sz="4" w:space="0" w:color="9AB9AD"/>
          <w:left w:val="single" w:sz="4" w:space="0" w:color="9AB9AD"/>
          <w:bottom w:val="single" w:sz="4" w:space="0" w:color="9AB9AD"/>
          <w:right w:val="single" w:sz="4" w:space="0" w:color="9AB9AD"/>
          <w:insideH w:val="single" w:sz="4" w:space="0" w:color="9AB9AD"/>
          <w:insideV w:val="single" w:sz="4" w:space="0" w:color="9AB9AD"/>
        </w:tblBorders>
        <w:tblLook w:val="04A0" w:firstRow="1" w:lastRow="0" w:firstColumn="1" w:lastColumn="0" w:noHBand="0" w:noVBand="1"/>
      </w:tblPr>
      <w:tblGrid>
        <w:gridCol w:w="4531"/>
        <w:gridCol w:w="4531"/>
      </w:tblGrid>
      <w:tr w:rsidR="00F277E4" w:rsidRPr="002E1F2A" w14:paraId="18432439" w14:textId="77777777" w:rsidTr="00F277E4">
        <w:trPr>
          <w:trHeight w:val="397"/>
        </w:trPr>
        <w:tc>
          <w:tcPr>
            <w:tcW w:w="4531" w:type="dxa"/>
            <w:shd w:val="clear" w:color="auto" w:fill="39617A"/>
            <w:vAlign w:val="center"/>
          </w:tcPr>
          <w:p w14:paraId="02F3493E" w14:textId="77777777" w:rsidR="00F277E4" w:rsidRPr="002E1F2A" w:rsidRDefault="00F277E4" w:rsidP="00F277E4">
            <w:pPr>
              <w:rPr>
                <w:b/>
                <w:color w:val="FFFFFF" w:themeColor="background1"/>
                <w:sz w:val="20"/>
                <w:szCs w:val="20"/>
              </w:rPr>
            </w:pPr>
            <w:r w:rsidRPr="002E1F2A">
              <w:rPr>
                <w:b/>
                <w:color w:val="FFFFFF" w:themeColor="background1"/>
                <w:sz w:val="20"/>
                <w:szCs w:val="20"/>
              </w:rPr>
              <w:t>SNAGE</w:t>
            </w:r>
          </w:p>
        </w:tc>
        <w:tc>
          <w:tcPr>
            <w:tcW w:w="4531" w:type="dxa"/>
            <w:shd w:val="clear" w:color="auto" w:fill="39617A"/>
            <w:vAlign w:val="center"/>
          </w:tcPr>
          <w:p w14:paraId="4A4D730A" w14:textId="77777777" w:rsidR="00F277E4" w:rsidRPr="002E1F2A" w:rsidRDefault="00F277E4" w:rsidP="00F277E4">
            <w:pPr>
              <w:rPr>
                <w:b/>
                <w:color w:val="FFFFFF" w:themeColor="background1"/>
                <w:sz w:val="20"/>
                <w:szCs w:val="20"/>
              </w:rPr>
            </w:pPr>
            <w:r w:rsidRPr="002E1F2A">
              <w:rPr>
                <w:b/>
                <w:color w:val="FFFFFF" w:themeColor="background1"/>
                <w:sz w:val="20"/>
                <w:szCs w:val="20"/>
              </w:rPr>
              <w:t>SLABOSTI</w:t>
            </w:r>
          </w:p>
        </w:tc>
      </w:tr>
      <w:tr w:rsidR="00F277E4" w:rsidRPr="002E1F2A" w14:paraId="17A69A67" w14:textId="77777777" w:rsidTr="00F277E4">
        <w:tc>
          <w:tcPr>
            <w:tcW w:w="4531" w:type="dxa"/>
          </w:tcPr>
          <w:p w14:paraId="15FC87B6" w14:textId="053062D6" w:rsidR="00F277E4" w:rsidRPr="002E1F2A" w:rsidRDefault="00F277E4" w:rsidP="00F277E4">
            <w:pPr>
              <w:rPr>
                <w:sz w:val="20"/>
                <w:szCs w:val="20"/>
              </w:rPr>
            </w:pPr>
            <w:r w:rsidRPr="002E1F2A">
              <w:rPr>
                <w:sz w:val="20"/>
                <w:szCs w:val="20"/>
              </w:rPr>
              <w:t>Povoljan geoprometni položaj</w:t>
            </w:r>
            <w:r w:rsidR="00697C84">
              <w:rPr>
                <w:sz w:val="20"/>
                <w:szCs w:val="20"/>
              </w:rPr>
              <w:t>; p</w:t>
            </w:r>
            <w:r w:rsidRPr="002E1F2A">
              <w:rPr>
                <w:sz w:val="20"/>
                <w:szCs w:val="20"/>
              </w:rPr>
              <w:t>rometni i infrastrukturni koridori državnog i europskog značaja</w:t>
            </w:r>
          </w:p>
          <w:p w14:paraId="111E76B2" w14:textId="58BC579D" w:rsidR="001E1F0C" w:rsidRPr="002E1F2A" w:rsidRDefault="001E1F0C" w:rsidP="00F277E4">
            <w:pPr>
              <w:rPr>
                <w:sz w:val="20"/>
                <w:szCs w:val="20"/>
              </w:rPr>
            </w:pPr>
            <w:r>
              <w:rPr>
                <w:sz w:val="20"/>
                <w:szCs w:val="20"/>
              </w:rPr>
              <w:t>Geotermalni potencijali</w:t>
            </w:r>
          </w:p>
          <w:p w14:paraId="017338A2" w14:textId="77777777" w:rsidR="00F277E4" w:rsidRPr="002E1F2A" w:rsidRDefault="00F277E4" w:rsidP="00F277E4">
            <w:pPr>
              <w:rPr>
                <w:sz w:val="20"/>
                <w:szCs w:val="20"/>
              </w:rPr>
            </w:pPr>
            <w:r w:rsidRPr="002E1F2A">
              <w:rPr>
                <w:sz w:val="20"/>
                <w:szCs w:val="20"/>
              </w:rPr>
              <w:t>Visoka kvaliteta vode za piće</w:t>
            </w:r>
          </w:p>
          <w:p w14:paraId="3C504810" w14:textId="77777777" w:rsidR="00F277E4" w:rsidRPr="002E1F2A" w:rsidRDefault="00F277E4" w:rsidP="00F277E4">
            <w:pPr>
              <w:rPr>
                <w:sz w:val="20"/>
                <w:szCs w:val="20"/>
              </w:rPr>
            </w:pPr>
            <w:r w:rsidRPr="002E1F2A">
              <w:rPr>
                <w:sz w:val="20"/>
                <w:szCs w:val="20"/>
              </w:rPr>
              <w:t xml:space="preserve">Povoljni klimatski uvjeti </w:t>
            </w:r>
          </w:p>
          <w:p w14:paraId="0AAA9546" w14:textId="2C4C5900" w:rsidR="00F277E4" w:rsidRPr="002E1F2A" w:rsidRDefault="00F277E4" w:rsidP="00F277E4">
            <w:pPr>
              <w:rPr>
                <w:sz w:val="20"/>
                <w:szCs w:val="20"/>
              </w:rPr>
            </w:pPr>
            <w:r w:rsidRPr="002E1F2A">
              <w:rPr>
                <w:sz w:val="20"/>
                <w:szCs w:val="20"/>
              </w:rPr>
              <w:t xml:space="preserve">Očuvani ekološki sustavi </w:t>
            </w:r>
            <w:r w:rsidR="00697C84">
              <w:rPr>
                <w:sz w:val="20"/>
                <w:szCs w:val="20"/>
              </w:rPr>
              <w:t>i zadovoljavajuće stanje okoliša</w:t>
            </w:r>
          </w:p>
          <w:p w14:paraId="4D2D57C0" w14:textId="620B52EA" w:rsidR="00F277E4" w:rsidRPr="002E1F2A" w:rsidRDefault="00F277E4" w:rsidP="00F277E4">
            <w:pPr>
              <w:rPr>
                <w:sz w:val="20"/>
                <w:szCs w:val="20"/>
              </w:rPr>
            </w:pPr>
            <w:r w:rsidRPr="002E1F2A">
              <w:rPr>
                <w:sz w:val="20"/>
                <w:szCs w:val="20"/>
              </w:rPr>
              <w:t>Očuvani prirodni resursi i vrijedna zaštićena područja i cjeline zaštite</w:t>
            </w:r>
            <w:r w:rsidR="00697C84">
              <w:rPr>
                <w:sz w:val="20"/>
                <w:szCs w:val="20"/>
              </w:rPr>
              <w:t>, ukljućujući geološku baštinu i podzemne morfološke oblike</w:t>
            </w:r>
          </w:p>
          <w:p w14:paraId="216E6781" w14:textId="6CE58A9D" w:rsidR="00F277E4" w:rsidRPr="002E1F2A" w:rsidRDefault="00697C84" w:rsidP="00F277E4">
            <w:pPr>
              <w:rPr>
                <w:sz w:val="20"/>
                <w:szCs w:val="20"/>
              </w:rPr>
            </w:pPr>
            <w:r>
              <w:rPr>
                <w:sz w:val="20"/>
                <w:szCs w:val="20"/>
              </w:rPr>
              <w:t xml:space="preserve">Sačuvana kulturna </w:t>
            </w:r>
            <w:r w:rsidR="00F277E4" w:rsidRPr="002E1F2A">
              <w:rPr>
                <w:sz w:val="20"/>
                <w:szCs w:val="20"/>
              </w:rPr>
              <w:t xml:space="preserve">i etno baština </w:t>
            </w:r>
          </w:p>
          <w:p w14:paraId="3B4F8B7D" w14:textId="4B813488" w:rsidR="00F277E4" w:rsidRPr="002E1F2A" w:rsidRDefault="00F277E4" w:rsidP="00F277E4">
            <w:pPr>
              <w:rPr>
                <w:sz w:val="20"/>
                <w:szCs w:val="20"/>
              </w:rPr>
            </w:pPr>
            <w:r w:rsidRPr="002E1F2A">
              <w:rPr>
                <w:sz w:val="20"/>
                <w:szCs w:val="20"/>
              </w:rPr>
              <w:t xml:space="preserve">Ulaganja u komunalnu infrastrukturu </w:t>
            </w:r>
            <w:r w:rsidR="00697C84">
              <w:rPr>
                <w:sz w:val="20"/>
                <w:szCs w:val="20"/>
              </w:rPr>
              <w:t xml:space="preserve">u tijeku </w:t>
            </w:r>
            <w:r w:rsidRPr="002E1F2A">
              <w:rPr>
                <w:sz w:val="20"/>
                <w:szCs w:val="20"/>
              </w:rPr>
              <w:t>(pročistač otpadnih voda, reciklažno dvorište)</w:t>
            </w:r>
          </w:p>
          <w:p w14:paraId="329D0BB6" w14:textId="3D0387E5" w:rsidR="00F277E4" w:rsidRPr="002E1F2A" w:rsidRDefault="00697C84" w:rsidP="00F277E4">
            <w:pPr>
              <w:rPr>
                <w:sz w:val="20"/>
                <w:szCs w:val="20"/>
              </w:rPr>
            </w:pPr>
            <w:r>
              <w:rPr>
                <w:sz w:val="20"/>
                <w:szCs w:val="20"/>
              </w:rPr>
              <w:t>Uspostavljen sustav za prikupljanje i</w:t>
            </w:r>
            <w:r w:rsidR="00F277E4" w:rsidRPr="002E1F2A">
              <w:rPr>
                <w:sz w:val="20"/>
                <w:szCs w:val="20"/>
              </w:rPr>
              <w:t xml:space="preserve"> zbrinjavanje otpada</w:t>
            </w:r>
            <w:r>
              <w:rPr>
                <w:sz w:val="20"/>
                <w:szCs w:val="20"/>
              </w:rPr>
              <w:t xml:space="preserve">  i razvijena mreža odvoza otpada</w:t>
            </w:r>
          </w:p>
          <w:p w14:paraId="4DD71FC8" w14:textId="77777777" w:rsidR="00F277E4" w:rsidRPr="002E1F2A" w:rsidRDefault="00F277E4" w:rsidP="00F277E4">
            <w:pPr>
              <w:rPr>
                <w:sz w:val="20"/>
                <w:szCs w:val="20"/>
              </w:rPr>
            </w:pPr>
          </w:p>
        </w:tc>
        <w:tc>
          <w:tcPr>
            <w:tcW w:w="4531" w:type="dxa"/>
          </w:tcPr>
          <w:p w14:paraId="50EB0D41" w14:textId="77777777" w:rsidR="00F277E4" w:rsidRPr="002E1F2A" w:rsidRDefault="00F277E4" w:rsidP="00F277E4">
            <w:pPr>
              <w:rPr>
                <w:sz w:val="20"/>
                <w:szCs w:val="20"/>
              </w:rPr>
            </w:pPr>
            <w:r w:rsidRPr="002E1F2A">
              <w:rPr>
                <w:sz w:val="20"/>
                <w:szCs w:val="20"/>
              </w:rPr>
              <w:t xml:space="preserve">Nedostatak dugoročnog strateškog opredjeljenja razvoja </w:t>
            </w:r>
          </w:p>
          <w:p w14:paraId="64684908" w14:textId="37A917FF" w:rsidR="00F277E4" w:rsidRPr="002E1F2A" w:rsidRDefault="00F277E4" w:rsidP="00F277E4">
            <w:pPr>
              <w:rPr>
                <w:sz w:val="20"/>
                <w:szCs w:val="20"/>
              </w:rPr>
            </w:pPr>
            <w:r w:rsidRPr="002E1F2A">
              <w:rPr>
                <w:sz w:val="20"/>
                <w:szCs w:val="20"/>
              </w:rPr>
              <w:t>Prometna preopterećenost urbanog područja</w:t>
            </w:r>
            <w:r w:rsidR="00697C84">
              <w:rPr>
                <w:sz w:val="20"/>
                <w:szCs w:val="20"/>
              </w:rPr>
              <w:t xml:space="preserve"> / opterećenje cestovnim prometom / nedostatak multimodalnih sustava transporta</w:t>
            </w:r>
          </w:p>
          <w:p w14:paraId="0FC6B09E" w14:textId="2AD98C40" w:rsidR="00F277E4" w:rsidRPr="002E1F2A" w:rsidRDefault="00697C84" w:rsidP="00F277E4">
            <w:pPr>
              <w:rPr>
                <w:sz w:val="20"/>
                <w:szCs w:val="20"/>
              </w:rPr>
            </w:pPr>
            <w:r>
              <w:rPr>
                <w:sz w:val="20"/>
                <w:szCs w:val="20"/>
              </w:rPr>
              <w:t>Zastarjela željeznička infrastruktura i usluga željezničkog prometa</w:t>
            </w:r>
            <w:r w:rsidR="00F277E4" w:rsidRPr="002E1F2A">
              <w:rPr>
                <w:sz w:val="20"/>
                <w:szCs w:val="20"/>
              </w:rPr>
              <w:t xml:space="preserve"> </w:t>
            </w:r>
          </w:p>
          <w:p w14:paraId="2A295FDF" w14:textId="77777777" w:rsidR="00F277E4" w:rsidRPr="002E1F2A" w:rsidRDefault="00F277E4" w:rsidP="00F277E4">
            <w:pPr>
              <w:rPr>
                <w:sz w:val="20"/>
                <w:szCs w:val="20"/>
              </w:rPr>
            </w:pPr>
            <w:r w:rsidRPr="002E1F2A">
              <w:rPr>
                <w:sz w:val="20"/>
                <w:szCs w:val="20"/>
              </w:rPr>
              <w:t xml:space="preserve">Nepostojanje sustava i instrumenata obnove prirodne i kulturno-povijesne baštine </w:t>
            </w:r>
          </w:p>
          <w:p w14:paraId="0E42B38A" w14:textId="77777777" w:rsidR="00F277E4" w:rsidRPr="002E1F2A" w:rsidRDefault="00F277E4" w:rsidP="00F277E4">
            <w:pPr>
              <w:rPr>
                <w:sz w:val="20"/>
                <w:szCs w:val="20"/>
              </w:rPr>
            </w:pPr>
            <w:r w:rsidRPr="002E1F2A">
              <w:rPr>
                <w:sz w:val="20"/>
                <w:szCs w:val="20"/>
              </w:rPr>
              <w:t>Prisutnost minski sumnjivog područja</w:t>
            </w:r>
          </w:p>
          <w:p w14:paraId="66CE6A40" w14:textId="4465BF54" w:rsidR="00F277E4" w:rsidRPr="002E1F2A" w:rsidRDefault="00F277E4" w:rsidP="00F277E4">
            <w:pPr>
              <w:rPr>
                <w:sz w:val="20"/>
                <w:szCs w:val="20"/>
              </w:rPr>
            </w:pPr>
            <w:r w:rsidRPr="002E1F2A">
              <w:rPr>
                <w:sz w:val="20"/>
                <w:szCs w:val="20"/>
              </w:rPr>
              <w:t>Neuravnotežen razvoj vodo</w:t>
            </w:r>
            <w:r w:rsidR="00697C84">
              <w:rPr>
                <w:sz w:val="20"/>
                <w:szCs w:val="20"/>
              </w:rPr>
              <w:t>opskrbne i kanalizacijske mreže; n</w:t>
            </w:r>
            <w:r w:rsidR="00697C84" w:rsidRPr="002E1F2A">
              <w:rPr>
                <w:sz w:val="20"/>
                <w:szCs w:val="20"/>
              </w:rPr>
              <w:t>edovoljno razvijen sustav odvodnje i pročišćavanja u ruralnim područjima</w:t>
            </w:r>
            <w:r w:rsidR="00697C84">
              <w:rPr>
                <w:sz w:val="20"/>
                <w:szCs w:val="20"/>
              </w:rPr>
              <w:t xml:space="preserve"> i n</w:t>
            </w:r>
            <w:r w:rsidRPr="002E1F2A">
              <w:rPr>
                <w:sz w:val="20"/>
                <w:szCs w:val="20"/>
              </w:rPr>
              <w:t>epovezanost vodovodnog sustava</w:t>
            </w:r>
          </w:p>
          <w:p w14:paraId="7A789DB4" w14:textId="77777777" w:rsidR="00F277E4" w:rsidRPr="002E1F2A" w:rsidRDefault="00F277E4" w:rsidP="00F277E4">
            <w:pPr>
              <w:rPr>
                <w:sz w:val="20"/>
                <w:szCs w:val="20"/>
              </w:rPr>
            </w:pPr>
            <w:r w:rsidRPr="002E1F2A">
              <w:rPr>
                <w:sz w:val="20"/>
                <w:szCs w:val="20"/>
              </w:rPr>
              <w:t xml:space="preserve">Neodržavana i zastarjela komunalna infrastruktura </w:t>
            </w:r>
          </w:p>
          <w:p w14:paraId="0046FFAD" w14:textId="5FA26195" w:rsidR="00F277E4" w:rsidRPr="002E1F2A" w:rsidRDefault="00690C82" w:rsidP="00F277E4">
            <w:pPr>
              <w:rPr>
                <w:sz w:val="20"/>
                <w:szCs w:val="20"/>
              </w:rPr>
            </w:pPr>
            <w:r w:rsidRPr="002E1F2A">
              <w:rPr>
                <w:sz w:val="20"/>
                <w:szCs w:val="20"/>
              </w:rPr>
              <w:t xml:space="preserve">Visoki troškovi </w:t>
            </w:r>
            <w:r>
              <w:rPr>
                <w:sz w:val="20"/>
                <w:szCs w:val="20"/>
              </w:rPr>
              <w:t>održavanja i unaprjeđivanja</w:t>
            </w:r>
            <w:r w:rsidR="00F277E4" w:rsidRPr="002E1F2A">
              <w:rPr>
                <w:sz w:val="20"/>
                <w:szCs w:val="20"/>
              </w:rPr>
              <w:t xml:space="preserve"> postignute razine komunalnog standarda </w:t>
            </w:r>
          </w:p>
          <w:p w14:paraId="152DAC7C" w14:textId="77777777" w:rsidR="00F277E4" w:rsidRPr="002E1F2A" w:rsidRDefault="00F277E4" w:rsidP="00F277E4">
            <w:pPr>
              <w:rPr>
                <w:sz w:val="20"/>
                <w:szCs w:val="20"/>
              </w:rPr>
            </w:pPr>
            <w:r w:rsidRPr="002E1F2A">
              <w:rPr>
                <w:sz w:val="20"/>
                <w:szCs w:val="20"/>
              </w:rPr>
              <w:t>Niska razina educiranosti javnosti o važnosti pravilnog zbrinjavanja otpada</w:t>
            </w:r>
          </w:p>
          <w:p w14:paraId="5C613121" w14:textId="121B4BE6" w:rsidR="00F277E4" w:rsidRPr="002E1F2A" w:rsidRDefault="00F277E4" w:rsidP="00F277E4">
            <w:pPr>
              <w:rPr>
                <w:sz w:val="20"/>
                <w:szCs w:val="20"/>
              </w:rPr>
            </w:pPr>
            <w:r w:rsidRPr="002E1F2A">
              <w:rPr>
                <w:sz w:val="20"/>
                <w:szCs w:val="20"/>
              </w:rPr>
              <w:t xml:space="preserve">Neadekvatno upravljanje ekološkom mrežom </w:t>
            </w:r>
          </w:p>
        </w:tc>
      </w:tr>
      <w:tr w:rsidR="00F277E4" w:rsidRPr="002E1F2A" w14:paraId="1FD26C27" w14:textId="77777777" w:rsidTr="00F277E4">
        <w:trPr>
          <w:trHeight w:val="397"/>
        </w:trPr>
        <w:tc>
          <w:tcPr>
            <w:tcW w:w="4531" w:type="dxa"/>
            <w:shd w:val="clear" w:color="auto" w:fill="39617A"/>
            <w:vAlign w:val="center"/>
          </w:tcPr>
          <w:p w14:paraId="6D7E2BF8" w14:textId="77777777" w:rsidR="00F277E4" w:rsidRPr="002E1F2A" w:rsidRDefault="00F277E4" w:rsidP="00F277E4">
            <w:pPr>
              <w:rPr>
                <w:b/>
                <w:color w:val="FFFFFF" w:themeColor="background1"/>
                <w:sz w:val="20"/>
                <w:szCs w:val="20"/>
              </w:rPr>
            </w:pPr>
            <w:r w:rsidRPr="002E1F2A">
              <w:rPr>
                <w:b/>
                <w:color w:val="FFFFFF" w:themeColor="background1"/>
                <w:sz w:val="20"/>
                <w:szCs w:val="20"/>
              </w:rPr>
              <w:t>PRILIKE</w:t>
            </w:r>
          </w:p>
        </w:tc>
        <w:tc>
          <w:tcPr>
            <w:tcW w:w="4531" w:type="dxa"/>
            <w:shd w:val="clear" w:color="auto" w:fill="39617A"/>
            <w:vAlign w:val="center"/>
          </w:tcPr>
          <w:p w14:paraId="1C69BF09" w14:textId="77777777" w:rsidR="00F277E4" w:rsidRPr="002E1F2A" w:rsidRDefault="00F277E4" w:rsidP="00F277E4">
            <w:pPr>
              <w:rPr>
                <w:b/>
                <w:color w:val="FFFFFF" w:themeColor="background1"/>
                <w:sz w:val="20"/>
                <w:szCs w:val="20"/>
              </w:rPr>
            </w:pPr>
            <w:r w:rsidRPr="002E1F2A">
              <w:rPr>
                <w:b/>
                <w:color w:val="FFFFFF" w:themeColor="background1"/>
                <w:sz w:val="20"/>
                <w:szCs w:val="20"/>
              </w:rPr>
              <w:t>PRIJETNJE</w:t>
            </w:r>
          </w:p>
        </w:tc>
      </w:tr>
      <w:tr w:rsidR="00F277E4" w:rsidRPr="002E1F2A" w14:paraId="61B8352E" w14:textId="77777777" w:rsidTr="00F277E4">
        <w:tc>
          <w:tcPr>
            <w:tcW w:w="4531" w:type="dxa"/>
          </w:tcPr>
          <w:p w14:paraId="2A696ECC" w14:textId="356B1E06" w:rsidR="00690C82" w:rsidRDefault="00690C82" w:rsidP="00F277E4">
            <w:pPr>
              <w:rPr>
                <w:sz w:val="20"/>
                <w:szCs w:val="20"/>
              </w:rPr>
            </w:pPr>
            <w:r>
              <w:rPr>
                <w:sz w:val="20"/>
                <w:szCs w:val="20"/>
              </w:rPr>
              <w:t>Korištenje koh</w:t>
            </w:r>
            <w:r w:rsidR="008F39EB">
              <w:rPr>
                <w:sz w:val="20"/>
                <w:szCs w:val="20"/>
              </w:rPr>
              <w:t>ezijskih i strukturnih fondova E</w:t>
            </w:r>
            <w:r>
              <w:rPr>
                <w:sz w:val="20"/>
                <w:szCs w:val="20"/>
              </w:rPr>
              <w:t>U</w:t>
            </w:r>
          </w:p>
          <w:p w14:paraId="668BCA44" w14:textId="2D6C2F90" w:rsidR="00F277E4" w:rsidRPr="002E1F2A" w:rsidRDefault="00F277E4" w:rsidP="00F277E4">
            <w:pPr>
              <w:rPr>
                <w:sz w:val="20"/>
                <w:szCs w:val="20"/>
              </w:rPr>
            </w:pPr>
            <w:r w:rsidRPr="002E1F2A">
              <w:rPr>
                <w:sz w:val="20"/>
                <w:szCs w:val="20"/>
              </w:rPr>
              <w:t xml:space="preserve">Izgradnja novog toplinskog sustava sa središnjim postrojenjem TE-TO </w:t>
            </w:r>
          </w:p>
          <w:p w14:paraId="1BDB7217" w14:textId="77777777" w:rsidR="00F277E4" w:rsidRPr="002E1F2A" w:rsidRDefault="00F277E4" w:rsidP="00F277E4">
            <w:pPr>
              <w:rPr>
                <w:sz w:val="20"/>
                <w:szCs w:val="20"/>
              </w:rPr>
            </w:pPr>
            <w:r w:rsidRPr="002E1F2A">
              <w:rPr>
                <w:sz w:val="20"/>
                <w:szCs w:val="20"/>
              </w:rPr>
              <w:t>Obnova i izgradnja sustava odvodnje otpadnih i oborinskih voda</w:t>
            </w:r>
          </w:p>
          <w:p w14:paraId="474F00EB" w14:textId="495F1223" w:rsidR="00F277E4" w:rsidRPr="002E1F2A" w:rsidRDefault="00690C82" w:rsidP="00F277E4">
            <w:pPr>
              <w:rPr>
                <w:sz w:val="20"/>
                <w:szCs w:val="20"/>
              </w:rPr>
            </w:pPr>
            <w:r>
              <w:rPr>
                <w:sz w:val="20"/>
                <w:szCs w:val="20"/>
              </w:rPr>
              <w:t>Reaktivacija zapuštenih, brownfield područja</w:t>
            </w:r>
            <w:r w:rsidR="00F277E4" w:rsidRPr="002E1F2A">
              <w:rPr>
                <w:sz w:val="20"/>
                <w:szCs w:val="20"/>
              </w:rPr>
              <w:t xml:space="preserve"> za </w:t>
            </w:r>
            <w:r w:rsidR="00F277E4" w:rsidRPr="002E1F2A">
              <w:rPr>
                <w:sz w:val="20"/>
                <w:szCs w:val="20"/>
              </w:rPr>
              <w:lastRenderedPageBreak/>
              <w:t xml:space="preserve">potrebe razvoja lokalne zajednice </w:t>
            </w:r>
          </w:p>
          <w:p w14:paraId="3CE32152" w14:textId="1B24F98D" w:rsidR="00F277E4" w:rsidRPr="002E1F2A" w:rsidRDefault="00F277E4" w:rsidP="00F277E4">
            <w:pPr>
              <w:rPr>
                <w:sz w:val="20"/>
                <w:szCs w:val="20"/>
              </w:rPr>
            </w:pPr>
            <w:r w:rsidRPr="002E1F2A">
              <w:rPr>
                <w:sz w:val="20"/>
                <w:szCs w:val="20"/>
              </w:rPr>
              <w:t>Zaštita</w:t>
            </w:r>
            <w:r w:rsidR="00690C82">
              <w:rPr>
                <w:sz w:val="20"/>
                <w:szCs w:val="20"/>
              </w:rPr>
              <w:t xml:space="preserve">, valorizacija i aktivacija </w:t>
            </w:r>
            <w:r w:rsidRPr="002E1F2A">
              <w:rPr>
                <w:sz w:val="20"/>
                <w:szCs w:val="20"/>
              </w:rPr>
              <w:t xml:space="preserve">prirodne </w:t>
            </w:r>
            <w:r w:rsidR="00690C82">
              <w:rPr>
                <w:sz w:val="20"/>
                <w:szCs w:val="20"/>
              </w:rPr>
              <w:t xml:space="preserve">i kulturne </w:t>
            </w:r>
            <w:r w:rsidRPr="002E1F2A">
              <w:rPr>
                <w:sz w:val="20"/>
                <w:szCs w:val="20"/>
              </w:rPr>
              <w:t xml:space="preserve">baštine </w:t>
            </w:r>
          </w:p>
          <w:p w14:paraId="32CCBCE2" w14:textId="6EB055B1" w:rsidR="00F277E4" w:rsidRPr="002E1F2A" w:rsidRDefault="00690C82" w:rsidP="00F277E4">
            <w:pPr>
              <w:rPr>
                <w:sz w:val="20"/>
                <w:szCs w:val="20"/>
              </w:rPr>
            </w:pPr>
            <w:r>
              <w:rPr>
                <w:sz w:val="20"/>
                <w:szCs w:val="20"/>
              </w:rPr>
              <w:t>Korištenje prirodnih resursa za nove i inovativne metode opskrbe energijom (šumska</w:t>
            </w:r>
            <w:r w:rsidR="00F277E4" w:rsidRPr="002E1F2A">
              <w:rPr>
                <w:sz w:val="20"/>
                <w:szCs w:val="20"/>
              </w:rPr>
              <w:t xml:space="preserve"> biomas</w:t>
            </w:r>
            <w:r w:rsidR="003739B0">
              <w:rPr>
                <w:sz w:val="20"/>
                <w:szCs w:val="20"/>
              </w:rPr>
              <w:t>a</w:t>
            </w:r>
            <w:r>
              <w:rPr>
                <w:sz w:val="20"/>
                <w:szCs w:val="20"/>
              </w:rPr>
              <w:t>)</w:t>
            </w:r>
          </w:p>
          <w:p w14:paraId="04A36622" w14:textId="6CCE0FC5" w:rsidR="00F277E4" w:rsidRPr="002E1F2A" w:rsidRDefault="00F277E4" w:rsidP="00690C82">
            <w:pPr>
              <w:rPr>
                <w:sz w:val="20"/>
                <w:szCs w:val="20"/>
              </w:rPr>
            </w:pPr>
            <w:r w:rsidRPr="002E1F2A">
              <w:rPr>
                <w:sz w:val="20"/>
                <w:szCs w:val="20"/>
              </w:rPr>
              <w:t>Povećanje svijesti</w:t>
            </w:r>
            <w:r w:rsidR="00690C82">
              <w:rPr>
                <w:sz w:val="20"/>
                <w:szCs w:val="20"/>
              </w:rPr>
              <w:t xml:space="preserve"> i znanja</w:t>
            </w:r>
            <w:r w:rsidRPr="002E1F2A">
              <w:rPr>
                <w:sz w:val="20"/>
                <w:szCs w:val="20"/>
              </w:rPr>
              <w:t xml:space="preserve"> lokalnog stanovništva o važnosti očuvanja i zaštite okoliša </w:t>
            </w:r>
            <w:r w:rsidR="00690C82">
              <w:rPr>
                <w:sz w:val="20"/>
                <w:szCs w:val="20"/>
              </w:rPr>
              <w:t>i mogućnostima razvoja lokalnih 'cirkularnih' ekonomija</w:t>
            </w:r>
          </w:p>
        </w:tc>
        <w:tc>
          <w:tcPr>
            <w:tcW w:w="4531" w:type="dxa"/>
          </w:tcPr>
          <w:p w14:paraId="0B91C633" w14:textId="61838A24" w:rsidR="00F277E4" w:rsidRPr="002E1F2A" w:rsidRDefault="00690C82" w:rsidP="00F277E4">
            <w:pPr>
              <w:rPr>
                <w:sz w:val="20"/>
                <w:szCs w:val="20"/>
              </w:rPr>
            </w:pPr>
            <w:r>
              <w:rPr>
                <w:sz w:val="20"/>
                <w:szCs w:val="20"/>
              </w:rPr>
              <w:lastRenderedPageBreak/>
              <w:t>Nedostatak kapaciteta za kvalitetno u</w:t>
            </w:r>
            <w:r w:rsidR="00F277E4" w:rsidRPr="002E1F2A">
              <w:rPr>
                <w:sz w:val="20"/>
                <w:szCs w:val="20"/>
              </w:rPr>
              <w:t xml:space="preserve">pravljanje prirodnom i kulturno-povijesnom baštinom </w:t>
            </w:r>
          </w:p>
          <w:p w14:paraId="726D4D91" w14:textId="4D4B20C3" w:rsidR="00F277E4" w:rsidRPr="002E1F2A" w:rsidRDefault="00690C82" w:rsidP="00F277E4">
            <w:pPr>
              <w:rPr>
                <w:sz w:val="20"/>
                <w:szCs w:val="20"/>
              </w:rPr>
            </w:pPr>
            <w:r>
              <w:rPr>
                <w:sz w:val="20"/>
                <w:szCs w:val="20"/>
              </w:rPr>
              <w:t>Daljnja deterioracija komunalne i druge infrastrukture (npr.</w:t>
            </w:r>
            <w:r w:rsidR="00F277E4" w:rsidRPr="002E1F2A">
              <w:rPr>
                <w:sz w:val="20"/>
                <w:szCs w:val="20"/>
              </w:rPr>
              <w:t xml:space="preserve"> željeznička infrastruktura</w:t>
            </w:r>
            <w:r>
              <w:rPr>
                <w:sz w:val="20"/>
                <w:szCs w:val="20"/>
              </w:rPr>
              <w:t xml:space="preserve"> ili kulturna dobra)</w:t>
            </w:r>
          </w:p>
          <w:p w14:paraId="6645B8F9" w14:textId="77777777" w:rsidR="00F277E4" w:rsidRPr="002E1F2A" w:rsidRDefault="00F277E4" w:rsidP="00F277E4">
            <w:pPr>
              <w:rPr>
                <w:sz w:val="20"/>
                <w:szCs w:val="20"/>
              </w:rPr>
            </w:pPr>
            <w:r w:rsidRPr="002E1F2A">
              <w:rPr>
                <w:sz w:val="20"/>
                <w:szCs w:val="20"/>
              </w:rPr>
              <w:t xml:space="preserve">Nepovoljan utjecaj „velikih voda“ </w:t>
            </w:r>
          </w:p>
          <w:p w14:paraId="1BD607B2" w14:textId="77777777" w:rsidR="00F277E4" w:rsidRPr="002E1F2A" w:rsidRDefault="00F277E4" w:rsidP="00F277E4">
            <w:pPr>
              <w:rPr>
                <w:sz w:val="20"/>
                <w:szCs w:val="20"/>
              </w:rPr>
            </w:pPr>
            <w:r w:rsidRPr="002E1F2A">
              <w:rPr>
                <w:sz w:val="20"/>
                <w:szCs w:val="20"/>
              </w:rPr>
              <w:lastRenderedPageBreak/>
              <w:t xml:space="preserve">Klimatske promjene </w:t>
            </w:r>
          </w:p>
          <w:p w14:paraId="754135C1" w14:textId="7FA08CEB" w:rsidR="00F277E4" w:rsidRPr="002E1F2A" w:rsidRDefault="00F277E4" w:rsidP="00690C82">
            <w:pPr>
              <w:rPr>
                <w:sz w:val="20"/>
                <w:szCs w:val="20"/>
              </w:rPr>
            </w:pPr>
            <w:r w:rsidRPr="002E1F2A">
              <w:rPr>
                <w:sz w:val="20"/>
                <w:szCs w:val="20"/>
              </w:rPr>
              <w:t xml:space="preserve">Porast </w:t>
            </w:r>
            <w:r w:rsidR="00690C82">
              <w:rPr>
                <w:sz w:val="20"/>
                <w:szCs w:val="20"/>
              </w:rPr>
              <w:t>onečišćenja okoliša</w:t>
            </w:r>
            <w:r w:rsidRPr="002E1F2A">
              <w:rPr>
                <w:sz w:val="20"/>
                <w:szCs w:val="20"/>
              </w:rPr>
              <w:t xml:space="preserve"> </w:t>
            </w:r>
          </w:p>
        </w:tc>
      </w:tr>
    </w:tbl>
    <w:p w14:paraId="0BE6550D" w14:textId="77777777" w:rsidR="00E04B40" w:rsidRDefault="00E04B40" w:rsidP="001A5F94"/>
    <w:p w14:paraId="67979EF3" w14:textId="3EB9B0C9" w:rsidR="000D2F13" w:rsidRDefault="000D2F13" w:rsidP="006333E2">
      <w:pPr>
        <w:pStyle w:val="Heading2"/>
      </w:pPr>
      <w:bookmarkStart w:id="88" w:name="_Toc437390596"/>
      <w:r>
        <w:rPr>
          <w:noProof/>
        </w:rPr>
        <w:t>SWOT analiza i ključna razvojna pitanja</w:t>
      </w:r>
      <w:bookmarkEnd w:id="88"/>
    </w:p>
    <w:p w14:paraId="7960942C" w14:textId="0B4D31DE" w:rsidR="001D4FCF" w:rsidRDefault="00203770" w:rsidP="00203770">
      <w:r w:rsidRPr="0088439B">
        <w:t xml:space="preserve">Cilj SWOT analize je </w:t>
      </w:r>
      <w:r>
        <w:t>interpretacija informacija</w:t>
      </w:r>
      <w:r w:rsidRPr="0088439B">
        <w:t xml:space="preserve"> dobiven</w:t>
      </w:r>
      <w:r>
        <w:t>ih</w:t>
      </w:r>
      <w:r w:rsidRPr="0088439B">
        <w:t xml:space="preserve"> analizom stanja</w:t>
      </w:r>
      <w:r>
        <w:t>, specifičnih lokalnih i generalnih razvojnih trendova kako bi se identificiralo</w:t>
      </w:r>
      <w:r w:rsidRPr="00AE08A0">
        <w:rPr>
          <w:szCs w:val="20"/>
        </w:rPr>
        <w:t xml:space="preserve"> </w:t>
      </w:r>
      <w:r w:rsidRPr="00AE08A0">
        <w:rPr>
          <w:i/>
          <w:szCs w:val="20"/>
        </w:rPr>
        <w:t>duboke pokretače promjena</w:t>
      </w:r>
      <w:r w:rsidRPr="00AE08A0">
        <w:rPr>
          <w:szCs w:val="20"/>
        </w:rPr>
        <w:t xml:space="preserve">, one koje mogu napraviti razliku za budući život zajednice. </w:t>
      </w:r>
      <w:r w:rsidRPr="00AE08A0">
        <w:t xml:space="preserve">Drugim riječima, SWOT ima za cilj pomoći </w:t>
      </w:r>
      <w:r>
        <w:t>urbanom području</w:t>
      </w:r>
      <w:r w:rsidRPr="00AE08A0">
        <w:t xml:space="preserve"> shvatiti kako se njegove interne karakteristike odnose prema njegovoj eksternoj okolini – svijetu, drugim gradovima, županijama i državama – njegovoj konkurenciji i/ili partnerima u razvoju. </w:t>
      </w:r>
      <w:r w:rsidR="001D4FCF">
        <w:t>U kontekstu integriranog urbanog razvoja VUPKA, to podrazumijeva pozicioniranje u odnosu na glavne 'kon</w:t>
      </w:r>
      <w:r w:rsidR="008F39EB">
        <w:t>kurente' – urbane centre Zagreb</w:t>
      </w:r>
      <w:r w:rsidR="001D4FCF">
        <w:t xml:space="preserve"> i Rijek</w:t>
      </w:r>
      <w:r w:rsidR="008F39EB">
        <w:t>u</w:t>
      </w:r>
      <w:r w:rsidR="001D4FCF">
        <w:t>.</w:t>
      </w:r>
    </w:p>
    <w:p w14:paraId="5777A540" w14:textId="0921523A" w:rsidR="00203770" w:rsidRPr="00AE08A0" w:rsidRDefault="001D4FCF" w:rsidP="00203770">
      <w:r>
        <w:t xml:space="preserve"> </w:t>
      </w:r>
      <w:r w:rsidR="00203770" w:rsidRPr="00AE08A0">
        <w:t>Dakle, svrha SWOT-a je:</w:t>
      </w:r>
    </w:p>
    <w:p w14:paraId="240B5F8B" w14:textId="77777777" w:rsidR="00203770" w:rsidRPr="00AE08A0" w:rsidRDefault="00203770" w:rsidP="007E05F2">
      <w:pPr>
        <w:numPr>
          <w:ilvl w:val="0"/>
          <w:numId w:val="2"/>
        </w:numPr>
        <w:tabs>
          <w:tab w:val="num" w:pos="1440"/>
        </w:tabs>
        <w:spacing w:line="259" w:lineRule="auto"/>
      </w:pPr>
      <w:r w:rsidRPr="00AE08A0">
        <w:t xml:space="preserve">Dati generalni </w:t>
      </w:r>
      <w:r w:rsidRPr="00AE08A0">
        <w:rPr>
          <w:b/>
          <w:bCs/>
        </w:rPr>
        <w:t>smjer</w:t>
      </w:r>
      <w:r w:rsidRPr="00AE08A0">
        <w:t xml:space="preserve"> strateškom planiranju</w:t>
      </w:r>
    </w:p>
    <w:p w14:paraId="635D226C" w14:textId="77777777" w:rsidR="00203770" w:rsidRPr="00AE08A0" w:rsidRDefault="00203770" w:rsidP="007E05F2">
      <w:pPr>
        <w:numPr>
          <w:ilvl w:val="0"/>
          <w:numId w:val="2"/>
        </w:numPr>
        <w:tabs>
          <w:tab w:val="num" w:pos="1440"/>
        </w:tabs>
        <w:spacing w:line="259" w:lineRule="auto"/>
      </w:pPr>
      <w:r w:rsidRPr="00AE08A0">
        <w:t xml:space="preserve">Spojiti strateške planere i donositelje odluka u kontakt s drugim akterima kako bi se izgradio strateški </w:t>
      </w:r>
      <w:r w:rsidRPr="00AE08A0">
        <w:rPr>
          <w:b/>
          <w:bCs/>
        </w:rPr>
        <w:t>konsenzus</w:t>
      </w:r>
    </w:p>
    <w:p w14:paraId="06FE7BA7" w14:textId="77777777" w:rsidR="00203770" w:rsidRPr="00AE08A0" w:rsidRDefault="00203770" w:rsidP="007E05F2">
      <w:pPr>
        <w:numPr>
          <w:ilvl w:val="0"/>
          <w:numId w:val="2"/>
        </w:numPr>
        <w:tabs>
          <w:tab w:val="num" w:pos="1440"/>
        </w:tabs>
        <w:spacing w:line="259" w:lineRule="auto"/>
      </w:pPr>
      <w:r w:rsidRPr="00AE08A0">
        <w:t xml:space="preserve">Služiti kao </w:t>
      </w:r>
      <w:r w:rsidRPr="00AE08A0">
        <w:rPr>
          <w:b/>
          <w:bCs/>
        </w:rPr>
        <w:t>vodič,</w:t>
      </w:r>
      <w:r w:rsidRPr="00AE08A0">
        <w:t xml:space="preserve"> a ne pravilo.</w:t>
      </w:r>
    </w:p>
    <w:p w14:paraId="4696AFA7" w14:textId="2B7EC6D9" w:rsidR="00791802" w:rsidRDefault="00FB14F2" w:rsidP="006333E2">
      <w:r>
        <w:t>Izdvajanje ključnih SWOT faktora iz pojedinačnih (tematskih) SWOT analiza pomaže</w:t>
      </w:r>
      <w:r w:rsidR="006333E2" w:rsidRPr="00AE08A0">
        <w:t xml:space="preserve"> usmjeravanju</w:t>
      </w:r>
      <w:r w:rsidR="008F39EB">
        <w:t>,</w:t>
      </w:r>
      <w:r w:rsidR="006333E2" w:rsidRPr="00AE08A0">
        <w:t xml:space="preserve"> dajući generalni uvid u faktore relativne za razvoj u pojedinim područjima</w:t>
      </w:r>
      <w:r>
        <w:t xml:space="preserve">. Dodatno, </w:t>
      </w:r>
      <w:r w:rsidR="006333E2" w:rsidRPr="00AE08A0">
        <w:t xml:space="preserve">razmatranje njihovih </w:t>
      </w:r>
      <w:r>
        <w:t xml:space="preserve">međusobnih </w:t>
      </w:r>
      <w:r w:rsidR="006333E2" w:rsidRPr="00AE08A0">
        <w:t xml:space="preserve">odnosa može uputiti na opće alternative i usmjerenja, te potaknuti promišljanje razvojnih </w:t>
      </w:r>
      <w:r w:rsidR="00242439">
        <w:t>strategija</w:t>
      </w:r>
      <w:r w:rsidR="00D5053F">
        <w:t>. Ova metoda se naziva ”</w:t>
      </w:r>
      <w:r w:rsidR="00D5053F" w:rsidRPr="00D5053F">
        <w:rPr>
          <w:i/>
        </w:rPr>
        <w:t>matching and conversion</w:t>
      </w:r>
      <w:r w:rsidR="00D5053F">
        <w:t>”</w:t>
      </w:r>
      <w:r>
        <w:t>, pri čemu su načelno moguće sljedeće kombinacije</w:t>
      </w:r>
      <w:r w:rsidR="006333E2">
        <w:t>:</w:t>
      </w:r>
    </w:p>
    <w:tbl>
      <w:tblPr>
        <w:tblStyle w:val="TableGrid"/>
        <w:tblW w:w="5000" w:type="pct"/>
        <w:tblBorders>
          <w:top w:val="single" w:sz="8" w:space="0" w:color="9DBCB0"/>
          <w:left w:val="single" w:sz="8" w:space="0" w:color="9DBCB0"/>
          <w:bottom w:val="single" w:sz="8" w:space="0" w:color="9DBCB0"/>
          <w:right w:val="single" w:sz="8" w:space="0" w:color="9DBCB0"/>
          <w:insideH w:val="single" w:sz="8" w:space="0" w:color="9DBCB0"/>
          <w:insideV w:val="single" w:sz="8" w:space="0" w:color="9DBCB0"/>
        </w:tblBorders>
        <w:tblLook w:val="04A0" w:firstRow="1" w:lastRow="0" w:firstColumn="1" w:lastColumn="0" w:noHBand="0" w:noVBand="1"/>
      </w:tblPr>
      <w:tblGrid>
        <w:gridCol w:w="1054"/>
        <w:gridCol w:w="4145"/>
        <w:gridCol w:w="4145"/>
      </w:tblGrid>
      <w:tr w:rsidR="00FB14F2" w:rsidRPr="00242439" w14:paraId="0BD3AF39" w14:textId="77777777" w:rsidTr="00242439">
        <w:tc>
          <w:tcPr>
            <w:tcW w:w="564" w:type="pct"/>
            <w:tcBorders>
              <w:bottom w:val="single" w:sz="8" w:space="0" w:color="9DBCB0"/>
            </w:tcBorders>
            <w:shd w:val="clear" w:color="auto" w:fill="FFFFFF"/>
            <w:vAlign w:val="center"/>
          </w:tcPr>
          <w:p w14:paraId="058F6E3B" w14:textId="77777777" w:rsidR="00FB14F2" w:rsidRPr="00242439" w:rsidRDefault="00FB14F2" w:rsidP="00242439">
            <w:pPr>
              <w:rPr>
                <w:b/>
                <w:sz w:val="20"/>
                <w:szCs w:val="20"/>
              </w:rPr>
            </w:pPr>
          </w:p>
        </w:tc>
        <w:tc>
          <w:tcPr>
            <w:tcW w:w="2218" w:type="pct"/>
            <w:tcBorders>
              <w:bottom w:val="single" w:sz="8" w:space="0" w:color="9DBCB0"/>
            </w:tcBorders>
            <w:shd w:val="clear" w:color="auto" w:fill="8DB3E2" w:themeFill="text2" w:themeFillTint="66"/>
            <w:vAlign w:val="center"/>
          </w:tcPr>
          <w:p w14:paraId="6A847F42" w14:textId="77777777" w:rsidR="00FB14F2" w:rsidRPr="00242439" w:rsidRDefault="00FB14F2" w:rsidP="00242439">
            <w:pPr>
              <w:rPr>
                <w:b/>
                <w:sz w:val="20"/>
                <w:szCs w:val="20"/>
              </w:rPr>
            </w:pPr>
            <w:r w:rsidRPr="00242439">
              <w:rPr>
                <w:b/>
                <w:sz w:val="20"/>
                <w:szCs w:val="20"/>
              </w:rPr>
              <w:t>SNAGE</w:t>
            </w:r>
          </w:p>
        </w:tc>
        <w:tc>
          <w:tcPr>
            <w:tcW w:w="2218" w:type="pct"/>
            <w:tcBorders>
              <w:bottom w:val="single" w:sz="8" w:space="0" w:color="9DBCB0"/>
            </w:tcBorders>
            <w:shd w:val="clear" w:color="auto" w:fill="92CDDC" w:themeFill="accent5" w:themeFillTint="99"/>
          </w:tcPr>
          <w:p w14:paraId="7812FF29" w14:textId="77777777" w:rsidR="00FB14F2" w:rsidRPr="00242439" w:rsidRDefault="00FB14F2" w:rsidP="00242439">
            <w:pPr>
              <w:rPr>
                <w:b/>
                <w:sz w:val="20"/>
                <w:szCs w:val="20"/>
              </w:rPr>
            </w:pPr>
            <w:r w:rsidRPr="00242439">
              <w:rPr>
                <w:b/>
                <w:sz w:val="20"/>
                <w:szCs w:val="20"/>
              </w:rPr>
              <w:t>SLABOSTI</w:t>
            </w:r>
          </w:p>
        </w:tc>
      </w:tr>
      <w:tr w:rsidR="00FB14F2" w:rsidRPr="00242439" w14:paraId="59575C44" w14:textId="77777777" w:rsidTr="00242439">
        <w:tc>
          <w:tcPr>
            <w:tcW w:w="564" w:type="pct"/>
            <w:shd w:val="clear" w:color="auto" w:fill="auto"/>
          </w:tcPr>
          <w:p w14:paraId="52F5E3C4" w14:textId="77777777" w:rsidR="00FB14F2" w:rsidRPr="00242439" w:rsidRDefault="00FB14F2" w:rsidP="00242439">
            <w:pPr>
              <w:rPr>
                <w:b/>
                <w:sz w:val="20"/>
                <w:szCs w:val="20"/>
              </w:rPr>
            </w:pPr>
            <w:r w:rsidRPr="00242439">
              <w:rPr>
                <w:b/>
                <w:sz w:val="20"/>
                <w:szCs w:val="20"/>
              </w:rPr>
              <w:t>PRILIKE</w:t>
            </w:r>
          </w:p>
        </w:tc>
        <w:tc>
          <w:tcPr>
            <w:tcW w:w="2218" w:type="pct"/>
            <w:shd w:val="clear" w:color="auto" w:fill="C6D9F1" w:themeFill="text2" w:themeFillTint="33"/>
          </w:tcPr>
          <w:p w14:paraId="3E2FA9AC" w14:textId="77777777" w:rsidR="00FB14F2" w:rsidRPr="00242439" w:rsidRDefault="00FB14F2" w:rsidP="00242439">
            <w:pPr>
              <w:jc w:val="center"/>
              <w:rPr>
                <w:b/>
                <w:sz w:val="20"/>
                <w:szCs w:val="20"/>
              </w:rPr>
            </w:pPr>
            <w:r w:rsidRPr="00242439">
              <w:rPr>
                <w:b/>
                <w:sz w:val="20"/>
                <w:szCs w:val="20"/>
              </w:rPr>
              <w:t>Snage - Prilike</w:t>
            </w:r>
          </w:p>
          <w:p w14:paraId="458D12A9" w14:textId="77777777" w:rsidR="00FB14F2" w:rsidRPr="00242439" w:rsidRDefault="00FB14F2" w:rsidP="00242439">
            <w:pPr>
              <w:jc w:val="center"/>
              <w:rPr>
                <w:sz w:val="20"/>
                <w:szCs w:val="20"/>
              </w:rPr>
            </w:pPr>
            <w:r w:rsidRPr="00242439">
              <w:rPr>
                <w:sz w:val="20"/>
                <w:szCs w:val="20"/>
              </w:rPr>
              <w:t>SO strategija (Max/Max)</w:t>
            </w:r>
          </w:p>
          <w:p w14:paraId="5011BBCE" w14:textId="77777777" w:rsidR="00FB14F2" w:rsidRPr="00242439" w:rsidRDefault="00FB14F2" w:rsidP="00242439">
            <w:pPr>
              <w:jc w:val="center"/>
              <w:rPr>
                <w:sz w:val="20"/>
                <w:szCs w:val="20"/>
              </w:rPr>
            </w:pPr>
            <w:r w:rsidRPr="00242439">
              <w:rPr>
                <w:sz w:val="20"/>
                <w:szCs w:val="20"/>
              </w:rPr>
              <w:t>Građenje na vlastitim potencijalima (snagama) kako bi se realizirale pozitivne mogućnosti.</w:t>
            </w:r>
          </w:p>
        </w:tc>
        <w:tc>
          <w:tcPr>
            <w:tcW w:w="2218" w:type="pct"/>
            <w:shd w:val="clear" w:color="auto" w:fill="DAEEF3" w:themeFill="accent5" w:themeFillTint="33"/>
          </w:tcPr>
          <w:p w14:paraId="535EA294" w14:textId="77777777" w:rsidR="00FB14F2" w:rsidRPr="00242439" w:rsidRDefault="00FB14F2" w:rsidP="00242439">
            <w:pPr>
              <w:jc w:val="center"/>
              <w:rPr>
                <w:b/>
                <w:sz w:val="20"/>
                <w:szCs w:val="20"/>
              </w:rPr>
            </w:pPr>
            <w:r w:rsidRPr="00242439">
              <w:rPr>
                <w:b/>
                <w:sz w:val="20"/>
                <w:szCs w:val="20"/>
              </w:rPr>
              <w:t>Slabosti - Prilike</w:t>
            </w:r>
          </w:p>
          <w:p w14:paraId="708FF250" w14:textId="77777777" w:rsidR="00FB14F2" w:rsidRPr="00242439" w:rsidRDefault="00FB14F2" w:rsidP="00242439">
            <w:pPr>
              <w:jc w:val="center"/>
              <w:rPr>
                <w:sz w:val="20"/>
                <w:szCs w:val="20"/>
              </w:rPr>
            </w:pPr>
            <w:r w:rsidRPr="00242439">
              <w:rPr>
                <w:sz w:val="20"/>
                <w:szCs w:val="20"/>
              </w:rPr>
              <w:t>WO strategija (Min/Max)</w:t>
            </w:r>
          </w:p>
          <w:p w14:paraId="5D4FCC24" w14:textId="77777777" w:rsidR="00FB14F2" w:rsidRPr="00242439" w:rsidRDefault="00FB14F2" w:rsidP="00242439">
            <w:pPr>
              <w:jc w:val="center"/>
              <w:rPr>
                <w:sz w:val="20"/>
                <w:szCs w:val="20"/>
              </w:rPr>
            </w:pPr>
            <w:r w:rsidRPr="00242439">
              <w:rPr>
                <w:sz w:val="20"/>
                <w:szCs w:val="20"/>
              </w:rPr>
              <w:t>Korištenje pozitivnih trendova za prevladavanje slabosti (problema)</w:t>
            </w:r>
          </w:p>
        </w:tc>
      </w:tr>
      <w:tr w:rsidR="00FB14F2" w:rsidRPr="00242439" w14:paraId="47BA759E" w14:textId="77777777" w:rsidTr="00242439">
        <w:trPr>
          <w:tblHeader/>
        </w:trPr>
        <w:tc>
          <w:tcPr>
            <w:tcW w:w="564" w:type="pct"/>
            <w:shd w:val="clear" w:color="auto" w:fill="FFFFFF"/>
            <w:vAlign w:val="center"/>
          </w:tcPr>
          <w:p w14:paraId="077B78B8" w14:textId="77777777" w:rsidR="00FB14F2" w:rsidRPr="00242439" w:rsidRDefault="00FB14F2" w:rsidP="00242439">
            <w:pPr>
              <w:rPr>
                <w:b/>
                <w:sz w:val="20"/>
                <w:szCs w:val="20"/>
              </w:rPr>
            </w:pPr>
            <w:r w:rsidRPr="00242439">
              <w:rPr>
                <w:b/>
                <w:sz w:val="20"/>
                <w:szCs w:val="20"/>
              </w:rPr>
              <w:t>PRIJETNJE</w:t>
            </w:r>
          </w:p>
        </w:tc>
        <w:tc>
          <w:tcPr>
            <w:tcW w:w="2218" w:type="pct"/>
            <w:shd w:val="clear" w:color="auto" w:fill="C6D9F1" w:themeFill="text2" w:themeFillTint="33"/>
            <w:vAlign w:val="center"/>
          </w:tcPr>
          <w:p w14:paraId="26D2E06B" w14:textId="77777777" w:rsidR="00FB14F2" w:rsidRPr="00242439" w:rsidRDefault="00FB14F2" w:rsidP="00242439">
            <w:pPr>
              <w:jc w:val="center"/>
              <w:rPr>
                <w:b/>
                <w:sz w:val="20"/>
                <w:szCs w:val="20"/>
              </w:rPr>
            </w:pPr>
            <w:r w:rsidRPr="00242439">
              <w:rPr>
                <w:b/>
                <w:sz w:val="20"/>
                <w:szCs w:val="20"/>
              </w:rPr>
              <w:t>Snage – Prijetnje</w:t>
            </w:r>
          </w:p>
          <w:p w14:paraId="02F83DD8" w14:textId="77777777" w:rsidR="00FB14F2" w:rsidRPr="00242439" w:rsidRDefault="00FB14F2" w:rsidP="00242439">
            <w:pPr>
              <w:jc w:val="center"/>
              <w:rPr>
                <w:sz w:val="20"/>
                <w:szCs w:val="20"/>
              </w:rPr>
            </w:pPr>
            <w:r w:rsidRPr="00242439">
              <w:rPr>
                <w:sz w:val="20"/>
                <w:szCs w:val="20"/>
              </w:rPr>
              <w:t>ST strategija (Max/Min)</w:t>
            </w:r>
          </w:p>
          <w:p w14:paraId="47EA68E2" w14:textId="1E628643" w:rsidR="00FB14F2" w:rsidRPr="00242439" w:rsidRDefault="00FB14F2" w:rsidP="002E1F2A">
            <w:pPr>
              <w:jc w:val="center"/>
              <w:rPr>
                <w:sz w:val="20"/>
                <w:szCs w:val="20"/>
              </w:rPr>
            </w:pPr>
            <w:r w:rsidRPr="00242439">
              <w:rPr>
                <w:sz w:val="20"/>
                <w:szCs w:val="20"/>
              </w:rPr>
              <w:t>Načini iskorištavanja snaga da bi se smanjila ranjivost prema vanjskim prijetnjama.</w:t>
            </w:r>
          </w:p>
        </w:tc>
        <w:tc>
          <w:tcPr>
            <w:tcW w:w="2218" w:type="pct"/>
            <w:shd w:val="clear" w:color="auto" w:fill="DAEEF3" w:themeFill="accent5" w:themeFillTint="33"/>
          </w:tcPr>
          <w:p w14:paraId="06C672F9" w14:textId="77777777" w:rsidR="00FB14F2" w:rsidRPr="00242439" w:rsidRDefault="00FB14F2" w:rsidP="00242439">
            <w:pPr>
              <w:jc w:val="center"/>
              <w:rPr>
                <w:b/>
                <w:sz w:val="20"/>
                <w:szCs w:val="20"/>
              </w:rPr>
            </w:pPr>
            <w:r w:rsidRPr="00242439">
              <w:rPr>
                <w:b/>
                <w:sz w:val="20"/>
                <w:szCs w:val="20"/>
              </w:rPr>
              <w:t>Slabosti-Prijetnje</w:t>
            </w:r>
          </w:p>
          <w:p w14:paraId="06356C97" w14:textId="77777777" w:rsidR="00FB14F2" w:rsidRPr="00242439" w:rsidRDefault="00FB14F2" w:rsidP="00242439">
            <w:pPr>
              <w:jc w:val="center"/>
              <w:rPr>
                <w:sz w:val="20"/>
                <w:szCs w:val="20"/>
              </w:rPr>
            </w:pPr>
            <w:r w:rsidRPr="00242439">
              <w:rPr>
                <w:sz w:val="20"/>
                <w:szCs w:val="20"/>
              </w:rPr>
              <w:t>WT strategija (Min/Min)</w:t>
            </w:r>
          </w:p>
          <w:p w14:paraId="174EDE7F" w14:textId="24F321C0" w:rsidR="00FB14F2" w:rsidRPr="00242439" w:rsidRDefault="00FB14F2" w:rsidP="002E1F2A">
            <w:pPr>
              <w:jc w:val="center"/>
              <w:rPr>
                <w:sz w:val="20"/>
                <w:szCs w:val="20"/>
              </w:rPr>
            </w:pPr>
            <w:r w:rsidRPr="00242439">
              <w:rPr>
                <w:sz w:val="20"/>
                <w:szCs w:val="20"/>
              </w:rPr>
              <w:t>Obrambena strategija umanjivanja slabosti kako bi se smanjila izloženost vanjskim prijetnjama.</w:t>
            </w:r>
          </w:p>
        </w:tc>
      </w:tr>
    </w:tbl>
    <w:p w14:paraId="460FE620" w14:textId="77777777" w:rsidR="002E1F2A" w:rsidRDefault="002E1F2A" w:rsidP="006333E2"/>
    <w:p w14:paraId="540093EF" w14:textId="7EE349E3" w:rsidR="00FB14F2" w:rsidRPr="006333E2" w:rsidRDefault="008F39EB" w:rsidP="006333E2">
      <w:r>
        <w:t>Sintetizirajući osnovnu socio</w:t>
      </w:r>
      <w:r w:rsidR="00690C82">
        <w:t xml:space="preserve">ekonomsku analizu te </w:t>
      </w:r>
      <w:r w:rsidR="00D5053F">
        <w:t>ključne</w:t>
      </w:r>
      <w:r w:rsidR="00242439">
        <w:t xml:space="preserve"> razv</w:t>
      </w:r>
      <w:r w:rsidR="00D5053F">
        <w:t>ojne faktore</w:t>
      </w:r>
      <w:r w:rsidR="00242439">
        <w:t xml:space="preserve"> </w:t>
      </w:r>
      <w:r w:rsidR="00690C82">
        <w:t>iz pojedinačnih (tematskih) SWOT</w:t>
      </w:r>
      <w:r w:rsidR="00D5053F">
        <w:t>-ova, te primjenom gore navedene ”</w:t>
      </w:r>
      <w:r w:rsidR="00D5053F" w:rsidRPr="00D5053F">
        <w:rPr>
          <w:i/>
        </w:rPr>
        <w:t>matching and conversion</w:t>
      </w:r>
      <w:r w:rsidR="00D5053F">
        <w:t>” tehnike (međusobn</w:t>
      </w:r>
      <w:r w:rsidR="00242439">
        <w:t xml:space="preserve">ih odnosa </w:t>
      </w:r>
      <w:r w:rsidR="00D5053F">
        <w:t>SWOT faktora)</w:t>
      </w:r>
      <w:r>
        <w:t>,</w:t>
      </w:r>
      <w:r w:rsidR="00D5053F">
        <w:t xml:space="preserve"> </w:t>
      </w:r>
      <w:r w:rsidR="00242439">
        <w:t xml:space="preserve">dolazimo do slijedećih </w:t>
      </w:r>
      <w:r w:rsidR="00D5053F">
        <w:t xml:space="preserve">generalnih razvojnih strategija </w:t>
      </w:r>
      <w:r w:rsidR="00B55150">
        <w:t>SRVUPKA</w:t>
      </w:r>
      <w:r w:rsidR="00242439">
        <w:t>:</w:t>
      </w:r>
    </w:p>
    <w:p w14:paraId="42A92D08" w14:textId="72712CD1" w:rsidR="006333E2" w:rsidRPr="00AE08A0" w:rsidRDefault="006333E2" w:rsidP="006333E2">
      <w:pPr>
        <w:rPr>
          <w:rStyle w:val="IntenseEmphasis"/>
        </w:rPr>
      </w:pPr>
      <w:r w:rsidRPr="00AE08A0">
        <w:rPr>
          <w:rStyle w:val="IntenseEmphasis"/>
        </w:rPr>
        <w:t xml:space="preserve">Moguće </w:t>
      </w:r>
      <w:r w:rsidRPr="006333E2">
        <w:rPr>
          <w:rStyle w:val="IntenseEmphasis"/>
          <w:b/>
        </w:rPr>
        <w:t>S – O (proaktivne</w:t>
      </w:r>
      <w:r w:rsidR="00242439">
        <w:rPr>
          <w:rStyle w:val="IntenseEmphasis"/>
          <w:b/>
        </w:rPr>
        <w:t>, afirmativne</w:t>
      </w:r>
      <w:r w:rsidRPr="006333E2">
        <w:rPr>
          <w:rStyle w:val="IntenseEmphasis"/>
          <w:b/>
        </w:rPr>
        <w:t>) strategije</w:t>
      </w:r>
      <w:r w:rsidRPr="00AE08A0">
        <w:rPr>
          <w:rStyle w:val="IntenseEmphasis"/>
        </w:rPr>
        <w:t xml:space="preserve"> (iskorištavanje mogućnosti aktiviranjem snaga): </w:t>
      </w:r>
    </w:p>
    <w:p w14:paraId="4CF2E244" w14:textId="7096774F" w:rsidR="00242439" w:rsidRPr="00AE13A4" w:rsidRDefault="00242439" w:rsidP="00F950C3">
      <w:pPr>
        <w:pStyle w:val="ListParagraph"/>
        <w:numPr>
          <w:ilvl w:val="0"/>
          <w:numId w:val="5"/>
        </w:numPr>
        <w:spacing w:before="60" w:after="60"/>
        <w:contextualSpacing w:val="0"/>
        <w:jc w:val="left"/>
        <w:rPr>
          <w:rFonts w:asciiTheme="majorHAnsi" w:hAnsiTheme="majorHAnsi" w:cs="Arial"/>
          <w:sz w:val="20"/>
          <w:szCs w:val="20"/>
        </w:rPr>
      </w:pPr>
      <w:r w:rsidRPr="00AE13A4">
        <w:rPr>
          <w:rFonts w:asciiTheme="majorHAnsi" w:hAnsiTheme="majorHAnsi" w:cs="Arial"/>
          <w:sz w:val="20"/>
          <w:szCs w:val="20"/>
        </w:rPr>
        <w:lastRenderedPageBreak/>
        <w:t>Koristiti p</w:t>
      </w:r>
      <w:r>
        <w:rPr>
          <w:rFonts w:asciiTheme="majorHAnsi" w:hAnsiTheme="majorHAnsi" w:cs="Arial"/>
          <w:sz w:val="20"/>
          <w:szCs w:val="20"/>
        </w:rPr>
        <w:t>repoznatljivost, ambijentalne i prirodne</w:t>
      </w:r>
      <w:r w:rsidRPr="00AE13A4">
        <w:rPr>
          <w:rFonts w:asciiTheme="majorHAnsi" w:hAnsiTheme="majorHAnsi" w:cs="Arial"/>
          <w:sz w:val="20"/>
          <w:szCs w:val="20"/>
        </w:rPr>
        <w:t xml:space="preserve"> vrijednost</w:t>
      </w:r>
      <w:r w:rsidR="008F39EB">
        <w:rPr>
          <w:rFonts w:asciiTheme="majorHAnsi" w:hAnsiTheme="majorHAnsi" w:cs="Arial"/>
          <w:sz w:val="20"/>
          <w:szCs w:val="20"/>
        </w:rPr>
        <w:t>i</w:t>
      </w:r>
      <w:r w:rsidRPr="00AE13A4">
        <w:rPr>
          <w:rFonts w:asciiTheme="majorHAnsi" w:hAnsiTheme="majorHAnsi" w:cs="Arial"/>
          <w:sz w:val="20"/>
          <w:szCs w:val="20"/>
        </w:rPr>
        <w:t xml:space="preserve"> i bogatu kulturno povijesnu tradiciju </w:t>
      </w:r>
      <w:r>
        <w:rPr>
          <w:rFonts w:asciiTheme="majorHAnsi" w:hAnsiTheme="majorHAnsi" w:cs="Arial"/>
          <w:sz w:val="20"/>
          <w:szCs w:val="20"/>
        </w:rPr>
        <w:t>područja</w:t>
      </w:r>
      <w:r w:rsidRPr="00AE13A4">
        <w:rPr>
          <w:rFonts w:asciiTheme="majorHAnsi" w:hAnsiTheme="majorHAnsi" w:cs="Arial"/>
          <w:sz w:val="20"/>
          <w:szCs w:val="20"/>
        </w:rPr>
        <w:t xml:space="preserve"> za razvoj kulturn</w:t>
      </w:r>
      <w:r w:rsidR="00192EA4">
        <w:rPr>
          <w:rFonts w:asciiTheme="majorHAnsi" w:hAnsiTheme="majorHAnsi" w:cs="Arial"/>
          <w:sz w:val="20"/>
          <w:szCs w:val="20"/>
        </w:rPr>
        <w:t>ih sadržaja, očuvanje i unapr</w:t>
      </w:r>
      <w:r>
        <w:rPr>
          <w:rFonts w:asciiTheme="majorHAnsi" w:hAnsiTheme="majorHAnsi" w:cs="Arial"/>
          <w:sz w:val="20"/>
          <w:szCs w:val="20"/>
        </w:rPr>
        <w:t xml:space="preserve">jeđenje materijalne </w:t>
      </w:r>
      <w:r w:rsidR="001E1F0C">
        <w:rPr>
          <w:rFonts w:asciiTheme="majorHAnsi" w:hAnsiTheme="majorHAnsi" w:cs="Arial"/>
          <w:sz w:val="20"/>
          <w:szCs w:val="20"/>
        </w:rPr>
        <w:t xml:space="preserve">i prirodne </w:t>
      </w:r>
      <w:r>
        <w:rPr>
          <w:rFonts w:asciiTheme="majorHAnsi" w:hAnsiTheme="majorHAnsi" w:cs="Arial"/>
          <w:sz w:val="20"/>
          <w:szCs w:val="20"/>
        </w:rPr>
        <w:t>baštine i s njima povezanog turizma</w:t>
      </w:r>
      <w:r w:rsidR="007676FA">
        <w:rPr>
          <w:rFonts w:asciiTheme="majorHAnsi" w:hAnsiTheme="majorHAnsi" w:cs="Arial"/>
          <w:sz w:val="20"/>
          <w:szCs w:val="20"/>
        </w:rPr>
        <w:t xml:space="preserve"> i gospodarstva</w:t>
      </w:r>
      <w:r w:rsidR="002E1F2A">
        <w:rPr>
          <w:rFonts w:asciiTheme="majorHAnsi" w:hAnsiTheme="majorHAnsi" w:cs="Arial"/>
          <w:sz w:val="20"/>
          <w:szCs w:val="20"/>
        </w:rPr>
        <w:t>.</w:t>
      </w:r>
    </w:p>
    <w:p w14:paraId="1CDF1C01" w14:textId="63E14BBD" w:rsidR="00242439" w:rsidRPr="00AE13A4" w:rsidRDefault="00242439" w:rsidP="00F950C3">
      <w:pPr>
        <w:pStyle w:val="ListParagraph"/>
        <w:numPr>
          <w:ilvl w:val="0"/>
          <w:numId w:val="5"/>
        </w:numPr>
        <w:spacing w:before="60" w:after="60"/>
        <w:contextualSpacing w:val="0"/>
        <w:jc w:val="left"/>
        <w:rPr>
          <w:rFonts w:asciiTheme="majorHAnsi" w:hAnsiTheme="majorHAnsi" w:cs="Arial"/>
          <w:sz w:val="20"/>
          <w:szCs w:val="20"/>
        </w:rPr>
      </w:pPr>
      <w:r w:rsidRPr="00AE13A4">
        <w:rPr>
          <w:rFonts w:asciiTheme="majorHAnsi" w:hAnsiTheme="majorHAnsi" w:cs="Arial"/>
          <w:sz w:val="20"/>
          <w:szCs w:val="20"/>
        </w:rPr>
        <w:t xml:space="preserve">Koristeći povoljan prometni položaj </w:t>
      </w:r>
      <w:r w:rsidR="008A4758">
        <w:rPr>
          <w:rFonts w:asciiTheme="majorHAnsi" w:hAnsiTheme="majorHAnsi" w:cs="Arial"/>
          <w:sz w:val="20"/>
          <w:szCs w:val="20"/>
        </w:rPr>
        <w:t xml:space="preserve">unaprijediti prometnu dostupnost i mobilnost te tako privući nove investitore, </w:t>
      </w:r>
      <w:r>
        <w:rPr>
          <w:rFonts w:asciiTheme="majorHAnsi" w:hAnsiTheme="majorHAnsi" w:cs="Arial"/>
          <w:sz w:val="20"/>
          <w:szCs w:val="20"/>
        </w:rPr>
        <w:t xml:space="preserve">stanovnike </w:t>
      </w:r>
      <w:r w:rsidR="008F39EB">
        <w:rPr>
          <w:rFonts w:asciiTheme="majorHAnsi" w:hAnsiTheme="majorHAnsi" w:cs="Arial"/>
          <w:sz w:val="20"/>
          <w:szCs w:val="20"/>
        </w:rPr>
        <w:t>te</w:t>
      </w:r>
      <w:r w:rsidRPr="00AE13A4">
        <w:rPr>
          <w:rFonts w:asciiTheme="majorHAnsi" w:hAnsiTheme="majorHAnsi" w:cs="Arial"/>
          <w:sz w:val="20"/>
          <w:szCs w:val="20"/>
        </w:rPr>
        <w:t xml:space="preserve"> broj dolazaka i noćenja turista</w:t>
      </w:r>
      <w:r w:rsidR="002E1F2A">
        <w:rPr>
          <w:rFonts w:asciiTheme="majorHAnsi" w:hAnsiTheme="majorHAnsi" w:cs="Arial"/>
          <w:sz w:val="20"/>
          <w:szCs w:val="20"/>
        </w:rPr>
        <w:t xml:space="preserve"> i posjetitelja.</w:t>
      </w:r>
    </w:p>
    <w:p w14:paraId="3F3021E0" w14:textId="1B8A27A4" w:rsidR="0056658A" w:rsidRDefault="00242439" w:rsidP="00F950C3">
      <w:pPr>
        <w:pStyle w:val="ListParagraph"/>
        <w:numPr>
          <w:ilvl w:val="0"/>
          <w:numId w:val="5"/>
        </w:numPr>
        <w:spacing w:before="0"/>
        <w:contextualSpacing w:val="0"/>
        <w:rPr>
          <w:rFonts w:asciiTheme="majorHAnsi" w:hAnsiTheme="majorHAnsi" w:cs="Arial"/>
          <w:sz w:val="20"/>
          <w:szCs w:val="20"/>
        </w:rPr>
      </w:pPr>
      <w:r>
        <w:rPr>
          <w:rFonts w:asciiTheme="majorHAnsi" w:hAnsiTheme="majorHAnsi" w:cs="Arial"/>
          <w:sz w:val="20"/>
          <w:szCs w:val="20"/>
        </w:rPr>
        <w:t>Osnažiti i unaprijediti kulturnu produkciju i na taj način iskoristiti trendove na svjetskim i domaćim tržištima (kulturni turizam, kulturne / kreativne industrije)</w:t>
      </w:r>
      <w:r w:rsidR="002E1F2A">
        <w:rPr>
          <w:rFonts w:asciiTheme="majorHAnsi" w:hAnsiTheme="majorHAnsi" w:cs="Arial"/>
          <w:sz w:val="20"/>
          <w:szCs w:val="20"/>
        </w:rPr>
        <w:t>.</w:t>
      </w:r>
      <w:r>
        <w:rPr>
          <w:rFonts w:asciiTheme="majorHAnsi" w:hAnsiTheme="majorHAnsi" w:cs="Arial"/>
          <w:sz w:val="20"/>
          <w:szCs w:val="20"/>
        </w:rPr>
        <w:t xml:space="preserve"> </w:t>
      </w:r>
    </w:p>
    <w:p w14:paraId="2F4F23E3" w14:textId="77777777" w:rsidR="006333E2" w:rsidRPr="00AE08A0" w:rsidRDefault="006333E2" w:rsidP="006333E2">
      <w:pPr>
        <w:rPr>
          <w:rStyle w:val="IntenseEmphasis"/>
        </w:rPr>
      </w:pPr>
      <w:r w:rsidRPr="00AE08A0">
        <w:rPr>
          <w:rStyle w:val="IntenseEmphasis"/>
        </w:rPr>
        <w:t xml:space="preserve">Moguće </w:t>
      </w:r>
      <w:r w:rsidRPr="006333E2">
        <w:rPr>
          <w:rStyle w:val="IntenseEmphasis"/>
          <w:b/>
        </w:rPr>
        <w:t>S – T (izbjegavajuće) strategije</w:t>
      </w:r>
      <w:r w:rsidRPr="00AE08A0">
        <w:rPr>
          <w:rStyle w:val="IntenseEmphasis"/>
        </w:rPr>
        <w:t xml:space="preserve"> (aktiviranje snaga u cilju izbjegavanja prijetnji):</w:t>
      </w:r>
    </w:p>
    <w:p w14:paraId="075E858E" w14:textId="609A53B5" w:rsidR="0056658A" w:rsidRPr="0056658A" w:rsidRDefault="0056658A" w:rsidP="00F950C3">
      <w:pPr>
        <w:pStyle w:val="ListParagraph"/>
        <w:numPr>
          <w:ilvl w:val="0"/>
          <w:numId w:val="7"/>
        </w:numPr>
        <w:spacing w:before="60" w:after="60"/>
        <w:contextualSpacing w:val="0"/>
        <w:jc w:val="left"/>
        <w:rPr>
          <w:rFonts w:asciiTheme="majorHAnsi" w:hAnsiTheme="majorHAnsi" w:cs="Arial"/>
          <w:b/>
          <w:color w:val="44697D"/>
          <w:sz w:val="20"/>
          <w:szCs w:val="20"/>
        </w:rPr>
      </w:pPr>
      <w:r>
        <w:rPr>
          <w:rFonts w:asciiTheme="majorHAnsi" w:hAnsiTheme="majorHAnsi" w:cs="Arial"/>
          <w:sz w:val="20"/>
          <w:szCs w:val="20"/>
        </w:rPr>
        <w:t>Ko</w:t>
      </w:r>
      <w:r w:rsidR="00242439" w:rsidRPr="00AE13A4">
        <w:rPr>
          <w:rFonts w:asciiTheme="majorHAnsi" w:hAnsiTheme="majorHAnsi" w:cs="Arial"/>
          <w:sz w:val="20"/>
          <w:szCs w:val="20"/>
        </w:rPr>
        <w:t>rištenjem sredstava za (su)financiranje investicijskih projekata potaknuti poduzetničke djelatnosti i smanjiti odlazak radno sposobnog stanovništva</w:t>
      </w:r>
      <w:r w:rsidR="002E1F2A">
        <w:rPr>
          <w:rFonts w:asciiTheme="majorHAnsi" w:hAnsiTheme="majorHAnsi" w:cs="Arial"/>
          <w:sz w:val="20"/>
          <w:szCs w:val="20"/>
        </w:rPr>
        <w:t>.</w:t>
      </w:r>
      <w:r w:rsidR="00242439" w:rsidRPr="00AE13A4">
        <w:rPr>
          <w:rFonts w:asciiTheme="majorHAnsi" w:hAnsiTheme="majorHAnsi" w:cs="Arial"/>
          <w:sz w:val="20"/>
          <w:szCs w:val="20"/>
        </w:rPr>
        <w:t xml:space="preserve"> </w:t>
      </w:r>
    </w:p>
    <w:p w14:paraId="7888B330" w14:textId="552375EA" w:rsidR="006333E2" w:rsidRPr="0056658A" w:rsidRDefault="00242439" w:rsidP="00F950C3">
      <w:pPr>
        <w:pStyle w:val="ListParagraph"/>
        <w:numPr>
          <w:ilvl w:val="0"/>
          <w:numId w:val="7"/>
        </w:numPr>
        <w:spacing w:before="60" w:after="60"/>
        <w:contextualSpacing w:val="0"/>
        <w:jc w:val="left"/>
        <w:rPr>
          <w:rStyle w:val="IntenseEmphasis"/>
          <w:rFonts w:asciiTheme="majorHAnsi" w:hAnsiTheme="majorHAnsi" w:cs="Arial"/>
          <w:b/>
          <w:i w:val="0"/>
          <w:iCs w:val="0"/>
          <w:color w:val="44697D"/>
          <w:sz w:val="20"/>
          <w:szCs w:val="20"/>
        </w:rPr>
      </w:pPr>
      <w:r w:rsidRPr="0056658A">
        <w:rPr>
          <w:rFonts w:asciiTheme="majorHAnsi" w:hAnsiTheme="majorHAnsi" w:cs="Arial"/>
          <w:sz w:val="20"/>
          <w:szCs w:val="20"/>
        </w:rPr>
        <w:t>Koristeći kapacitete obrazovnih institucija</w:t>
      </w:r>
      <w:r w:rsidR="0056658A">
        <w:rPr>
          <w:rFonts w:asciiTheme="majorHAnsi" w:hAnsiTheme="majorHAnsi" w:cs="Arial"/>
          <w:sz w:val="20"/>
          <w:szCs w:val="20"/>
        </w:rPr>
        <w:t xml:space="preserve"> i lokalnih inicijativa</w:t>
      </w:r>
      <w:r w:rsidR="008F39EB">
        <w:rPr>
          <w:rFonts w:asciiTheme="majorHAnsi" w:hAnsiTheme="majorHAnsi" w:cs="Arial"/>
          <w:sz w:val="20"/>
          <w:szCs w:val="20"/>
        </w:rPr>
        <w:t>,</w:t>
      </w:r>
      <w:r w:rsidRPr="0056658A">
        <w:rPr>
          <w:rFonts w:asciiTheme="majorHAnsi" w:hAnsiTheme="majorHAnsi" w:cs="Arial"/>
          <w:sz w:val="20"/>
          <w:szCs w:val="20"/>
        </w:rPr>
        <w:t xml:space="preserve"> povećati konkurentnost i atraktivnost </w:t>
      </w:r>
      <w:r w:rsidR="0056658A">
        <w:rPr>
          <w:rFonts w:asciiTheme="majorHAnsi" w:hAnsiTheme="majorHAnsi" w:cs="Arial"/>
          <w:sz w:val="20"/>
          <w:szCs w:val="20"/>
        </w:rPr>
        <w:t>življenja i obrazovanja u</w:t>
      </w:r>
      <w:r w:rsidRPr="0056658A">
        <w:rPr>
          <w:rFonts w:asciiTheme="majorHAnsi" w:hAnsiTheme="majorHAnsi" w:cs="Arial"/>
          <w:sz w:val="20"/>
          <w:szCs w:val="20"/>
        </w:rPr>
        <w:t xml:space="preserve"> odnosu na konkurentske programe u Zagrebu</w:t>
      </w:r>
      <w:r w:rsidR="002E1F2A">
        <w:rPr>
          <w:rFonts w:asciiTheme="majorHAnsi" w:hAnsiTheme="majorHAnsi" w:cs="Arial"/>
          <w:sz w:val="20"/>
          <w:szCs w:val="20"/>
        </w:rPr>
        <w:t>.</w:t>
      </w:r>
    </w:p>
    <w:p w14:paraId="25FC4BFA" w14:textId="77777777" w:rsidR="006333E2" w:rsidRPr="00AE08A0" w:rsidRDefault="006333E2" w:rsidP="006333E2">
      <w:pPr>
        <w:rPr>
          <w:rStyle w:val="IntenseEmphasis"/>
        </w:rPr>
      </w:pPr>
      <w:r w:rsidRPr="00AE08A0">
        <w:rPr>
          <w:rStyle w:val="IntenseEmphasis"/>
        </w:rPr>
        <w:t xml:space="preserve">Moguće </w:t>
      </w:r>
      <w:r w:rsidRPr="006333E2">
        <w:rPr>
          <w:rStyle w:val="IntenseEmphasis"/>
          <w:b/>
        </w:rPr>
        <w:t>W – O (kontrirajuće) strategije</w:t>
      </w:r>
      <w:r w:rsidRPr="00AE08A0">
        <w:rPr>
          <w:rStyle w:val="IntenseEmphasis"/>
        </w:rPr>
        <w:t xml:space="preserve"> (iskorištavanje mogućnosti da bi se rješile slabosti):</w:t>
      </w:r>
    </w:p>
    <w:p w14:paraId="4D949BEC" w14:textId="69BCF32C" w:rsidR="00242439" w:rsidRPr="00AE13A4" w:rsidRDefault="0056658A" w:rsidP="00F950C3">
      <w:pPr>
        <w:pStyle w:val="ListParagraph"/>
        <w:numPr>
          <w:ilvl w:val="0"/>
          <w:numId w:val="6"/>
        </w:numPr>
        <w:spacing w:before="60" w:after="60"/>
        <w:contextualSpacing w:val="0"/>
        <w:jc w:val="left"/>
        <w:rPr>
          <w:rFonts w:asciiTheme="majorHAnsi" w:hAnsiTheme="majorHAnsi" w:cs="Arial"/>
          <w:sz w:val="20"/>
          <w:szCs w:val="20"/>
        </w:rPr>
      </w:pPr>
      <w:r>
        <w:rPr>
          <w:rFonts w:asciiTheme="majorHAnsi" w:hAnsiTheme="majorHAnsi" w:cs="Arial"/>
          <w:sz w:val="20"/>
          <w:szCs w:val="20"/>
        </w:rPr>
        <w:t>Ko</w:t>
      </w:r>
      <w:r w:rsidR="00242439" w:rsidRPr="00AE13A4">
        <w:rPr>
          <w:rFonts w:asciiTheme="majorHAnsi" w:hAnsiTheme="majorHAnsi" w:cs="Arial"/>
          <w:sz w:val="20"/>
          <w:szCs w:val="20"/>
        </w:rPr>
        <w:t xml:space="preserve">rištenjem dostupnih sredstava iz nacionalnih i Europskih </w:t>
      </w:r>
      <w:r w:rsidR="008F39EB">
        <w:rPr>
          <w:rFonts w:asciiTheme="majorHAnsi" w:hAnsiTheme="majorHAnsi" w:cs="Arial"/>
          <w:sz w:val="20"/>
          <w:szCs w:val="20"/>
        </w:rPr>
        <w:t>izvora</w:t>
      </w:r>
      <w:r w:rsidR="00242439" w:rsidRPr="00AE13A4">
        <w:rPr>
          <w:rFonts w:asciiTheme="majorHAnsi" w:hAnsiTheme="majorHAnsi" w:cs="Arial"/>
          <w:sz w:val="20"/>
          <w:szCs w:val="20"/>
        </w:rPr>
        <w:t xml:space="preserve"> obnoviti  zapuštenu komunalnu, prometn</w:t>
      </w:r>
      <w:r w:rsidR="00242439">
        <w:rPr>
          <w:rFonts w:asciiTheme="majorHAnsi" w:hAnsiTheme="majorHAnsi" w:cs="Arial"/>
          <w:sz w:val="20"/>
          <w:szCs w:val="20"/>
        </w:rPr>
        <w:t>u</w:t>
      </w:r>
      <w:r w:rsidR="00242439" w:rsidRPr="00AE13A4">
        <w:rPr>
          <w:rFonts w:asciiTheme="majorHAnsi" w:hAnsiTheme="majorHAnsi" w:cs="Arial"/>
          <w:sz w:val="20"/>
          <w:szCs w:val="20"/>
        </w:rPr>
        <w:t xml:space="preserve"> i </w:t>
      </w:r>
      <w:r>
        <w:rPr>
          <w:rFonts w:asciiTheme="majorHAnsi" w:hAnsiTheme="majorHAnsi" w:cs="Arial"/>
          <w:sz w:val="20"/>
          <w:szCs w:val="20"/>
        </w:rPr>
        <w:t>drugu infrastrukturu na pojedinim područjima</w:t>
      </w:r>
      <w:r w:rsidR="002E1F2A">
        <w:rPr>
          <w:rFonts w:asciiTheme="majorHAnsi" w:hAnsiTheme="majorHAnsi" w:cs="Arial"/>
          <w:sz w:val="20"/>
          <w:szCs w:val="20"/>
        </w:rPr>
        <w:t>.</w:t>
      </w:r>
    </w:p>
    <w:p w14:paraId="389906DB" w14:textId="77777777" w:rsidR="006333E2" w:rsidRPr="00AE08A0" w:rsidRDefault="006333E2" w:rsidP="006333E2">
      <w:pPr>
        <w:rPr>
          <w:rStyle w:val="IntenseEmphasis"/>
        </w:rPr>
      </w:pPr>
      <w:r w:rsidRPr="00AE08A0">
        <w:rPr>
          <w:rStyle w:val="IntenseEmphasis"/>
        </w:rPr>
        <w:t xml:space="preserve">Moguće </w:t>
      </w:r>
      <w:r w:rsidRPr="00AE08A0">
        <w:rPr>
          <w:rStyle w:val="IntenseEmphasis"/>
          <w:b/>
        </w:rPr>
        <w:t>W – T (rezervne) strategije</w:t>
      </w:r>
      <w:r w:rsidRPr="00AE08A0">
        <w:rPr>
          <w:rStyle w:val="IntenseEmphasis"/>
        </w:rPr>
        <w:t xml:space="preserve"> ('worst case scenario'):</w:t>
      </w:r>
    </w:p>
    <w:p w14:paraId="1B59492E" w14:textId="10C9E14A" w:rsidR="00FB14F2" w:rsidRPr="002E1F2A" w:rsidRDefault="002E1F2A" w:rsidP="00F950C3">
      <w:pPr>
        <w:pStyle w:val="ListParagraph"/>
        <w:numPr>
          <w:ilvl w:val="0"/>
          <w:numId w:val="6"/>
        </w:numPr>
        <w:spacing w:before="60" w:after="60"/>
        <w:contextualSpacing w:val="0"/>
        <w:jc w:val="left"/>
        <w:rPr>
          <w:rStyle w:val="IntenseEmphasis"/>
          <w:rFonts w:asciiTheme="majorHAnsi" w:hAnsiTheme="majorHAnsi" w:cs="Arial"/>
          <w:b/>
          <w:i w:val="0"/>
          <w:iCs w:val="0"/>
          <w:color w:val="44697D"/>
          <w:sz w:val="20"/>
          <w:szCs w:val="20"/>
        </w:rPr>
      </w:pPr>
      <w:r w:rsidRPr="002E1F2A">
        <w:rPr>
          <w:rFonts w:asciiTheme="majorHAnsi" w:hAnsiTheme="majorHAnsi" w:cs="Arial"/>
          <w:sz w:val="20"/>
          <w:szCs w:val="20"/>
        </w:rPr>
        <w:t>Jačanjem vl</w:t>
      </w:r>
      <w:r w:rsidR="00192EA4">
        <w:rPr>
          <w:rFonts w:asciiTheme="majorHAnsi" w:hAnsiTheme="majorHAnsi" w:cs="Arial"/>
          <w:sz w:val="20"/>
          <w:szCs w:val="20"/>
        </w:rPr>
        <w:t>astitih kapaciteta, umrežavanjem</w:t>
      </w:r>
      <w:r w:rsidRPr="002E1F2A">
        <w:rPr>
          <w:rFonts w:asciiTheme="majorHAnsi" w:hAnsiTheme="majorHAnsi" w:cs="Arial"/>
          <w:sz w:val="20"/>
          <w:szCs w:val="20"/>
        </w:rPr>
        <w:t xml:space="preserve"> i izgradnjom partnerstva</w:t>
      </w:r>
      <w:r w:rsidR="008F39EB">
        <w:rPr>
          <w:rFonts w:asciiTheme="majorHAnsi" w:hAnsiTheme="majorHAnsi" w:cs="Arial"/>
          <w:sz w:val="20"/>
          <w:szCs w:val="20"/>
        </w:rPr>
        <w:t>,</w:t>
      </w:r>
      <w:r w:rsidRPr="002E1F2A">
        <w:rPr>
          <w:rFonts w:asciiTheme="majorHAnsi" w:hAnsiTheme="majorHAnsi" w:cs="Arial"/>
          <w:sz w:val="20"/>
          <w:szCs w:val="20"/>
        </w:rPr>
        <w:t xml:space="preserve"> kreirati izvedive strategije za rješavanje slabosti koje su najosjetljivije u odnosu na snažne generalne trendove (depopulacija, </w:t>
      </w:r>
      <w:r w:rsidR="00EE37DA">
        <w:rPr>
          <w:rFonts w:asciiTheme="majorHAnsi" w:hAnsiTheme="majorHAnsi" w:cs="Arial"/>
          <w:sz w:val="20"/>
          <w:szCs w:val="20"/>
        </w:rPr>
        <w:t xml:space="preserve">ugroze okoliša i </w:t>
      </w:r>
      <w:r w:rsidRPr="002E1F2A">
        <w:rPr>
          <w:rFonts w:asciiTheme="majorHAnsi" w:hAnsiTheme="majorHAnsi" w:cs="Arial"/>
          <w:sz w:val="20"/>
          <w:szCs w:val="20"/>
        </w:rPr>
        <w:t>klimatske promjene)</w:t>
      </w:r>
      <w:r>
        <w:rPr>
          <w:rFonts w:asciiTheme="majorHAnsi" w:hAnsiTheme="majorHAnsi" w:cs="Arial"/>
          <w:sz w:val="20"/>
          <w:szCs w:val="20"/>
        </w:rPr>
        <w:t>.</w:t>
      </w:r>
    </w:p>
    <w:p w14:paraId="1B2369A8" w14:textId="77777777" w:rsidR="006333E2" w:rsidRDefault="006333E2">
      <w:pPr>
        <w:spacing w:before="0" w:after="0"/>
        <w:jc w:val="left"/>
      </w:pPr>
    </w:p>
    <w:p w14:paraId="6CCC93E0" w14:textId="109D2118" w:rsidR="001A5F94" w:rsidRPr="001A5F94" w:rsidRDefault="001A5F94" w:rsidP="00D35E2D">
      <w:pPr>
        <w:spacing w:before="0" w:after="0"/>
        <w:jc w:val="left"/>
      </w:pPr>
      <w:r>
        <w:br w:type="page"/>
      </w:r>
    </w:p>
    <w:p w14:paraId="7F51F5A7" w14:textId="36F44256" w:rsidR="00E04B40" w:rsidRDefault="0005720E" w:rsidP="001A5F94">
      <w:pPr>
        <w:pStyle w:val="Heading1"/>
        <w:rPr>
          <w:noProof/>
        </w:rPr>
      </w:pPr>
      <w:bookmarkStart w:id="89" w:name="_Toc437390597"/>
      <w:r w:rsidRPr="00DA239E">
        <w:rPr>
          <w:noProof/>
        </w:rPr>
        <w:lastRenderedPageBreak/>
        <w:t>STRATE</w:t>
      </w:r>
      <w:r w:rsidR="00B92CFB">
        <w:rPr>
          <w:noProof/>
        </w:rPr>
        <w:t>ŠKI OKVIR</w:t>
      </w:r>
      <w:bookmarkEnd w:id="89"/>
    </w:p>
    <w:p w14:paraId="0649FC7C" w14:textId="50043354" w:rsidR="00E04B40" w:rsidRPr="00DA239E" w:rsidRDefault="007A2202" w:rsidP="001A5F94">
      <w:pPr>
        <w:pStyle w:val="Heading2"/>
        <w:rPr>
          <w:noProof/>
        </w:rPr>
      </w:pPr>
      <w:bookmarkStart w:id="90" w:name="_Toc437390598"/>
      <w:r>
        <w:rPr>
          <w:noProof/>
        </w:rPr>
        <w:t>K</w:t>
      </w:r>
      <w:r w:rsidR="009D3542">
        <w:rPr>
          <w:noProof/>
        </w:rPr>
        <w:t>onceptualizacija strateškog okvira</w:t>
      </w:r>
      <w:bookmarkEnd w:id="90"/>
    </w:p>
    <w:p w14:paraId="463FBB56" w14:textId="725CA03A" w:rsidR="000C010B" w:rsidRDefault="00442108" w:rsidP="00442108">
      <w:r>
        <w:t xml:space="preserve">Strateški okvir i vizija razvoja Većeg urbanog područja Karlovac bazirani su na dugogodišnjim usmjerenim razvojnim naporima na području triju gradova </w:t>
      </w:r>
      <w:r w:rsidR="008F39EB">
        <w:t xml:space="preserve">- </w:t>
      </w:r>
      <w:r>
        <w:t>Karlovac, Duga Resa i Ozalj. Kako bi se ostvarila što bolja usklađenost s postojećim razvojnim politikama i inicijativama koje su dugoročne naravi i u koje su u proteklim godinama uloženi materijalni i ljudski resursi</w:t>
      </w:r>
      <w:r w:rsidR="00CB24E7">
        <w:t xml:space="preserve"> </w:t>
      </w:r>
      <w:r w:rsidR="009D3542">
        <w:t>te</w:t>
      </w:r>
      <w:r w:rsidR="00CB24E7">
        <w:t xml:space="preserve"> </w:t>
      </w:r>
      <w:r w:rsidR="008F39EB">
        <w:t xml:space="preserve">kako bi se </w:t>
      </w:r>
      <w:r w:rsidR="00CB24E7">
        <w:t xml:space="preserve">kreirao kvalitetan strateški okvir </w:t>
      </w:r>
      <w:r w:rsidR="008F39EB">
        <w:t>SRVUPKA</w:t>
      </w:r>
      <w:r w:rsidR="009D3542">
        <w:t xml:space="preserve">, </w:t>
      </w:r>
      <w:r w:rsidR="000C010B">
        <w:t>primjen</w:t>
      </w:r>
      <w:r w:rsidR="008F39EB">
        <w:t>jen</w:t>
      </w:r>
      <w:r w:rsidR="000C010B">
        <w:t xml:space="preserve">a je kombinacija “top-down” i bottom-up” pristupa, odnosno sagledavanje viših strateških ciljeva s jedne strane, te realnih potreba koje se izražavaju u obliku konkretnih projekata, s druge. </w:t>
      </w:r>
    </w:p>
    <w:p w14:paraId="3102DE59" w14:textId="667BD3F8" w:rsidR="00442108" w:rsidRDefault="000C010B" w:rsidP="00442108">
      <w:r>
        <w:t xml:space="preserve">Tako je u sklopu izrade </w:t>
      </w:r>
      <w:r w:rsidR="00B55150">
        <w:t>SRVUPKA</w:t>
      </w:r>
      <w:r>
        <w:t xml:space="preserve"> izvršena </w:t>
      </w:r>
      <w:r w:rsidR="009D3542">
        <w:t>je kvalitativna komparativna analiza triju jedinica lokalne sam</w:t>
      </w:r>
      <w:r w:rsidR="00192EA4">
        <w:t>o</w:t>
      </w:r>
      <w:r w:rsidR="009D3542">
        <w:t xml:space="preserve">uprave. Ista je pokazala visoki nivo usklađenosti razvojnih prioriteta i potreba na području sva tri grada, što dodatno potvrđuje teritorijalni kontekst na temelju kojeg je uspostavljeno </w:t>
      </w:r>
      <w:r w:rsidR="008F39EB">
        <w:t xml:space="preserve">Veće </w:t>
      </w:r>
      <w:r w:rsidR="009D3542">
        <w:t>urbano područje Karlovac.</w:t>
      </w:r>
    </w:p>
    <w:p w14:paraId="73BD6443" w14:textId="57FEA7A6" w:rsidR="009D3542" w:rsidRDefault="00117274" w:rsidP="00117274">
      <w:pPr>
        <w:pStyle w:val="Caption"/>
      </w:pPr>
      <w:bookmarkStart w:id="91" w:name="_Toc437387508"/>
      <w:r>
        <w:t xml:space="preserve">Tablica </w:t>
      </w:r>
      <w:r>
        <w:fldChar w:fldCharType="begin"/>
      </w:r>
      <w:r>
        <w:instrText xml:space="preserve"> SEQ Tablica \* ARABIC </w:instrText>
      </w:r>
      <w:r>
        <w:fldChar w:fldCharType="separate"/>
      </w:r>
      <w:r w:rsidR="001358A9">
        <w:rPr>
          <w:noProof/>
        </w:rPr>
        <w:t>35</w:t>
      </w:r>
      <w:r>
        <w:fldChar w:fldCharType="end"/>
      </w:r>
      <w:r w:rsidR="007A2202">
        <w:t>. Prikaz</w:t>
      </w:r>
      <w:r w:rsidR="009D3542">
        <w:t xml:space="preserve"> strateških ciljeva i vizija 3 JLS temeljem </w:t>
      </w:r>
      <w:r w:rsidR="007A2202">
        <w:t xml:space="preserve">važećih općih </w:t>
      </w:r>
      <w:r w:rsidR="009D3542">
        <w:t>strateških dokumenata JLS</w:t>
      </w:r>
      <w:r w:rsidR="007A2202">
        <w:t>-ova</w:t>
      </w:r>
      <w:r w:rsidR="009D3542" w:rsidRPr="00D90954">
        <w:rPr>
          <w:rStyle w:val="FootnoteReference"/>
        </w:rPr>
        <w:footnoteReference w:id="24"/>
      </w:r>
      <w:bookmarkEnd w:id="91"/>
    </w:p>
    <w:tbl>
      <w:tblPr>
        <w:tblStyle w:val="TableGrid"/>
        <w:tblW w:w="9214" w:type="dxa"/>
        <w:tblInd w:w="108" w:type="dxa"/>
        <w:tblBorders>
          <w:top w:val="none" w:sz="0" w:space="0" w:color="auto"/>
          <w:left w:val="none" w:sz="0" w:space="0" w:color="auto"/>
          <w:bottom w:val="none" w:sz="0" w:space="0" w:color="auto"/>
          <w:right w:val="none" w:sz="0" w:space="0" w:color="auto"/>
          <w:insideH w:val="dotted" w:sz="4" w:space="0" w:color="auto"/>
          <w:insideV w:val="none" w:sz="0" w:space="0" w:color="auto"/>
        </w:tblBorders>
        <w:tblLayout w:type="fixed"/>
        <w:tblLook w:val="04A0" w:firstRow="1" w:lastRow="0" w:firstColumn="1" w:lastColumn="0" w:noHBand="0" w:noVBand="1"/>
      </w:tblPr>
      <w:tblGrid>
        <w:gridCol w:w="1276"/>
        <w:gridCol w:w="1653"/>
        <w:gridCol w:w="1654"/>
        <w:gridCol w:w="1654"/>
        <w:gridCol w:w="2977"/>
      </w:tblGrid>
      <w:tr w:rsidR="009D3542" w:rsidRPr="00273936" w14:paraId="61398E4D" w14:textId="77777777" w:rsidTr="00D35E2D">
        <w:tc>
          <w:tcPr>
            <w:tcW w:w="1276" w:type="dxa"/>
            <w:shd w:val="clear" w:color="auto" w:fill="DBE5F1" w:themeFill="accent1" w:themeFillTint="33"/>
          </w:tcPr>
          <w:p w14:paraId="1717B3D6" w14:textId="77777777" w:rsidR="009D3542" w:rsidRPr="00273936" w:rsidRDefault="009D3542" w:rsidP="009D3542">
            <w:pPr>
              <w:jc w:val="center"/>
              <w:rPr>
                <w:b/>
                <w:noProof/>
                <w:sz w:val="20"/>
                <w:szCs w:val="20"/>
                <w:lang w:eastAsia="hr-HR"/>
              </w:rPr>
            </w:pPr>
            <w:r w:rsidRPr="00273936">
              <w:rPr>
                <w:b/>
                <w:noProof/>
                <w:sz w:val="20"/>
                <w:szCs w:val="20"/>
                <w:lang w:eastAsia="hr-HR"/>
              </w:rPr>
              <w:t>Grad</w:t>
            </w:r>
          </w:p>
        </w:tc>
        <w:tc>
          <w:tcPr>
            <w:tcW w:w="1653" w:type="dxa"/>
            <w:shd w:val="clear" w:color="auto" w:fill="DBE5F1" w:themeFill="accent1" w:themeFillTint="33"/>
          </w:tcPr>
          <w:p w14:paraId="035AD3DE" w14:textId="77777777" w:rsidR="009D3542" w:rsidRPr="00273936" w:rsidRDefault="009D3542" w:rsidP="009D3542">
            <w:pPr>
              <w:jc w:val="center"/>
              <w:rPr>
                <w:b/>
                <w:noProof/>
                <w:sz w:val="20"/>
                <w:szCs w:val="20"/>
                <w:lang w:eastAsia="hr-HR"/>
              </w:rPr>
            </w:pPr>
            <w:r w:rsidRPr="00273936">
              <w:rPr>
                <w:b/>
                <w:noProof/>
                <w:sz w:val="20"/>
                <w:szCs w:val="20"/>
                <w:lang w:eastAsia="hr-HR"/>
              </w:rPr>
              <w:t>Strateški cilj 1.</w:t>
            </w:r>
          </w:p>
        </w:tc>
        <w:tc>
          <w:tcPr>
            <w:tcW w:w="1654" w:type="dxa"/>
            <w:shd w:val="clear" w:color="auto" w:fill="DBE5F1" w:themeFill="accent1" w:themeFillTint="33"/>
          </w:tcPr>
          <w:p w14:paraId="4E7E9BD4" w14:textId="77777777" w:rsidR="009D3542" w:rsidRPr="00273936" w:rsidRDefault="009D3542" w:rsidP="009D3542">
            <w:pPr>
              <w:jc w:val="center"/>
              <w:rPr>
                <w:b/>
                <w:noProof/>
                <w:sz w:val="20"/>
                <w:szCs w:val="20"/>
                <w:lang w:eastAsia="hr-HR"/>
              </w:rPr>
            </w:pPr>
            <w:r w:rsidRPr="00273936">
              <w:rPr>
                <w:b/>
                <w:noProof/>
                <w:sz w:val="20"/>
                <w:szCs w:val="20"/>
                <w:lang w:eastAsia="hr-HR"/>
              </w:rPr>
              <w:t>Strateški cilj 2.</w:t>
            </w:r>
          </w:p>
        </w:tc>
        <w:tc>
          <w:tcPr>
            <w:tcW w:w="1654" w:type="dxa"/>
            <w:shd w:val="clear" w:color="auto" w:fill="DBE5F1" w:themeFill="accent1" w:themeFillTint="33"/>
          </w:tcPr>
          <w:p w14:paraId="6A2CE5FC" w14:textId="77777777" w:rsidR="009D3542" w:rsidRPr="00273936" w:rsidRDefault="009D3542" w:rsidP="009D3542">
            <w:pPr>
              <w:jc w:val="center"/>
              <w:rPr>
                <w:b/>
                <w:noProof/>
                <w:sz w:val="20"/>
                <w:szCs w:val="20"/>
                <w:lang w:eastAsia="hr-HR"/>
              </w:rPr>
            </w:pPr>
            <w:r w:rsidRPr="00273936">
              <w:rPr>
                <w:b/>
                <w:noProof/>
                <w:sz w:val="20"/>
                <w:szCs w:val="20"/>
                <w:lang w:eastAsia="hr-HR"/>
              </w:rPr>
              <w:t>Strateški cilj 3.</w:t>
            </w:r>
          </w:p>
        </w:tc>
        <w:tc>
          <w:tcPr>
            <w:tcW w:w="2977" w:type="dxa"/>
            <w:shd w:val="clear" w:color="auto" w:fill="DBE5F1" w:themeFill="accent1" w:themeFillTint="33"/>
          </w:tcPr>
          <w:p w14:paraId="577FE9CF" w14:textId="77777777" w:rsidR="009D3542" w:rsidRPr="00273936" w:rsidRDefault="009D3542" w:rsidP="009D3542">
            <w:pPr>
              <w:jc w:val="center"/>
              <w:rPr>
                <w:b/>
                <w:noProof/>
                <w:sz w:val="20"/>
                <w:szCs w:val="20"/>
                <w:lang w:eastAsia="hr-HR"/>
              </w:rPr>
            </w:pPr>
            <w:r w:rsidRPr="00273936">
              <w:rPr>
                <w:b/>
                <w:noProof/>
                <w:sz w:val="20"/>
                <w:szCs w:val="20"/>
                <w:lang w:eastAsia="hr-HR"/>
              </w:rPr>
              <w:t>VIZIJA</w:t>
            </w:r>
          </w:p>
        </w:tc>
      </w:tr>
      <w:tr w:rsidR="009D3542" w:rsidRPr="00273936" w14:paraId="6B0C516E" w14:textId="77777777" w:rsidTr="00D35E2D">
        <w:tc>
          <w:tcPr>
            <w:tcW w:w="1276" w:type="dxa"/>
          </w:tcPr>
          <w:p w14:paraId="78151395" w14:textId="532DCA54" w:rsidR="009D3542" w:rsidRPr="00273936" w:rsidRDefault="00E24A52" w:rsidP="009D3542">
            <w:pPr>
              <w:jc w:val="center"/>
              <w:rPr>
                <w:noProof/>
                <w:sz w:val="20"/>
                <w:szCs w:val="20"/>
                <w:lang w:eastAsia="hr-HR"/>
              </w:rPr>
            </w:pPr>
            <w:r w:rsidRPr="00273936">
              <w:rPr>
                <w:noProof/>
                <w:sz w:val="20"/>
                <w:szCs w:val="20"/>
                <w:lang w:eastAsia="hr-HR"/>
              </w:rPr>
              <w:t>KARLOVAC</w:t>
            </w:r>
          </w:p>
        </w:tc>
        <w:tc>
          <w:tcPr>
            <w:tcW w:w="1653" w:type="dxa"/>
          </w:tcPr>
          <w:p w14:paraId="5B9D45BF" w14:textId="77777777" w:rsidR="009D3542" w:rsidRPr="00273936" w:rsidRDefault="009D3542" w:rsidP="009D3542">
            <w:pPr>
              <w:jc w:val="center"/>
              <w:rPr>
                <w:noProof/>
                <w:sz w:val="20"/>
                <w:szCs w:val="20"/>
                <w:lang w:eastAsia="hr-HR"/>
              </w:rPr>
            </w:pPr>
            <w:r w:rsidRPr="00273936">
              <w:rPr>
                <w:noProof/>
                <w:sz w:val="20"/>
                <w:szCs w:val="20"/>
                <w:lang w:eastAsia="hr-HR"/>
              </w:rPr>
              <w:t>Konkurentno gospodarstvo</w:t>
            </w:r>
          </w:p>
        </w:tc>
        <w:tc>
          <w:tcPr>
            <w:tcW w:w="1654" w:type="dxa"/>
          </w:tcPr>
          <w:p w14:paraId="3B898BBA" w14:textId="77777777" w:rsidR="009D3542" w:rsidRPr="00273936" w:rsidRDefault="009D3542" w:rsidP="009D3542">
            <w:pPr>
              <w:jc w:val="center"/>
              <w:rPr>
                <w:noProof/>
                <w:sz w:val="20"/>
                <w:szCs w:val="20"/>
                <w:lang w:eastAsia="hr-HR"/>
              </w:rPr>
            </w:pPr>
            <w:r w:rsidRPr="00273936">
              <w:rPr>
                <w:noProof/>
                <w:sz w:val="20"/>
                <w:szCs w:val="20"/>
                <w:lang w:eastAsia="hr-HR"/>
              </w:rPr>
              <w:t>Poboljšanje kvalitete života</w:t>
            </w:r>
          </w:p>
        </w:tc>
        <w:tc>
          <w:tcPr>
            <w:tcW w:w="1654" w:type="dxa"/>
          </w:tcPr>
          <w:p w14:paraId="26C22228" w14:textId="77777777" w:rsidR="009D3542" w:rsidRPr="00273936" w:rsidRDefault="009D3542" w:rsidP="009D3542">
            <w:pPr>
              <w:jc w:val="center"/>
              <w:rPr>
                <w:noProof/>
                <w:sz w:val="20"/>
                <w:szCs w:val="20"/>
                <w:lang w:eastAsia="hr-HR"/>
              </w:rPr>
            </w:pPr>
            <w:r w:rsidRPr="00273936">
              <w:rPr>
                <w:noProof/>
                <w:sz w:val="20"/>
                <w:szCs w:val="20"/>
                <w:lang w:eastAsia="hr-HR"/>
              </w:rPr>
              <w:t>Revitalizacija gradske Zvijezde</w:t>
            </w:r>
          </w:p>
        </w:tc>
        <w:tc>
          <w:tcPr>
            <w:tcW w:w="2977" w:type="dxa"/>
          </w:tcPr>
          <w:p w14:paraId="5B9E82C9" w14:textId="7CCA12F5" w:rsidR="009D3542" w:rsidRPr="00273936" w:rsidRDefault="009D3542" w:rsidP="00D618FF">
            <w:pPr>
              <w:jc w:val="left"/>
              <w:rPr>
                <w:sz w:val="20"/>
                <w:szCs w:val="20"/>
              </w:rPr>
            </w:pPr>
            <w:r w:rsidRPr="00273936">
              <w:rPr>
                <w:sz w:val="20"/>
                <w:szCs w:val="20"/>
              </w:rPr>
              <w:t>Karlovac je idealni grad Zvijezda - grad susreta temeljen na visokim gospodarskim i društvenim vrijednostima</w:t>
            </w:r>
            <w:r>
              <w:rPr>
                <w:sz w:val="20"/>
                <w:szCs w:val="20"/>
              </w:rPr>
              <w:t>.</w:t>
            </w:r>
          </w:p>
        </w:tc>
      </w:tr>
      <w:tr w:rsidR="009D3542" w:rsidRPr="00273936" w14:paraId="099DB7B1" w14:textId="77777777" w:rsidTr="00D35E2D">
        <w:tc>
          <w:tcPr>
            <w:tcW w:w="1276" w:type="dxa"/>
          </w:tcPr>
          <w:p w14:paraId="529CCA4B" w14:textId="0DFF33DF" w:rsidR="009D3542" w:rsidRPr="00273936" w:rsidRDefault="00E24A52" w:rsidP="009D3542">
            <w:pPr>
              <w:jc w:val="center"/>
              <w:rPr>
                <w:noProof/>
                <w:sz w:val="20"/>
                <w:szCs w:val="20"/>
                <w:lang w:eastAsia="hr-HR"/>
              </w:rPr>
            </w:pPr>
            <w:r w:rsidRPr="00273936">
              <w:rPr>
                <w:noProof/>
                <w:sz w:val="20"/>
                <w:szCs w:val="20"/>
                <w:lang w:eastAsia="hr-HR"/>
              </w:rPr>
              <w:t>DUGA RESA</w:t>
            </w:r>
          </w:p>
        </w:tc>
        <w:tc>
          <w:tcPr>
            <w:tcW w:w="1653" w:type="dxa"/>
          </w:tcPr>
          <w:p w14:paraId="64097749" w14:textId="77777777" w:rsidR="009D3542" w:rsidRPr="00273936" w:rsidRDefault="009D3542" w:rsidP="009D3542">
            <w:pPr>
              <w:jc w:val="center"/>
              <w:rPr>
                <w:noProof/>
                <w:sz w:val="20"/>
                <w:szCs w:val="20"/>
                <w:lang w:eastAsia="hr-HR"/>
              </w:rPr>
            </w:pPr>
            <w:r w:rsidRPr="00273936">
              <w:rPr>
                <w:noProof/>
                <w:sz w:val="20"/>
                <w:szCs w:val="20"/>
                <w:lang w:eastAsia="hr-HR"/>
              </w:rPr>
              <w:t>Konkurentno gospodarstvo utemeljeno na inovativnim tehnološkim rješenjima i resursima mikroregije</w:t>
            </w:r>
          </w:p>
        </w:tc>
        <w:tc>
          <w:tcPr>
            <w:tcW w:w="1654" w:type="dxa"/>
          </w:tcPr>
          <w:p w14:paraId="5A3215C4" w14:textId="77777777" w:rsidR="009D3542" w:rsidRPr="00273936" w:rsidRDefault="009D3542" w:rsidP="009D3542">
            <w:pPr>
              <w:jc w:val="center"/>
              <w:rPr>
                <w:noProof/>
                <w:sz w:val="20"/>
                <w:szCs w:val="20"/>
                <w:lang w:eastAsia="hr-HR"/>
              </w:rPr>
            </w:pPr>
            <w:r w:rsidRPr="00273936">
              <w:rPr>
                <w:noProof/>
                <w:sz w:val="20"/>
                <w:szCs w:val="20"/>
                <w:lang w:eastAsia="hr-HR"/>
              </w:rPr>
              <w:t>Unaprjeđenje društvene infrastrukture i poticanje razvoja društvenih djelatnosti</w:t>
            </w:r>
          </w:p>
          <w:p w14:paraId="4E79EFC5" w14:textId="77777777" w:rsidR="009D3542" w:rsidRPr="00273936" w:rsidRDefault="009D3542" w:rsidP="009D3542">
            <w:pPr>
              <w:jc w:val="center"/>
              <w:rPr>
                <w:noProof/>
                <w:sz w:val="20"/>
                <w:szCs w:val="20"/>
                <w:lang w:eastAsia="hr-HR"/>
              </w:rPr>
            </w:pPr>
          </w:p>
        </w:tc>
        <w:tc>
          <w:tcPr>
            <w:tcW w:w="1654" w:type="dxa"/>
          </w:tcPr>
          <w:p w14:paraId="36F0442A" w14:textId="77777777" w:rsidR="009D3542" w:rsidRPr="00273936" w:rsidRDefault="009D3542" w:rsidP="009D3542">
            <w:pPr>
              <w:jc w:val="center"/>
              <w:rPr>
                <w:noProof/>
                <w:sz w:val="20"/>
                <w:szCs w:val="20"/>
                <w:lang w:eastAsia="hr-HR"/>
              </w:rPr>
            </w:pPr>
            <w:r w:rsidRPr="00273936">
              <w:rPr>
                <w:noProof/>
                <w:sz w:val="20"/>
                <w:szCs w:val="20"/>
                <w:lang w:eastAsia="hr-HR"/>
              </w:rPr>
              <w:t>Zaštita okoliša i ulaganje u lokalnu infrastrukturu</w:t>
            </w:r>
          </w:p>
        </w:tc>
        <w:tc>
          <w:tcPr>
            <w:tcW w:w="2977" w:type="dxa"/>
          </w:tcPr>
          <w:p w14:paraId="086AF09F" w14:textId="7DEED1CE" w:rsidR="009D3542" w:rsidRPr="00273936" w:rsidRDefault="00D618FF" w:rsidP="00D618FF">
            <w:pPr>
              <w:jc w:val="left"/>
              <w:rPr>
                <w:sz w:val="20"/>
                <w:szCs w:val="20"/>
              </w:rPr>
            </w:pPr>
            <w:r w:rsidRPr="00D618FF">
              <w:rPr>
                <w:sz w:val="20"/>
                <w:szCs w:val="20"/>
              </w:rPr>
              <w:t>Grad napredne tehnologije, očuvane prirode, razvijen na temeljima prošlosti.</w:t>
            </w:r>
          </w:p>
        </w:tc>
      </w:tr>
      <w:tr w:rsidR="009D3542" w:rsidRPr="00273936" w14:paraId="69CE4432" w14:textId="77777777" w:rsidTr="00D35E2D">
        <w:tc>
          <w:tcPr>
            <w:tcW w:w="1276" w:type="dxa"/>
          </w:tcPr>
          <w:p w14:paraId="029CB00F" w14:textId="4626C069" w:rsidR="009D3542" w:rsidRPr="00273936" w:rsidRDefault="00E24A52" w:rsidP="009D3542">
            <w:pPr>
              <w:jc w:val="center"/>
              <w:rPr>
                <w:noProof/>
                <w:sz w:val="20"/>
                <w:szCs w:val="20"/>
                <w:lang w:eastAsia="hr-HR"/>
              </w:rPr>
            </w:pPr>
            <w:r w:rsidRPr="00273936">
              <w:rPr>
                <w:noProof/>
                <w:sz w:val="20"/>
                <w:szCs w:val="20"/>
                <w:lang w:eastAsia="hr-HR"/>
              </w:rPr>
              <w:t>OZALJ</w:t>
            </w:r>
          </w:p>
        </w:tc>
        <w:tc>
          <w:tcPr>
            <w:tcW w:w="1653" w:type="dxa"/>
          </w:tcPr>
          <w:p w14:paraId="501AF01D" w14:textId="77777777" w:rsidR="009D3542" w:rsidRPr="00273936" w:rsidRDefault="009D3542" w:rsidP="009D3542">
            <w:pPr>
              <w:jc w:val="center"/>
              <w:rPr>
                <w:noProof/>
                <w:sz w:val="20"/>
                <w:szCs w:val="20"/>
                <w:lang w:eastAsia="hr-HR"/>
              </w:rPr>
            </w:pPr>
            <w:r w:rsidRPr="00273936">
              <w:rPr>
                <w:noProof/>
                <w:sz w:val="20"/>
                <w:szCs w:val="20"/>
                <w:lang w:eastAsia="hr-HR"/>
              </w:rPr>
              <w:t>Maksimizirati pozitivne značajke geoprometnog položaja Grada Ozlja u svrhu razvoja gospodarstva</w:t>
            </w:r>
          </w:p>
        </w:tc>
        <w:tc>
          <w:tcPr>
            <w:tcW w:w="1654" w:type="dxa"/>
          </w:tcPr>
          <w:p w14:paraId="347A5903" w14:textId="39B04EC5" w:rsidR="009D3542" w:rsidRPr="00273936" w:rsidRDefault="009D3542" w:rsidP="009D3542">
            <w:pPr>
              <w:jc w:val="center"/>
              <w:rPr>
                <w:noProof/>
                <w:sz w:val="20"/>
                <w:szCs w:val="20"/>
                <w:lang w:eastAsia="hr-HR"/>
              </w:rPr>
            </w:pPr>
            <w:r w:rsidRPr="00273936">
              <w:rPr>
                <w:noProof/>
                <w:sz w:val="20"/>
                <w:szCs w:val="20"/>
                <w:lang w:eastAsia="hr-HR"/>
              </w:rPr>
              <w:t xml:space="preserve">Razvijati lokalno prepoznatljivo gospodarstvo </w:t>
            </w:r>
            <w:r w:rsidR="008F39EB">
              <w:rPr>
                <w:noProof/>
                <w:sz w:val="20"/>
                <w:szCs w:val="20"/>
                <w:lang w:eastAsia="hr-HR"/>
              </w:rPr>
              <w:t>te pruž</w:t>
            </w:r>
            <w:r w:rsidRPr="00273936">
              <w:rPr>
                <w:noProof/>
                <w:sz w:val="20"/>
                <w:szCs w:val="20"/>
                <w:lang w:eastAsia="hr-HR"/>
              </w:rPr>
              <w:t>ati potporu razvoju lokalno prepoznatljivih proizvoda i usluga</w:t>
            </w:r>
          </w:p>
        </w:tc>
        <w:tc>
          <w:tcPr>
            <w:tcW w:w="1654" w:type="dxa"/>
          </w:tcPr>
          <w:p w14:paraId="54B595B7" w14:textId="77777777" w:rsidR="009D3542" w:rsidRPr="00273936" w:rsidRDefault="009D3542" w:rsidP="009D3542">
            <w:pPr>
              <w:jc w:val="center"/>
              <w:rPr>
                <w:noProof/>
                <w:sz w:val="20"/>
                <w:szCs w:val="20"/>
                <w:lang w:eastAsia="hr-HR"/>
              </w:rPr>
            </w:pPr>
            <w:r w:rsidRPr="00273936">
              <w:rPr>
                <w:noProof/>
                <w:sz w:val="20"/>
                <w:szCs w:val="20"/>
                <w:lang w:eastAsia="hr-HR"/>
              </w:rPr>
              <w:t>Potpora razvoju lokalne zajednice suradnjom i jačanjem ljudskih resursa</w:t>
            </w:r>
          </w:p>
        </w:tc>
        <w:tc>
          <w:tcPr>
            <w:tcW w:w="2977" w:type="dxa"/>
          </w:tcPr>
          <w:p w14:paraId="30B9FA90" w14:textId="49813C30" w:rsidR="009D3542" w:rsidRPr="00273936" w:rsidRDefault="00D618FF" w:rsidP="00D618FF">
            <w:pPr>
              <w:pStyle w:val="Txttable"/>
              <w:jc w:val="left"/>
            </w:pPr>
            <w:r w:rsidRPr="00273936">
              <w:rPr>
                <w:szCs w:val="20"/>
              </w:rPr>
              <w:t>Ozalj – središte mikro, malog i srednjeg poduzetništva sjevera Karlova</w:t>
            </w:r>
            <w:r>
              <w:rPr>
                <w:szCs w:val="20"/>
              </w:rPr>
              <w:t>čk</w:t>
            </w:r>
            <w:r w:rsidRPr="00273936">
              <w:rPr>
                <w:szCs w:val="20"/>
              </w:rPr>
              <w:t>e županije, o</w:t>
            </w:r>
            <w:r>
              <w:rPr>
                <w:szCs w:val="20"/>
              </w:rPr>
              <w:t>č</w:t>
            </w:r>
            <w:r w:rsidRPr="00273936">
              <w:rPr>
                <w:szCs w:val="20"/>
              </w:rPr>
              <w:t>uvane kulturno- povijesne i tradicijske baštine, razvoja zasnovanog na potpori visoke kvalitete življenja o</w:t>
            </w:r>
            <w:r>
              <w:rPr>
                <w:szCs w:val="20"/>
              </w:rPr>
              <w:t>č</w:t>
            </w:r>
            <w:r w:rsidRPr="00273936">
              <w:rPr>
                <w:szCs w:val="20"/>
              </w:rPr>
              <w:t xml:space="preserve">uvanjem krajobrazne i prirodne raznolikosti, revitalizaciji tradicijskih znanja i vještina, prepoznatoj ponudi regionalnih proizvoda i usluga Pokuplja te </w:t>
            </w:r>
            <w:r w:rsidRPr="00273936">
              <w:rPr>
                <w:szCs w:val="20"/>
              </w:rPr>
              <w:lastRenderedPageBreak/>
              <w:t>prometnoj povezanosti Hrvatske i Zapadne Europe.</w:t>
            </w:r>
          </w:p>
        </w:tc>
      </w:tr>
    </w:tbl>
    <w:p w14:paraId="7CB2B6E9" w14:textId="4F280F0E" w:rsidR="00442108" w:rsidRDefault="007A2202">
      <w:r>
        <w:lastRenderedPageBreak/>
        <w:t xml:space="preserve">Nadalje, analiza projektnih prijedloga u raznim fazama zrelosti (od spremnih za provedbu do projektnih ideja) korištena je kao dodatak socio-ekonomskoj i SWOT analizi kako bi se </w:t>
      </w:r>
      <w:r w:rsidRPr="00A30F13">
        <w:rPr>
          <w:b/>
        </w:rPr>
        <w:t xml:space="preserve">utvrdile </w:t>
      </w:r>
      <w:r w:rsidR="009D3542" w:rsidRPr="00A30F13">
        <w:rPr>
          <w:b/>
        </w:rPr>
        <w:t>potreb</w:t>
      </w:r>
      <w:r w:rsidRPr="00A30F13">
        <w:rPr>
          <w:b/>
        </w:rPr>
        <w:t>e i potencijali</w:t>
      </w:r>
      <w:r w:rsidR="009D3542" w:rsidRPr="00A30F13">
        <w:rPr>
          <w:b/>
        </w:rPr>
        <w:t xml:space="preserve"> </w:t>
      </w:r>
      <w:r w:rsidRPr="00A30F13">
        <w:rPr>
          <w:b/>
        </w:rPr>
        <w:t>u obliku konkretnih razvojnih projekata</w:t>
      </w:r>
      <w:r w:rsidR="009D3542" w:rsidRPr="00AE08A0">
        <w:t xml:space="preserve">.  </w:t>
      </w:r>
      <w:r w:rsidR="00745106">
        <w:t xml:space="preserve">Ova inicijalna lista projekata poslužila je kao </w:t>
      </w:r>
      <w:r w:rsidR="009D3542" w:rsidRPr="00AE08A0">
        <w:t>kvalitetan indikator potreba i mogućnosti, i čvrsto uporište za operacionalizaciju</w:t>
      </w:r>
      <w:r w:rsidR="00745106">
        <w:t xml:space="preserve"> </w:t>
      </w:r>
      <w:r w:rsidR="00B55150">
        <w:t>SRVUPKA</w:t>
      </w:r>
      <w:r w:rsidR="00745106">
        <w:t>, u smislu pripreme trogodišnjeg plana provedbe, kao i definiranja strateških projekata.</w:t>
      </w:r>
    </w:p>
    <w:p w14:paraId="349ADF6A" w14:textId="3BCAB328" w:rsidR="00745106" w:rsidRPr="00F61E5F" w:rsidRDefault="00745106" w:rsidP="00745106">
      <w:r w:rsidRPr="00745106">
        <w:t xml:space="preserve">U narednim tablicama predstavlja se analiza teritorijalnih potreba VUP Karlovac </w:t>
      </w:r>
      <w:r>
        <w:t>korištenjem planskih (tematskih) domena</w:t>
      </w:r>
      <w:r w:rsidRPr="008E203F">
        <w:t xml:space="preserve"> </w:t>
      </w:r>
      <w:r>
        <w:t>koje</w:t>
      </w:r>
      <w:r w:rsidRPr="008E203F">
        <w:t xml:space="preserve"> se koriste radi str</w:t>
      </w:r>
      <w:r>
        <w:t>ukturiranja operativne analize potreba i mogućnosti na danom području, odnosno za tematsku klasifikaciju</w:t>
      </w:r>
      <w:r w:rsidRPr="008E203F">
        <w:t xml:space="preserve"> projekata i </w:t>
      </w:r>
      <w:r>
        <w:t>konceptualizaciju mogućih razvojnih pravaca. U tom smislu</w:t>
      </w:r>
      <w:r w:rsidR="008F39EB">
        <w:t>,</w:t>
      </w:r>
      <w:r>
        <w:t xml:space="preserve"> k</w:t>
      </w:r>
      <w:r w:rsidRPr="00F61E5F">
        <w:t>orištenje planskih domena pospješuje uočavanje i razumijevanje interakcija, potencijalnih sinergija i integracija između potreba/mogućnosti područja</w:t>
      </w:r>
      <w:r>
        <w:t xml:space="preserve"> te nadilazi ”klasičnu” sektorsku podjelu (npr. društvene djelatnosti, komunalna infrastruktura, poduzetništvo itd.).</w:t>
      </w:r>
    </w:p>
    <w:p w14:paraId="3479C68A" w14:textId="109E3775" w:rsidR="00745106" w:rsidRPr="007312CE" w:rsidRDefault="00745106" w:rsidP="00745106">
      <w:pPr>
        <w:ind w:left="142"/>
      </w:pPr>
      <w:r w:rsidRPr="008E203F">
        <w:t xml:space="preserve">Za potrebe izrade </w:t>
      </w:r>
      <w:r w:rsidR="00B55150">
        <w:t>SRVUPKA</w:t>
      </w:r>
      <w:r w:rsidRPr="008E203F">
        <w:t xml:space="preserve"> </w:t>
      </w:r>
      <w:r w:rsidRPr="00A30F13">
        <w:t xml:space="preserve">sljedeće </w:t>
      </w:r>
      <w:r w:rsidR="00A30F13" w:rsidRPr="00A30F13">
        <w:rPr>
          <w:b/>
        </w:rPr>
        <w:t xml:space="preserve">planske </w:t>
      </w:r>
      <w:r w:rsidRPr="00A30F13">
        <w:rPr>
          <w:b/>
        </w:rPr>
        <w:t>domene</w:t>
      </w:r>
      <w:r w:rsidRPr="00A30F13">
        <w:t xml:space="preserve"> su odabrane</w:t>
      </w:r>
      <w:r w:rsidR="00E24A52">
        <w:rPr>
          <w:rStyle w:val="FootnoteReference"/>
          <w:b/>
        </w:rPr>
        <w:footnoteReference w:id="25"/>
      </w:r>
      <w:r w:rsidRPr="00A30F13">
        <w:t xml:space="preserve"> kao prikladne kategorije za identificiranje i klasificiranje teritorijalnih izazova</w:t>
      </w:r>
      <w:r w:rsidRPr="00F61E5F">
        <w:t>:</w:t>
      </w:r>
      <w:r>
        <w:t xml:space="preserve"> </w:t>
      </w:r>
    </w:p>
    <w:tbl>
      <w:tblPr>
        <w:tblStyle w:val="TableGrid"/>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2"/>
        <w:gridCol w:w="2328"/>
        <w:gridCol w:w="1843"/>
        <w:gridCol w:w="5103"/>
      </w:tblGrid>
      <w:tr w:rsidR="00745106" w:rsidRPr="005F716D" w14:paraId="71B0D12C" w14:textId="77777777" w:rsidTr="00A30F13">
        <w:tc>
          <w:tcPr>
            <w:tcW w:w="332" w:type="dxa"/>
            <w:tcBorders>
              <w:bottom w:val="single" w:sz="8" w:space="0" w:color="FF0000"/>
            </w:tcBorders>
            <w:shd w:val="clear" w:color="auto" w:fill="BFBFBF" w:themeFill="background1" w:themeFillShade="BF"/>
          </w:tcPr>
          <w:p w14:paraId="2407359A" w14:textId="77777777" w:rsidR="00745106" w:rsidRPr="005F716D" w:rsidRDefault="00745106" w:rsidP="00A30F13">
            <w:pPr>
              <w:pStyle w:val="Txttable"/>
              <w:rPr>
                <w:b/>
                <w:i/>
              </w:rPr>
            </w:pPr>
          </w:p>
        </w:tc>
        <w:tc>
          <w:tcPr>
            <w:tcW w:w="2328" w:type="dxa"/>
            <w:tcBorders>
              <w:bottom w:val="single" w:sz="8" w:space="0" w:color="FF0000"/>
            </w:tcBorders>
            <w:shd w:val="clear" w:color="auto" w:fill="BFBFBF" w:themeFill="background1" w:themeFillShade="BF"/>
          </w:tcPr>
          <w:p w14:paraId="43A01875" w14:textId="77777777" w:rsidR="00745106" w:rsidRPr="005F716D" w:rsidRDefault="00745106" w:rsidP="00A30F13">
            <w:pPr>
              <w:pStyle w:val="tabletxt"/>
              <w:jc w:val="left"/>
            </w:pPr>
            <w:r w:rsidRPr="005F716D">
              <w:t>PLANSKE DOMENE</w:t>
            </w:r>
          </w:p>
        </w:tc>
        <w:tc>
          <w:tcPr>
            <w:tcW w:w="1843" w:type="dxa"/>
            <w:tcBorders>
              <w:bottom w:val="single" w:sz="8" w:space="0" w:color="FF0000"/>
            </w:tcBorders>
            <w:shd w:val="clear" w:color="auto" w:fill="BFBFBF" w:themeFill="background1" w:themeFillShade="BF"/>
          </w:tcPr>
          <w:p w14:paraId="6FD70D3A" w14:textId="77777777" w:rsidR="00745106" w:rsidRPr="005F716D" w:rsidRDefault="00745106" w:rsidP="00A30F13">
            <w:pPr>
              <w:pStyle w:val="tabletxt"/>
              <w:jc w:val="left"/>
            </w:pPr>
            <w:r w:rsidRPr="005F716D">
              <w:t>STUPOVI ODRŽIVOG RAZVOJA</w:t>
            </w:r>
          </w:p>
        </w:tc>
        <w:tc>
          <w:tcPr>
            <w:tcW w:w="5103" w:type="dxa"/>
            <w:tcBorders>
              <w:bottom w:val="single" w:sz="8" w:space="0" w:color="FF0000"/>
            </w:tcBorders>
            <w:shd w:val="clear" w:color="auto" w:fill="BFBFBF" w:themeFill="background1" w:themeFillShade="BF"/>
          </w:tcPr>
          <w:p w14:paraId="28236A46" w14:textId="77777777" w:rsidR="00745106" w:rsidRPr="005F716D" w:rsidRDefault="00745106" w:rsidP="00A30F13">
            <w:pPr>
              <w:pStyle w:val="tabletxt"/>
            </w:pPr>
            <w:r>
              <w:t>VRSTE INTERVENCIJA</w:t>
            </w:r>
          </w:p>
        </w:tc>
      </w:tr>
      <w:tr w:rsidR="00745106" w:rsidRPr="00523DB1" w14:paraId="73F9EE0A" w14:textId="77777777" w:rsidTr="00404D9F">
        <w:tc>
          <w:tcPr>
            <w:tcW w:w="332" w:type="dxa"/>
            <w:tcBorders>
              <w:top w:val="single" w:sz="8" w:space="0" w:color="FF0000"/>
              <w:bottom w:val="dotted" w:sz="4" w:space="0" w:color="auto"/>
            </w:tcBorders>
            <w:shd w:val="clear" w:color="auto" w:fill="660066"/>
          </w:tcPr>
          <w:p w14:paraId="27558BB5" w14:textId="77777777" w:rsidR="00745106" w:rsidRPr="003F0CD6" w:rsidRDefault="00745106" w:rsidP="00A30F13">
            <w:pPr>
              <w:pStyle w:val="Txttable"/>
              <w:rPr>
                <w:color w:val="8000FF"/>
              </w:rPr>
            </w:pPr>
          </w:p>
        </w:tc>
        <w:tc>
          <w:tcPr>
            <w:tcW w:w="2328" w:type="dxa"/>
            <w:tcBorders>
              <w:top w:val="single" w:sz="8" w:space="0" w:color="FF0000"/>
            </w:tcBorders>
          </w:tcPr>
          <w:p w14:paraId="17DD6903" w14:textId="77777777" w:rsidR="00745106" w:rsidRPr="00523DB1" w:rsidRDefault="00745106" w:rsidP="00A30F13">
            <w:pPr>
              <w:pStyle w:val="tabletxt"/>
              <w:jc w:val="left"/>
            </w:pPr>
            <w:r>
              <w:t>Kultura, turizam i</w:t>
            </w:r>
            <w:r w:rsidRPr="00523DB1">
              <w:t xml:space="preserve"> sport</w:t>
            </w:r>
          </w:p>
        </w:tc>
        <w:tc>
          <w:tcPr>
            <w:tcW w:w="1843" w:type="dxa"/>
            <w:vMerge w:val="restart"/>
            <w:tcBorders>
              <w:top w:val="single" w:sz="8" w:space="0" w:color="FF0000"/>
              <w:bottom w:val="dotted" w:sz="4" w:space="0" w:color="auto"/>
            </w:tcBorders>
          </w:tcPr>
          <w:p w14:paraId="24124BCB" w14:textId="77777777" w:rsidR="00745106" w:rsidRPr="00523DB1" w:rsidRDefault="00745106" w:rsidP="00A30F13">
            <w:pPr>
              <w:pStyle w:val="tabletxt"/>
              <w:jc w:val="center"/>
            </w:pPr>
          </w:p>
          <w:p w14:paraId="6CF26AF5" w14:textId="77777777" w:rsidR="00745106" w:rsidRPr="003F0CD6" w:rsidRDefault="00745106" w:rsidP="00A30F13">
            <w:pPr>
              <w:pStyle w:val="tabletxt"/>
              <w:jc w:val="center"/>
              <w:rPr>
                <w:b/>
              </w:rPr>
            </w:pPr>
            <w:r w:rsidRPr="003F0CD6">
              <w:rPr>
                <w:b/>
              </w:rPr>
              <w:t>DRUŠTVO</w:t>
            </w:r>
          </w:p>
        </w:tc>
        <w:tc>
          <w:tcPr>
            <w:tcW w:w="5103" w:type="dxa"/>
            <w:tcBorders>
              <w:top w:val="single" w:sz="8" w:space="0" w:color="FF0000"/>
              <w:bottom w:val="dotted" w:sz="4" w:space="0" w:color="auto"/>
            </w:tcBorders>
          </w:tcPr>
          <w:p w14:paraId="2AFE2C65" w14:textId="77777777" w:rsidR="00745106" w:rsidRPr="00523DB1" w:rsidRDefault="00745106" w:rsidP="00A30F13">
            <w:pPr>
              <w:pStyle w:val="tabletxt"/>
            </w:pPr>
            <w:r>
              <w:t>Ulaganja u fizičku infrastrukturu (kulturnu, turističku, sportsku) te mjere, poticaji i potpore za aktivnosti u kulturi, turizmu i sportu.</w:t>
            </w:r>
          </w:p>
        </w:tc>
      </w:tr>
      <w:tr w:rsidR="00745106" w:rsidRPr="00523DB1" w14:paraId="3166F46A" w14:textId="77777777" w:rsidTr="00A30F13">
        <w:tc>
          <w:tcPr>
            <w:tcW w:w="332" w:type="dxa"/>
            <w:tcBorders>
              <w:top w:val="dotted" w:sz="4" w:space="0" w:color="auto"/>
              <w:bottom w:val="dotted" w:sz="4" w:space="0" w:color="auto"/>
            </w:tcBorders>
            <w:shd w:val="clear" w:color="auto" w:fill="FFCC66"/>
          </w:tcPr>
          <w:p w14:paraId="562DDD2F" w14:textId="77777777" w:rsidR="00745106" w:rsidRPr="00523DB1" w:rsidRDefault="00745106" w:rsidP="00A30F13">
            <w:pPr>
              <w:pStyle w:val="Txttable"/>
            </w:pPr>
          </w:p>
        </w:tc>
        <w:tc>
          <w:tcPr>
            <w:tcW w:w="2328" w:type="dxa"/>
            <w:tcBorders>
              <w:top w:val="dotted" w:sz="4" w:space="0" w:color="auto"/>
              <w:bottom w:val="dotted" w:sz="4" w:space="0" w:color="auto"/>
            </w:tcBorders>
          </w:tcPr>
          <w:p w14:paraId="388B2F1D" w14:textId="706490C4" w:rsidR="00745106" w:rsidRDefault="00745106" w:rsidP="00A30F13">
            <w:pPr>
              <w:pStyle w:val="tabletxt"/>
              <w:jc w:val="left"/>
            </w:pPr>
            <w:r>
              <w:t>Zdravlje, socijalna sigurnost i kvalitet</w:t>
            </w:r>
            <w:r w:rsidR="00192EA4">
              <w:t>a</w:t>
            </w:r>
            <w:r>
              <w:t xml:space="preserve"> života</w:t>
            </w:r>
          </w:p>
        </w:tc>
        <w:tc>
          <w:tcPr>
            <w:tcW w:w="1843" w:type="dxa"/>
            <w:vMerge/>
            <w:tcBorders>
              <w:top w:val="dotted" w:sz="4" w:space="0" w:color="auto"/>
              <w:bottom w:val="dotted" w:sz="4" w:space="0" w:color="auto"/>
            </w:tcBorders>
          </w:tcPr>
          <w:p w14:paraId="4E9B399C" w14:textId="77777777" w:rsidR="00745106" w:rsidRPr="00523DB1" w:rsidRDefault="00745106" w:rsidP="00A30F13">
            <w:pPr>
              <w:pStyle w:val="Txttable"/>
              <w:jc w:val="center"/>
              <w:rPr>
                <w:b/>
              </w:rPr>
            </w:pPr>
          </w:p>
        </w:tc>
        <w:tc>
          <w:tcPr>
            <w:tcW w:w="5103" w:type="dxa"/>
            <w:tcBorders>
              <w:top w:val="dotted" w:sz="4" w:space="0" w:color="auto"/>
              <w:bottom w:val="dotted" w:sz="4" w:space="0" w:color="auto"/>
            </w:tcBorders>
          </w:tcPr>
          <w:p w14:paraId="33FDF9DA" w14:textId="2C4E0F17" w:rsidR="00745106" w:rsidRPr="008F39EB" w:rsidRDefault="00745106" w:rsidP="00A30F13">
            <w:pPr>
              <w:pStyle w:val="Txttable"/>
              <w:rPr>
                <w:b/>
                <w:sz w:val="18"/>
                <w:szCs w:val="18"/>
              </w:rPr>
            </w:pPr>
            <w:r w:rsidRPr="008F39EB">
              <w:rPr>
                <w:sz w:val="18"/>
                <w:szCs w:val="18"/>
              </w:rPr>
              <w:t>Ulaganja u fizičku infrastrukturu te mjere, poticaji i potpore za aktivnosti koje se tiču zd</w:t>
            </w:r>
            <w:r w:rsidR="00192EA4" w:rsidRPr="008F39EB">
              <w:rPr>
                <w:sz w:val="18"/>
                <w:szCs w:val="18"/>
              </w:rPr>
              <w:t>ravlja, socijalne skrbi, unaprj</w:t>
            </w:r>
            <w:r w:rsidRPr="008F39EB">
              <w:rPr>
                <w:sz w:val="18"/>
                <w:szCs w:val="18"/>
              </w:rPr>
              <w:t>eđenja društvenog života i građanskih inicijativa. Ova domena uključuje i aktivnosti koje se manje ili više direktno odnose i na demografsku obnovu (npr. predškolski odgoj, djeca i mladi)</w:t>
            </w:r>
            <w:r w:rsidR="00C01673" w:rsidRPr="008F39EB">
              <w:rPr>
                <w:sz w:val="18"/>
                <w:szCs w:val="18"/>
              </w:rPr>
              <w:t>, kao i pitanja opće sigurnosti ljudi i imovine.</w:t>
            </w:r>
          </w:p>
        </w:tc>
      </w:tr>
      <w:tr w:rsidR="00745106" w:rsidRPr="00523DB1" w14:paraId="2DA1778B" w14:textId="77777777" w:rsidTr="00C01673">
        <w:tc>
          <w:tcPr>
            <w:tcW w:w="332" w:type="dxa"/>
            <w:tcBorders>
              <w:top w:val="dotted" w:sz="4" w:space="0" w:color="auto"/>
              <w:bottom w:val="dotted" w:sz="4" w:space="0" w:color="auto"/>
            </w:tcBorders>
            <w:shd w:val="clear" w:color="auto" w:fill="0F80FF"/>
          </w:tcPr>
          <w:p w14:paraId="55BB66A4" w14:textId="77777777" w:rsidR="00745106" w:rsidRPr="00523DB1" w:rsidRDefault="00745106" w:rsidP="00A30F13">
            <w:pPr>
              <w:pStyle w:val="Txttable"/>
            </w:pPr>
          </w:p>
        </w:tc>
        <w:tc>
          <w:tcPr>
            <w:tcW w:w="2328" w:type="dxa"/>
            <w:tcBorders>
              <w:top w:val="dotted" w:sz="4" w:space="0" w:color="auto"/>
              <w:bottom w:val="dotted" w:sz="4" w:space="0" w:color="auto"/>
            </w:tcBorders>
          </w:tcPr>
          <w:p w14:paraId="115D7D25" w14:textId="77777777" w:rsidR="00745106" w:rsidRPr="00523DB1" w:rsidRDefault="00745106" w:rsidP="00A30F13">
            <w:pPr>
              <w:pStyle w:val="tabletxt"/>
              <w:jc w:val="left"/>
            </w:pPr>
            <w:r>
              <w:t>Obrazovanje, znanost i  ljudski potencijali</w:t>
            </w:r>
          </w:p>
        </w:tc>
        <w:tc>
          <w:tcPr>
            <w:tcW w:w="1843" w:type="dxa"/>
            <w:vMerge w:val="restart"/>
            <w:tcBorders>
              <w:top w:val="dotted" w:sz="4" w:space="0" w:color="auto"/>
            </w:tcBorders>
            <w:vAlign w:val="center"/>
          </w:tcPr>
          <w:p w14:paraId="4A96A691" w14:textId="77777777" w:rsidR="00745106" w:rsidRPr="003F0CD6" w:rsidRDefault="00745106" w:rsidP="00A30F13">
            <w:pPr>
              <w:pStyle w:val="tabletxt"/>
              <w:jc w:val="center"/>
              <w:rPr>
                <w:b/>
              </w:rPr>
            </w:pPr>
            <w:r w:rsidRPr="003F0CD6">
              <w:rPr>
                <w:b/>
              </w:rPr>
              <w:t>GOSPODARSTVO</w:t>
            </w:r>
          </w:p>
        </w:tc>
        <w:tc>
          <w:tcPr>
            <w:tcW w:w="5103" w:type="dxa"/>
            <w:tcBorders>
              <w:top w:val="dotted" w:sz="4" w:space="0" w:color="auto"/>
            </w:tcBorders>
          </w:tcPr>
          <w:p w14:paraId="1080F660" w14:textId="77777777" w:rsidR="00745106" w:rsidRDefault="00745106" w:rsidP="00A30F13">
            <w:pPr>
              <w:pStyle w:val="tabletxt"/>
            </w:pPr>
            <w:r>
              <w:t>Ulaganja u fizičku, organizacijsku i drugu infrastrukturu i ljudske resurse (srednjoškolsko i visokoškolsko obrazovanje i obrazovanje odraslih, znanost i tržište rada).</w:t>
            </w:r>
          </w:p>
          <w:p w14:paraId="3E78715B" w14:textId="77777777" w:rsidR="00745106" w:rsidRPr="00523DB1" w:rsidRDefault="00745106" w:rsidP="00A30F13">
            <w:pPr>
              <w:pStyle w:val="tabletxt"/>
            </w:pPr>
            <w:r>
              <w:t>N.B. U odnosu na stupove održivog razvoja, ova tema odnosi se kako na gospodarstvo, tako i na društvo.</w:t>
            </w:r>
          </w:p>
        </w:tc>
      </w:tr>
      <w:tr w:rsidR="00745106" w:rsidRPr="00523DB1" w14:paraId="13A37EDC" w14:textId="77777777" w:rsidTr="00C01673">
        <w:tc>
          <w:tcPr>
            <w:tcW w:w="332" w:type="dxa"/>
            <w:tcBorders>
              <w:top w:val="dotted" w:sz="4" w:space="0" w:color="auto"/>
              <w:bottom w:val="dotted" w:sz="4" w:space="0" w:color="auto"/>
            </w:tcBorders>
            <w:shd w:val="clear" w:color="auto" w:fill="FD8008"/>
          </w:tcPr>
          <w:p w14:paraId="2673CDEA" w14:textId="77777777" w:rsidR="00745106" w:rsidRPr="00523DB1" w:rsidRDefault="00745106" w:rsidP="00A30F13">
            <w:pPr>
              <w:pStyle w:val="Txttable"/>
            </w:pPr>
          </w:p>
        </w:tc>
        <w:tc>
          <w:tcPr>
            <w:tcW w:w="2328" w:type="dxa"/>
            <w:tcBorders>
              <w:top w:val="dotted" w:sz="4" w:space="0" w:color="auto"/>
              <w:bottom w:val="dotted" w:sz="4" w:space="0" w:color="auto"/>
            </w:tcBorders>
          </w:tcPr>
          <w:p w14:paraId="43AF493F" w14:textId="77777777" w:rsidR="00745106" w:rsidRPr="00523DB1" w:rsidRDefault="00745106" w:rsidP="00A30F13">
            <w:pPr>
              <w:pStyle w:val="tabletxt"/>
              <w:jc w:val="left"/>
            </w:pPr>
            <w:r w:rsidRPr="00523DB1">
              <w:t>Industrija</w:t>
            </w:r>
            <w:r>
              <w:t>, poduzetništvo i obrtništvo</w:t>
            </w:r>
          </w:p>
        </w:tc>
        <w:tc>
          <w:tcPr>
            <w:tcW w:w="1843" w:type="dxa"/>
            <w:vMerge/>
          </w:tcPr>
          <w:p w14:paraId="3699DB6A" w14:textId="77777777" w:rsidR="00745106" w:rsidRPr="00523DB1" w:rsidRDefault="00745106" w:rsidP="00A30F13">
            <w:pPr>
              <w:pStyle w:val="tabletxt"/>
              <w:jc w:val="center"/>
            </w:pPr>
          </w:p>
        </w:tc>
        <w:tc>
          <w:tcPr>
            <w:tcW w:w="5103" w:type="dxa"/>
            <w:tcBorders>
              <w:top w:val="dotted" w:sz="4" w:space="0" w:color="auto"/>
            </w:tcBorders>
          </w:tcPr>
          <w:p w14:paraId="47835011" w14:textId="77777777" w:rsidR="00745106" w:rsidRPr="00523DB1" w:rsidRDefault="00745106" w:rsidP="00A30F13">
            <w:pPr>
              <w:pStyle w:val="tabletxt"/>
            </w:pPr>
            <w:r>
              <w:t>Ulaganja fizičku, organizacijsku i drugu infrastrukturu te mjere, poticaji i potpore gospodarskim aktivnostima.</w:t>
            </w:r>
          </w:p>
        </w:tc>
      </w:tr>
      <w:tr w:rsidR="00745106" w:rsidRPr="00523DB1" w14:paraId="33A875F7" w14:textId="77777777" w:rsidTr="00A30F13">
        <w:tc>
          <w:tcPr>
            <w:tcW w:w="332" w:type="dxa"/>
            <w:tcBorders>
              <w:top w:val="dotted" w:sz="4" w:space="0" w:color="auto"/>
              <w:bottom w:val="dotted" w:sz="4" w:space="0" w:color="auto"/>
            </w:tcBorders>
            <w:shd w:val="clear" w:color="auto" w:fill="804002"/>
          </w:tcPr>
          <w:p w14:paraId="024679DE" w14:textId="77777777" w:rsidR="00745106" w:rsidRPr="003F0CD6" w:rsidRDefault="00745106" w:rsidP="00A30F13">
            <w:pPr>
              <w:pStyle w:val="Txttable"/>
              <w:rPr>
                <w:color w:val="804002"/>
              </w:rPr>
            </w:pPr>
          </w:p>
        </w:tc>
        <w:tc>
          <w:tcPr>
            <w:tcW w:w="2328" w:type="dxa"/>
            <w:tcBorders>
              <w:top w:val="dotted" w:sz="4" w:space="0" w:color="auto"/>
              <w:bottom w:val="dotted" w:sz="4" w:space="0" w:color="auto"/>
            </w:tcBorders>
          </w:tcPr>
          <w:p w14:paraId="64BDF91C" w14:textId="77777777" w:rsidR="00745106" w:rsidRPr="00523DB1" w:rsidRDefault="00745106" w:rsidP="00A30F13">
            <w:pPr>
              <w:pStyle w:val="tabletxt"/>
              <w:jc w:val="left"/>
            </w:pPr>
            <w:r w:rsidRPr="00523DB1">
              <w:t>Poljoprivreda i ruralni razvoj</w:t>
            </w:r>
          </w:p>
        </w:tc>
        <w:tc>
          <w:tcPr>
            <w:tcW w:w="1843" w:type="dxa"/>
            <w:vMerge/>
          </w:tcPr>
          <w:p w14:paraId="670AA19B" w14:textId="77777777" w:rsidR="00745106" w:rsidRPr="00523DB1" w:rsidRDefault="00745106" w:rsidP="00A30F13">
            <w:pPr>
              <w:pStyle w:val="tabletxt"/>
              <w:jc w:val="center"/>
            </w:pPr>
          </w:p>
        </w:tc>
        <w:tc>
          <w:tcPr>
            <w:tcW w:w="5103" w:type="dxa"/>
            <w:tcBorders>
              <w:top w:val="dotted" w:sz="4" w:space="0" w:color="auto"/>
              <w:bottom w:val="dotted" w:sz="4" w:space="0" w:color="auto"/>
            </w:tcBorders>
          </w:tcPr>
          <w:p w14:paraId="1DE6A083" w14:textId="77777777" w:rsidR="00745106" w:rsidRPr="00523DB1" w:rsidRDefault="00745106" w:rsidP="00A30F13">
            <w:pPr>
              <w:pStyle w:val="tabletxt"/>
            </w:pPr>
            <w:r>
              <w:t>Ulaganja fizičku, organizacijsku i drugu infrastrukturu te mjere, poticaji i potpore aktivnostima u ruralnom području.</w:t>
            </w:r>
          </w:p>
        </w:tc>
      </w:tr>
      <w:tr w:rsidR="00745106" w:rsidRPr="00523DB1" w14:paraId="2DA1F49F" w14:textId="77777777" w:rsidTr="00C01673">
        <w:tc>
          <w:tcPr>
            <w:tcW w:w="332" w:type="dxa"/>
            <w:tcBorders>
              <w:top w:val="dotted" w:sz="4" w:space="0" w:color="auto"/>
              <w:bottom w:val="dotted" w:sz="4" w:space="0" w:color="auto"/>
            </w:tcBorders>
            <w:shd w:val="clear" w:color="auto" w:fill="108040"/>
          </w:tcPr>
          <w:p w14:paraId="60C25D4B" w14:textId="77777777" w:rsidR="00745106" w:rsidRPr="00523DB1" w:rsidRDefault="00745106" w:rsidP="00A30F13">
            <w:pPr>
              <w:pStyle w:val="Txttable"/>
            </w:pPr>
          </w:p>
        </w:tc>
        <w:tc>
          <w:tcPr>
            <w:tcW w:w="2328" w:type="dxa"/>
            <w:tcBorders>
              <w:top w:val="dotted" w:sz="4" w:space="0" w:color="auto"/>
              <w:bottom w:val="dotted" w:sz="4" w:space="0" w:color="auto"/>
            </w:tcBorders>
          </w:tcPr>
          <w:p w14:paraId="1B81FAE9" w14:textId="77777777" w:rsidR="00745106" w:rsidRPr="00523DB1" w:rsidRDefault="00745106" w:rsidP="00A30F13">
            <w:pPr>
              <w:pStyle w:val="tabletxt"/>
              <w:jc w:val="left"/>
            </w:pPr>
            <w:r w:rsidRPr="00523DB1">
              <w:t>Energija, okoliš i priroda</w:t>
            </w:r>
          </w:p>
        </w:tc>
        <w:tc>
          <w:tcPr>
            <w:tcW w:w="1843" w:type="dxa"/>
            <w:vMerge w:val="restart"/>
            <w:tcBorders>
              <w:top w:val="dotted" w:sz="4" w:space="0" w:color="auto"/>
            </w:tcBorders>
            <w:vAlign w:val="center"/>
          </w:tcPr>
          <w:p w14:paraId="64838F5D" w14:textId="77777777" w:rsidR="00745106" w:rsidRPr="00523DB1" w:rsidRDefault="00745106" w:rsidP="008F39EB">
            <w:pPr>
              <w:pStyle w:val="tabletxt"/>
              <w:jc w:val="center"/>
              <w:rPr>
                <w:b/>
              </w:rPr>
            </w:pPr>
            <w:r>
              <w:rPr>
                <w:b/>
              </w:rPr>
              <w:t>PROSTOR I OKOLIŠ</w:t>
            </w:r>
          </w:p>
        </w:tc>
        <w:tc>
          <w:tcPr>
            <w:tcW w:w="5103" w:type="dxa"/>
            <w:tcBorders>
              <w:top w:val="dotted" w:sz="4" w:space="0" w:color="auto"/>
              <w:bottom w:val="dotted" w:sz="4" w:space="0" w:color="auto"/>
            </w:tcBorders>
          </w:tcPr>
          <w:p w14:paraId="261FD102" w14:textId="17922EEF" w:rsidR="00745106" w:rsidRPr="00C735FC" w:rsidRDefault="00745106" w:rsidP="00A30F13">
            <w:pPr>
              <w:pStyle w:val="tabletxt"/>
            </w:pPr>
            <w:r w:rsidRPr="00C735FC">
              <w:t>Ulaganja u fizičku infrastrukturu koja se tiče komunalnih usluga i upravljanja prirodnim resursima i energijom</w:t>
            </w:r>
            <w:r w:rsidR="008A4758">
              <w:t xml:space="preserve"> (npr. vode</w:t>
            </w:r>
            <w:r>
              <w:t xml:space="preserve">, odvodnja, toplinarstvo, javna rasvjeta, energetske obnove, </w:t>
            </w:r>
            <w:r w:rsidR="008A4758">
              <w:t>zaštita prirodnih vrijednosti, obnovljivi izvori, i</w:t>
            </w:r>
            <w:r>
              <w:t>td</w:t>
            </w:r>
            <w:r w:rsidR="00192EA4">
              <w:t>.</w:t>
            </w:r>
            <w:r>
              <w:t>)</w:t>
            </w:r>
            <w:r w:rsidRPr="00C735FC">
              <w:t>.</w:t>
            </w:r>
          </w:p>
        </w:tc>
      </w:tr>
      <w:tr w:rsidR="00745106" w:rsidRPr="00523DB1" w14:paraId="735A9E08" w14:textId="77777777" w:rsidTr="00C01673">
        <w:tc>
          <w:tcPr>
            <w:tcW w:w="332" w:type="dxa"/>
            <w:tcBorders>
              <w:top w:val="dotted" w:sz="4" w:space="0" w:color="auto"/>
              <w:bottom w:val="dotted" w:sz="4" w:space="0" w:color="auto"/>
            </w:tcBorders>
            <w:shd w:val="clear" w:color="auto" w:fill="FC0107"/>
          </w:tcPr>
          <w:p w14:paraId="393248C3" w14:textId="77777777" w:rsidR="00745106" w:rsidRPr="00523DB1" w:rsidRDefault="00745106" w:rsidP="00A30F13">
            <w:pPr>
              <w:pStyle w:val="Txttable"/>
            </w:pPr>
          </w:p>
        </w:tc>
        <w:tc>
          <w:tcPr>
            <w:tcW w:w="2328" w:type="dxa"/>
            <w:tcBorders>
              <w:top w:val="dotted" w:sz="4" w:space="0" w:color="auto"/>
              <w:bottom w:val="dotted" w:sz="4" w:space="0" w:color="auto"/>
            </w:tcBorders>
          </w:tcPr>
          <w:p w14:paraId="591E21E0" w14:textId="77777777" w:rsidR="00745106" w:rsidRPr="00523DB1" w:rsidRDefault="00745106" w:rsidP="00A30F13">
            <w:pPr>
              <w:pStyle w:val="tabletxt"/>
              <w:jc w:val="left"/>
            </w:pPr>
            <w:r>
              <w:t>Mobilnost, pristupačnost i promet</w:t>
            </w:r>
          </w:p>
        </w:tc>
        <w:tc>
          <w:tcPr>
            <w:tcW w:w="1843" w:type="dxa"/>
            <w:vMerge/>
            <w:tcBorders>
              <w:bottom w:val="dotted" w:sz="4" w:space="0" w:color="auto"/>
            </w:tcBorders>
          </w:tcPr>
          <w:p w14:paraId="740681B0" w14:textId="77777777" w:rsidR="00745106" w:rsidRPr="00523DB1" w:rsidRDefault="00745106" w:rsidP="00A30F13">
            <w:pPr>
              <w:pStyle w:val="Txttable"/>
              <w:rPr>
                <w:b/>
              </w:rPr>
            </w:pPr>
          </w:p>
        </w:tc>
        <w:tc>
          <w:tcPr>
            <w:tcW w:w="5103" w:type="dxa"/>
            <w:tcBorders>
              <w:top w:val="dotted" w:sz="4" w:space="0" w:color="auto"/>
              <w:bottom w:val="dotted" w:sz="4" w:space="0" w:color="auto"/>
            </w:tcBorders>
          </w:tcPr>
          <w:p w14:paraId="38AA2BAF" w14:textId="77777777" w:rsidR="00745106" w:rsidRPr="008F39EB" w:rsidRDefault="00745106" w:rsidP="00A30F13">
            <w:pPr>
              <w:pStyle w:val="Txttable"/>
              <w:rPr>
                <w:b/>
                <w:sz w:val="18"/>
                <w:szCs w:val="18"/>
              </w:rPr>
            </w:pPr>
            <w:r w:rsidRPr="008F39EB">
              <w:rPr>
                <w:sz w:val="18"/>
                <w:szCs w:val="18"/>
              </w:rPr>
              <w:t>Ulaganja u fizičku infrastrukturu koja se tiče uređenja urbanog okoliša (ceste, javni prostori, groblja) i poboljšanja mobilnosti, uz pripadajuće 'soft' mjere koje poboljšavaju upravljanje i organizaciju mobilnosti.</w:t>
            </w:r>
          </w:p>
        </w:tc>
      </w:tr>
    </w:tbl>
    <w:p w14:paraId="143E2945" w14:textId="69E9BD68" w:rsidR="00A30F13" w:rsidRDefault="00F150DD" w:rsidP="00A30F13">
      <w:r>
        <w:lastRenderedPageBreak/>
        <w:t xml:space="preserve">Ukupno je </w:t>
      </w:r>
      <w:r w:rsidR="00A30F13" w:rsidRPr="00AE08A0">
        <w:t xml:space="preserve">u inicijalnu bazu projekata uključeno </w:t>
      </w:r>
      <w:r w:rsidR="00C34CE2">
        <w:t>178</w:t>
      </w:r>
      <w:r w:rsidR="00A30F13" w:rsidRPr="00AE08A0">
        <w:t xml:space="preserve"> prijedloga, </w:t>
      </w:r>
      <w:r w:rsidR="00A30F13" w:rsidRPr="007F2A0C">
        <w:rPr>
          <w:b/>
        </w:rPr>
        <w:t xml:space="preserve">ukupne vrijednosti oko </w:t>
      </w:r>
      <w:r w:rsidR="006B5143" w:rsidRPr="007F2A0C">
        <w:rPr>
          <w:b/>
        </w:rPr>
        <w:t>3</w:t>
      </w:r>
      <w:r w:rsidR="00C34CE2">
        <w:rPr>
          <w:b/>
        </w:rPr>
        <w:t>37</w:t>
      </w:r>
      <w:r w:rsidR="00A30F13" w:rsidRPr="007F2A0C">
        <w:rPr>
          <w:b/>
        </w:rPr>
        <w:t xml:space="preserve"> mil. EUR</w:t>
      </w:r>
      <w:r w:rsidR="00A30F13" w:rsidRPr="00AE08A0">
        <w:t xml:space="preserve"> s raspodjelom po planskim domenama kako sljedi:</w:t>
      </w:r>
    </w:p>
    <w:p w14:paraId="4B41D44A" w14:textId="26C6ACAE" w:rsidR="003729FA" w:rsidRPr="00AE08A0" w:rsidRDefault="00117274" w:rsidP="00117274">
      <w:pPr>
        <w:pStyle w:val="Caption"/>
      </w:pPr>
      <w:bookmarkStart w:id="92" w:name="_Toc437387509"/>
      <w:r>
        <w:t xml:space="preserve">Tablica </w:t>
      </w:r>
      <w:r>
        <w:fldChar w:fldCharType="begin"/>
      </w:r>
      <w:r>
        <w:instrText xml:space="preserve"> SEQ Tablica \* ARABIC </w:instrText>
      </w:r>
      <w:r>
        <w:fldChar w:fldCharType="separate"/>
      </w:r>
      <w:r w:rsidR="001358A9">
        <w:rPr>
          <w:noProof/>
        </w:rPr>
        <w:t>36</w:t>
      </w:r>
      <w:r>
        <w:fldChar w:fldCharType="end"/>
      </w:r>
      <w:r w:rsidR="003729FA">
        <w:t>. Broj i vrijednost projekata u indikativnoj bazi prema planskim domenama</w:t>
      </w:r>
      <w:bookmarkEnd w:id="92"/>
    </w:p>
    <w:tbl>
      <w:tblPr>
        <w:tblW w:w="9072" w:type="dxa"/>
        <w:tblInd w:w="108" w:type="dxa"/>
        <w:tblLayout w:type="fixed"/>
        <w:tblLook w:val="04A0" w:firstRow="1" w:lastRow="0" w:firstColumn="1" w:lastColumn="0" w:noHBand="0" w:noVBand="1"/>
      </w:tblPr>
      <w:tblGrid>
        <w:gridCol w:w="284"/>
        <w:gridCol w:w="3118"/>
        <w:gridCol w:w="1134"/>
        <w:gridCol w:w="1418"/>
        <w:gridCol w:w="1843"/>
        <w:gridCol w:w="1275"/>
      </w:tblGrid>
      <w:tr w:rsidR="006B5143" w:rsidRPr="007F2A0C" w14:paraId="1D314C5D" w14:textId="77777777" w:rsidTr="006B5143">
        <w:trPr>
          <w:trHeight w:val="280"/>
        </w:trPr>
        <w:tc>
          <w:tcPr>
            <w:tcW w:w="284" w:type="dxa"/>
            <w:tcBorders>
              <w:top w:val="nil"/>
              <w:left w:val="nil"/>
              <w:bottom w:val="single" w:sz="8" w:space="0" w:color="9DBCB0"/>
              <w:right w:val="nil"/>
            </w:tcBorders>
            <w:shd w:val="clear" w:color="auto" w:fill="C6D9F1" w:themeFill="text2" w:themeFillTint="33"/>
          </w:tcPr>
          <w:p w14:paraId="15807D51" w14:textId="77777777" w:rsidR="006B5143" w:rsidRPr="007F2A0C" w:rsidRDefault="006B5143" w:rsidP="00F150DD">
            <w:pPr>
              <w:spacing w:before="0" w:after="0"/>
              <w:jc w:val="left"/>
              <w:rPr>
                <w:rFonts w:eastAsia="Times New Roman" w:cs="Times New Roman"/>
                <w:b/>
                <w:bCs/>
                <w:i/>
                <w:color w:val="0F243E" w:themeColor="text2" w:themeShade="80"/>
                <w:sz w:val="20"/>
                <w:szCs w:val="20"/>
              </w:rPr>
            </w:pPr>
          </w:p>
        </w:tc>
        <w:tc>
          <w:tcPr>
            <w:tcW w:w="3118" w:type="dxa"/>
            <w:tcBorders>
              <w:top w:val="nil"/>
              <w:left w:val="nil"/>
              <w:bottom w:val="single" w:sz="8" w:space="0" w:color="9DBCB0"/>
              <w:right w:val="nil"/>
            </w:tcBorders>
            <w:shd w:val="clear" w:color="auto" w:fill="C6D9F1" w:themeFill="text2" w:themeFillTint="33"/>
            <w:noWrap/>
            <w:vAlign w:val="bottom"/>
            <w:hideMark/>
          </w:tcPr>
          <w:p w14:paraId="1707E00E" w14:textId="68B57CC5" w:rsidR="006B5143" w:rsidRPr="007F2A0C" w:rsidRDefault="006B5143" w:rsidP="00F150DD">
            <w:pPr>
              <w:spacing w:before="0" w:after="0"/>
              <w:jc w:val="left"/>
              <w:rPr>
                <w:rFonts w:eastAsia="Times New Roman" w:cs="Times New Roman"/>
                <w:b/>
                <w:bCs/>
                <w:i/>
                <w:color w:val="0F243E" w:themeColor="text2" w:themeShade="80"/>
                <w:sz w:val="20"/>
                <w:szCs w:val="20"/>
              </w:rPr>
            </w:pPr>
            <w:r w:rsidRPr="007F2A0C">
              <w:rPr>
                <w:rFonts w:eastAsia="Times New Roman" w:cs="Times New Roman"/>
                <w:b/>
                <w:bCs/>
                <w:i/>
                <w:color w:val="0F243E" w:themeColor="text2" w:themeShade="80"/>
                <w:sz w:val="20"/>
                <w:szCs w:val="20"/>
              </w:rPr>
              <w:t> </w:t>
            </w:r>
          </w:p>
        </w:tc>
        <w:tc>
          <w:tcPr>
            <w:tcW w:w="1134" w:type="dxa"/>
            <w:tcBorders>
              <w:top w:val="nil"/>
              <w:left w:val="nil"/>
              <w:bottom w:val="single" w:sz="8" w:space="0" w:color="9DBCB0"/>
              <w:right w:val="nil"/>
            </w:tcBorders>
            <w:shd w:val="clear" w:color="auto" w:fill="C6D9F1" w:themeFill="text2" w:themeFillTint="33"/>
            <w:noWrap/>
            <w:vAlign w:val="bottom"/>
            <w:hideMark/>
          </w:tcPr>
          <w:p w14:paraId="49CA531D" w14:textId="7645EF79" w:rsidR="006B5143" w:rsidRPr="007F2A0C" w:rsidRDefault="006B5143" w:rsidP="002B2C66">
            <w:pPr>
              <w:spacing w:before="0" w:after="0"/>
              <w:jc w:val="left"/>
              <w:rPr>
                <w:rFonts w:eastAsia="Times New Roman" w:cs="Times New Roman"/>
                <w:b/>
                <w:bCs/>
                <w:i/>
                <w:color w:val="0F243E" w:themeColor="text2" w:themeShade="80"/>
                <w:sz w:val="20"/>
                <w:szCs w:val="20"/>
              </w:rPr>
            </w:pPr>
            <w:r w:rsidRPr="007F2A0C">
              <w:rPr>
                <w:rFonts w:eastAsia="Times New Roman" w:cs="Times New Roman"/>
                <w:b/>
                <w:bCs/>
                <w:i/>
                <w:color w:val="0F243E" w:themeColor="text2" w:themeShade="80"/>
                <w:sz w:val="20"/>
                <w:szCs w:val="20"/>
              </w:rPr>
              <w:t>Broj projekata</w:t>
            </w:r>
          </w:p>
        </w:tc>
        <w:tc>
          <w:tcPr>
            <w:tcW w:w="1418" w:type="dxa"/>
            <w:tcBorders>
              <w:top w:val="nil"/>
              <w:left w:val="nil"/>
              <w:bottom w:val="single" w:sz="8" w:space="0" w:color="9DBCB0"/>
              <w:right w:val="nil"/>
            </w:tcBorders>
            <w:shd w:val="clear" w:color="auto" w:fill="C6D9F1" w:themeFill="text2" w:themeFillTint="33"/>
            <w:noWrap/>
            <w:vAlign w:val="bottom"/>
            <w:hideMark/>
          </w:tcPr>
          <w:p w14:paraId="71E356F9" w14:textId="370DCC48" w:rsidR="006B5143" w:rsidRPr="007F2A0C" w:rsidRDefault="006B5143" w:rsidP="00F150DD">
            <w:pPr>
              <w:spacing w:before="0" w:after="0"/>
              <w:jc w:val="left"/>
              <w:rPr>
                <w:rFonts w:eastAsia="Times New Roman" w:cs="Times New Roman"/>
                <w:b/>
                <w:bCs/>
                <w:i/>
                <w:color w:val="0F243E" w:themeColor="text2" w:themeShade="80"/>
                <w:sz w:val="20"/>
                <w:szCs w:val="20"/>
              </w:rPr>
            </w:pPr>
            <w:r w:rsidRPr="007F2A0C">
              <w:rPr>
                <w:rFonts w:eastAsia="Times New Roman" w:cs="Times New Roman"/>
                <w:b/>
                <w:bCs/>
                <w:i/>
                <w:color w:val="0F243E" w:themeColor="text2" w:themeShade="80"/>
                <w:sz w:val="20"/>
                <w:szCs w:val="20"/>
              </w:rPr>
              <w:t>Udjeli (%)</w:t>
            </w:r>
          </w:p>
        </w:tc>
        <w:tc>
          <w:tcPr>
            <w:tcW w:w="1843" w:type="dxa"/>
            <w:tcBorders>
              <w:top w:val="nil"/>
              <w:left w:val="nil"/>
              <w:bottom w:val="single" w:sz="8" w:space="0" w:color="9DBCB0"/>
              <w:right w:val="nil"/>
            </w:tcBorders>
            <w:shd w:val="clear" w:color="auto" w:fill="C6D9F1" w:themeFill="text2" w:themeFillTint="33"/>
            <w:noWrap/>
            <w:vAlign w:val="bottom"/>
            <w:hideMark/>
          </w:tcPr>
          <w:p w14:paraId="6E0CB3BA" w14:textId="295B091C" w:rsidR="006B5143" w:rsidRPr="007F2A0C" w:rsidRDefault="006B5143" w:rsidP="00F150DD">
            <w:pPr>
              <w:spacing w:before="0" w:after="0"/>
              <w:jc w:val="left"/>
              <w:rPr>
                <w:rFonts w:eastAsia="Times New Roman" w:cs="Times New Roman"/>
                <w:b/>
                <w:bCs/>
                <w:i/>
                <w:color w:val="0F243E" w:themeColor="text2" w:themeShade="80"/>
                <w:sz w:val="20"/>
                <w:szCs w:val="20"/>
              </w:rPr>
            </w:pPr>
            <w:r w:rsidRPr="007F2A0C">
              <w:rPr>
                <w:rFonts w:eastAsia="Times New Roman" w:cs="Times New Roman"/>
                <w:b/>
                <w:bCs/>
                <w:i/>
                <w:color w:val="0F243E" w:themeColor="text2" w:themeShade="80"/>
                <w:sz w:val="20"/>
                <w:szCs w:val="20"/>
              </w:rPr>
              <w:t>Vrijednost projekata (HRK)</w:t>
            </w:r>
          </w:p>
        </w:tc>
        <w:tc>
          <w:tcPr>
            <w:tcW w:w="1275" w:type="dxa"/>
            <w:tcBorders>
              <w:top w:val="nil"/>
              <w:left w:val="nil"/>
              <w:bottom w:val="single" w:sz="8" w:space="0" w:color="9DBCB0"/>
              <w:right w:val="nil"/>
            </w:tcBorders>
            <w:shd w:val="clear" w:color="auto" w:fill="C6D9F1" w:themeFill="text2" w:themeFillTint="33"/>
            <w:noWrap/>
            <w:vAlign w:val="bottom"/>
            <w:hideMark/>
          </w:tcPr>
          <w:p w14:paraId="5B88765A" w14:textId="26095774" w:rsidR="006B5143" w:rsidRPr="007F2A0C" w:rsidRDefault="006B5143" w:rsidP="006B5143">
            <w:pPr>
              <w:spacing w:before="0" w:after="0"/>
              <w:jc w:val="center"/>
              <w:rPr>
                <w:rFonts w:eastAsia="Times New Roman" w:cs="Times New Roman"/>
                <w:b/>
                <w:i/>
                <w:color w:val="0F243E" w:themeColor="text2" w:themeShade="80"/>
                <w:sz w:val="20"/>
                <w:szCs w:val="20"/>
              </w:rPr>
            </w:pPr>
            <w:r w:rsidRPr="007F2A0C">
              <w:rPr>
                <w:rFonts w:eastAsia="Times New Roman" w:cs="Times New Roman"/>
                <w:b/>
                <w:i/>
                <w:color w:val="0F243E" w:themeColor="text2" w:themeShade="80"/>
                <w:sz w:val="20"/>
                <w:szCs w:val="20"/>
              </w:rPr>
              <w:t>Udjeli (%)</w:t>
            </w:r>
          </w:p>
        </w:tc>
      </w:tr>
      <w:tr w:rsidR="00C34CE2" w:rsidRPr="002B2C66" w14:paraId="7449BB94" w14:textId="77777777" w:rsidTr="00404D9F">
        <w:trPr>
          <w:trHeight w:val="280"/>
        </w:trPr>
        <w:tc>
          <w:tcPr>
            <w:tcW w:w="284" w:type="dxa"/>
            <w:tcBorders>
              <w:top w:val="single" w:sz="8" w:space="0" w:color="9DBCB0"/>
              <w:left w:val="nil"/>
              <w:bottom w:val="dotted" w:sz="4" w:space="0" w:color="auto"/>
              <w:right w:val="nil"/>
            </w:tcBorders>
            <w:shd w:val="clear" w:color="auto" w:fill="660066"/>
          </w:tcPr>
          <w:p w14:paraId="25498567" w14:textId="77777777" w:rsidR="00C34CE2" w:rsidRPr="002B2C66" w:rsidRDefault="00C34CE2" w:rsidP="00F150DD">
            <w:pPr>
              <w:spacing w:before="0" w:after="0"/>
              <w:jc w:val="left"/>
              <w:rPr>
                <w:rFonts w:eastAsia="Times New Roman" w:cs="Times New Roman"/>
                <w:color w:val="000000"/>
                <w:sz w:val="20"/>
                <w:szCs w:val="20"/>
              </w:rPr>
            </w:pPr>
          </w:p>
        </w:tc>
        <w:tc>
          <w:tcPr>
            <w:tcW w:w="3118" w:type="dxa"/>
            <w:tcBorders>
              <w:top w:val="single" w:sz="8" w:space="0" w:color="9DBCB0"/>
              <w:left w:val="nil"/>
              <w:bottom w:val="dotted" w:sz="4" w:space="0" w:color="auto"/>
              <w:right w:val="nil"/>
            </w:tcBorders>
            <w:shd w:val="clear" w:color="auto" w:fill="auto"/>
            <w:noWrap/>
            <w:vAlign w:val="bottom"/>
            <w:hideMark/>
          </w:tcPr>
          <w:p w14:paraId="074B5452" w14:textId="7D54478A" w:rsidR="00C34CE2" w:rsidRPr="002B2C66" w:rsidRDefault="00C34CE2" w:rsidP="00F150DD">
            <w:pPr>
              <w:spacing w:before="0" w:after="0"/>
              <w:jc w:val="left"/>
              <w:rPr>
                <w:rFonts w:eastAsia="Times New Roman" w:cs="Times New Roman"/>
                <w:color w:val="000000"/>
                <w:sz w:val="20"/>
                <w:szCs w:val="20"/>
              </w:rPr>
            </w:pPr>
            <w:r w:rsidRPr="002B2C66">
              <w:rPr>
                <w:rFonts w:eastAsia="Times New Roman" w:cs="Times New Roman"/>
                <w:color w:val="000000"/>
                <w:sz w:val="20"/>
                <w:szCs w:val="20"/>
              </w:rPr>
              <w:t>Kultura, turizam i sport</w:t>
            </w:r>
          </w:p>
        </w:tc>
        <w:tc>
          <w:tcPr>
            <w:tcW w:w="1134" w:type="dxa"/>
            <w:tcBorders>
              <w:top w:val="single" w:sz="8" w:space="0" w:color="9DBCB0"/>
              <w:left w:val="nil"/>
              <w:bottom w:val="dotted" w:sz="4" w:space="0" w:color="auto"/>
              <w:right w:val="nil"/>
            </w:tcBorders>
            <w:shd w:val="clear" w:color="auto" w:fill="auto"/>
            <w:noWrap/>
            <w:vAlign w:val="bottom"/>
            <w:hideMark/>
          </w:tcPr>
          <w:p w14:paraId="73A90FD3" w14:textId="6D70CA59" w:rsidR="00C34CE2" w:rsidRPr="00C34CE2" w:rsidRDefault="00C34CE2" w:rsidP="00F150DD">
            <w:pPr>
              <w:spacing w:before="0" w:after="0"/>
              <w:jc w:val="right"/>
              <w:rPr>
                <w:rFonts w:eastAsia="Times New Roman" w:cs="Times New Roman"/>
                <w:b/>
                <w:bCs/>
                <w:color w:val="000000"/>
                <w:sz w:val="20"/>
                <w:szCs w:val="20"/>
              </w:rPr>
            </w:pPr>
            <w:r w:rsidRPr="00C34CE2">
              <w:rPr>
                <w:rFonts w:eastAsia="Times New Roman" w:cs="Times New Roman"/>
                <w:b/>
                <w:bCs/>
                <w:color w:val="000000"/>
                <w:sz w:val="20"/>
                <w:szCs w:val="20"/>
              </w:rPr>
              <w:t>42</w:t>
            </w:r>
          </w:p>
        </w:tc>
        <w:tc>
          <w:tcPr>
            <w:tcW w:w="1418" w:type="dxa"/>
            <w:tcBorders>
              <w:top w:val="single" w:sz="8" w:space="0" w:color="9DBCB0"/>
              <w:left w:val="nil"/>
              <w:bottom w:val="dotted" w:sz="4" w:space="0" w:color="auto"/>
              <w:right w:val="nil"/>
            </w:tcBorders>
            <w:shd w:val="clear" w:color="auto" w:fill="auto"/>
            <w:noWrap/>
            <w:vAlign w:val="bottom"/>
            <w:hideMark/>
          </w:tcPr>
          <w:p w14:paraId="37D0FE86" w14:textId="3C3D4349"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s="Times New Roman"/>
                <w:color w:val="000000"/>
                <w:sz w:val="20"/>
                <w:szCs w:val="20"/>
              </w:rPr>
              <w:t>24%</w:t>
            </w:r>
          </w:p>
        </w:tc>
        <w:tc>
          <w:tcPr>
            <w:tcW w:w="1843" w:type="dxa"/>
            <w:tcBorders>
              <w:top w:val="single" w:sz="8" w:space="0" w:color="9DBCB0"/>
              <w:left w:val="nil"/>
              <w:bottom w:val="dotted" w:sz="4" w:space="0" w:color="auto"/>
              <w:right w:val="nil"/>
            </w:tcBorders>
            <w:shd w:val="clear" w:color="auto" w:fill="auto"/>
            <w:noWrap/>
            <w:vAlign w:val="bottom"/>
            <w:hideMark/>
          </w:tcPr>
          <w:p w14:paraId="5A144274" w14:textId="4CEF8919" w:rsidR="00C34CE2" w:rsidRPr="00C34CE2" w:rsidRDefault="00C34CE2" w:rsidP="00FD4908">
            <w:pPr>
              <w:spacing w:before="0" w:after="0"/>
              <w:jc w:val="right"/>
              <w:rPr>
                <w:rFonts w:eastAsia="Times New Roman" w:cs="Times New Roman"/>
                <w:b/>
                <w:color w:val="000000"/>
                <w:sz w:val="20"/>
                <w:szCs w:val="20"/>
              </w:rPr>
            </w:pPr>
            <w:r w:rsidRPr="00C34CE2">
              <w:rPr>
                <w:rFonts w:eastAsia="Times New Roman"/>
                <w:b/>
                <w:color w:val="000000"/>
                <w:sz w:val="20"/>
                <w:szCs w:val="20"/>
              </w:rPr>
              <w:t xml:space="preserve"> 830,707,736 </w:t>
            </w:r>
          </w:p>
        </w:tc>
        <w:tc>
          <w:tcPr>
            <w:tcW w:w="1275" w:type="dxa"/>
            <w:tcBorders>
              <w:top w:val="single" w:sz="8" w:space="0" w:color="9DBCB0"/>
              <w:left w:val="nil"/>
              <w:bottom w:val="dotted" w:sz="4" w:space="0" w:color="auto"/>
              <w:right w:val="nil"/>
            </w:tcBorders>
            <w:shd w:val="clear" w:color="auto" w:fill="auto"/>
            <w:noWrap/>
            <w:vAlign w:val="bottom"/>
            <w:hideMark/>
          </w:tcPr>
          <w:p w14:paraId="60749A21" w14:textId="2AB6E379"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olor w:val="000000"/>
                <w:sz w:val="20"/>
                <w:szCs w:val="20"/>
              </w:rPr>
              <w:t>33%</w:t>
            </w:r>
          </w:p>
        </w:tc>
      </w:tr>
      <w:tr w:rsidR="00C34CE2" w:rsidRPr="002B2C66" w14:paraId="2C9BEF95" w14:textId="77777777" w:rsidTr="00C01673">
        <w:trPr>
          <w:trHeight w:val="280"/>
        </w:trPr>
        <w:tc>
          <w:tcPr>
            <w:tcW w:w="284" w:type="dxa"/>
            <w:tcBorders>
              <w:top w:val="dotted" w:sz="4" w:space="0" w:color="auto"/>
              <w:left w:val="nil"/>
              <w:bottom w:val="dotted" w:sz="4" w:space="0" w:color="auto"/>
              <w:right w:val="nil"/>
            </w:tcBorders>
            <w:shd w:val="clear" w:color="auto" w:fill="108040"/>
          </w:tcPr>
          <w:p w14:paraId="6A8BE7CB" w14:textId="77777777" w:rsidR="00C34CE2" w:rsidRPr="002B2C66" w:rsidRDefault="00C34CE2" w:rsidP="00F150DD">
            <w:pPr>
              <w:spacing w:before="0" w:after="0"/>
              <w:jc w:val="left"/>
              <w:rPr>
                <w:rFonts w:eastAsia="Times New Roman" w:cs="Times New Roman"/>
                <w:color w:val="000000"/>
                <w:sz w:val="20"/>
                <w:szCs w:val="20"/>
              </w:rPr>
            </w:pPr>
          </w:p>
        </w:tc>
        <w:tc>
          <w:tcPr>
            <w:tcW w:w="3118" w:type="dxa"/>
            <w:tcBorders>
              <w:top w:val="dotted" w:sz="4" w:space="0" w:color="auto"/>
              <w:left w:val="nil"/>
              <w:bottom w:val="dotted" w:sz="4" w:space="0" w:color="auto"/>
              <w:right w:val="nil"/>
            </w:tcBorders>
            <w:shd w:val="clear" w:color="auto" w:fill="auto"/>
            <w:noWrap/>
            <w:vAlign w:val="bottom"/>
            <w:hideMark/>
          </w:tcPr>
          <w:p w14:paraId="4BAE0391" w14:textId="108F7519" w:rsidR="00C34CE2" w:rsidRPr="002B2C66" w:rsidRDefault="00C34CE2" w:rsidP="00F150DD">
            <w:pPr>
              <w:spacing w:before="0" w:after="0"/>
              <w:jc w:val="left"/>
              <w:rPr>
                <w:rFonts w:eastAsia="Times New Roman" w:cs="Times New Roman"/>
                <w:color w:val="000000"/>
                <w:sz w:val="20"/>
                <w:szCs w:val="20"/>
              </w:rPr>
            </w:pPr>
            <w:r w:rsidRPr="002B2C66">
              <w:rPr>
                <w:rFonts w:eastAsia="Times New Roman" w:cs="Times New Roman"/>
                <w:color w:val="000000"/>
                <w:sz w:val="20"/>
                <w:szCs w:val="20"/>
              </w:rPr>
              <w:t>Energija, okoliš i priroda</w:t>
            </w:r>
          </w:p>
        </w:tc>
        <w:tc>
          <w:tcPr>
            <w:tcW w:w="1134" w:type="dxa"/>
            <w:tcBorders>
              <w:top w:val="dotted" w:sz="4" w:space="0" w:color="auto"/>
              <w:left w:val="nil"/>
              <w:bottom w:val="dotted" w:sz="4" w:space="0" w:color="auto"/>
              <w:right w:val="nil"/>
            </w:tcBorders>
            <w:shd w:val="clear" w:color="auto" w:fill="auto"/>
            <w:noWrap/>
            <w:vAlign w:val="bottom"/>
            <w:hideMark/>
          </w:tcPr>
          <w:p w14:paraId="0B2A4AD2" w14:textId="429AAECC" w:rsidR="00C34CE2" w:rsidRPr="00C34CE2" w:rsidRDefault="00C34CE2" w:rsidP="00F150DD">
            <w:pPr>
              <w:spacing w:before="0" w:after="0"/>
              <w:jc w:val="right"/>
              <w:rPr>
                <w:rFonts w:eastAsia="Times New Roman" w:cs="Times New Roman"/>
                <w:b/>
                <w:bCs/>
                <w:color w:val="000000"/>
                <w:sz w:val="20"/>
                <w:szCs w:val="20"/>
              </w:rPr>
            </w:pPr>
            <w:r w:rsidRPr="00C34CE2">
              <w:rPr>
                <w:rFonts w:eastAsia="Times New Roman" w:cs="Times New Roman"/>
                <w:b/>
                <w:bCs/>
                <w:color w:val="000000"/>
                <w:sz w:val="20"/>
                <w:szCs w:val="20"/>
              </w:rPr>
              <w:t>38</w:t>
            </w:r>
          </w:p>
        </w:tc>
        <w:tc>
          <w:tcPr>
            <w:tcW w:w="1418" w:type="dxa"/>
            <w:tcBorders>
              <w:top w:val="dotted" w:sz="4" w:space="0" w:color="auto"/>
              <w:left w:val="nil"/>
              <w:bottom w:val="dotted" w:sz="4" w:space="0" w:color="auto"/>
              <w:right w:val="nil"/>
            </w:tcBorders>
            <w:shd w:val="clear" w:color="auto" w:fill="auto"/>
            <w:noWrap/>
            <w:vAlign w:val="bottom"/>
            <w:hideMark/>
          </w:tcPr>
          <w:p w14:paraId="7085213E" w14:textId="7EA1D436"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s="Times New Roman"/>
                <w:color w:val="000000"/>
                <w:sz w:val="20"/>
                <w:szCs w:val="20"/>
              </w:rPr>
              <w:t>21%</w:t>
            </w:r>
          </w:p>
        </w:tc>
        <w:tc>
          <w:tcPr>
            <w:tcW w:w="1843" w:type="dxa"/>
            <w:tcBorders>
              <w:top w:val="dotted" w:sz="4" w:space="0" w:color="auto"/>
              <w:left w:val="nil"/>
              <w:bottom w:val="dotted" w:sz="4" w:space="0" w:color="auto"/>
              <w:right w:val="nil"/>
            </w:tcBorders>
            <w:shd w:val="clear" w:color="auto" w:fill="auto"/>
            <w:noWrap/>
            <w:vAlign w:val="bottom"/>
            <w:hideMark/>
          </w:tcPr>
          <w:p w14:paraId="5D9AD4E3" w14:textId="602F7F30" w:rsidR="00C34CE2" w:rsidRPr="00C34CE2" w:rsidRDefault="00C34CE2" w:rsidP="00FD4908">
            <w:pPr>
              <w:spacing w:before="0" w:after="0"/>
              <w:jc w:val="right"/>
              <w:rPr>
                <w:rFonts w:eastAsia="Times New Roman" w:cs="Times New Roman"/>
                <w:b/>
                <w:color w:val="000000"/>
                <w:sz w:val="20"/>
                <w:szCs w:val="20"/>
              </w:rPr>
            </w:pPr>
            <w:r w:rsidRPr="00C34CE2">
              <w:rPr>
                <w:rFonts w:eastAsia="Times New Roman"/>
                <w:b/>
                <w:color w:val="000000"/>
                <w:sz w:val="20"/>
                <w:szCs w:val="20"/>
              </w:rPr>
              <w:t xml:space="preserve"> 979,033,999 </w:t>
            </w:r>
          </w:p>
        </w:tc>
        <w:tc>
          <w:tcPr>
            <w:tcW w:w="1275" w:type="dxa"/>
            <w:tcBorders>
              <w:top w:val="dotted" w:sz="4" w:space="0" w:color="auto"/>
              <w:left w:val="nil"/>
              <w:bottom w:val="dotted" w:sz="4" w:space="0" w:color="auto"/>
              <w:right w:val="nil"/>
            </w:tcBorders>
            <w:shd w:val="clear" w:color="auto" w:fill="auto"/>
            <w:noWrap/>
            <w:vAlign w:val="bottom"/>
            <w:hideMark/>
          </w:tcPr>
          <w:p w14:paraId="6C524E8A" w14:textId="761B101D"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olor w:val="000000"/>
                <w:sz w:val="20"/>
                <w:szCs w:val="20"/>
              </w:rPr>
              <w:t>39%</w:t>
            </w:r>
          </w:p>
        </w:tc>
      </w:tr>
      <w:tr w:rsidR="00C34CE2" w:rsidRPr="002B2C66" w14:paraId="65D61FDB" w14:textId="77777777" w:rsidTr="00C01673">
        <w:trPr>
          <w:trHeight w:val="280"/>
        </w:trPr>
        <w:tc>
          <w:tcPr>
            <w:tcW w:w="284" w:type="dxa"/>
            <w:tcBorders>
              <w:top w:val="dotted" w:sz="4" w:space="0" w:color="auto"/>
              <w:left w:val="nil"/>
              <w:bottom w:val="dotted" w:sz="4" w:space="0" w:color="auto"/>
              <w:right w:val="nil"/>
            </w:tcBorders>
            <w:shd w:val="clear" w:color="auto" w:fill="FFCC66"/>
          </w:tcPr>
          <w:p w14:paraId="32096A51" w14:textId="77777777" w:rsidR="00C34CE2" w:rsidRPr="002B2C66" w:rsidRDefault="00C34CE2" w:rsidP="00F150DD">
            <w:pPr>
              <w:spacing w:before="0" w:after="0"/>
              <w:jc w:val="left"/>
              <w:rPr>
                <w:rFonts w:eastAsia="Times New Roman" w:cs="Times New Roman"/>
                <w:color w:val="000000"/>
                <w:sz w:val="20"/>
                <w:szCs w:val="20"/>
              </w:rPr>
            </w:pPr>
          </w:p>
        </w:tc>
        <w:tc>
          <w:tcPr>
            <w:tcW w:w="3118" w:type="dxa"/>
            <w:tcBorders>
              <w:top w:val="dotted" w:sz="4" w:space="0" w:color="auto"/>
              <w:left w:val="nil"/>
              <w:bottom w:val="dotted" w:sz="4" w:space="0" w:color="auto"/>
              <w:right w:val="nil"/>
            </w:tcBorders>
            <w:shd w:val="clear" w:color="auto" w:fill="auto"/>
            <w:noWrap/>
            <w:vAlign w:val="bottom"/>
            <w:hideMark/>
          </w:tcPr>
          <w:p w14:paraId="7542ECE2" w14:textId="74F8661A" w:rsidR="00C34CE2" w:rsidRPr="002B2C66" w:rsidRDefault="00C34CE2" w:rsidP="00F150DD">
            <w:pPr>
              <w:spacing w:before="0" w:after="0"/>
              <w:jc w:val="left"/>
              <w:rPr>
                <w:rFonts w:eastAsia="Times New Roman" w:cs="Times New Roman"/>
                <w:color w:val="000000"/>
                <w:sz w:val="20"/>
                <w:szCs w:val="20"/>
              </w:rPr>
            </w:pPr>
            <w:r w:rsidRPr="002B2C66">
              <w:rPr>
                <w:rFonts w:eastAsia="Times New Roman" w:cs="Times New Roman"/>
                <w:color w:val="000000"/>
                <w:sz w:val="20"/>
                <w:szCs w:val="20"/>
              </w:rPr>
              <w:t>Zdravlje, socijalna sigurnost i kvalitet</w:t>
            </w:r>
            <w:r>
              <w:rPr>
                <w:rFonts w:eastAsia="Times New Roman" w:cs="Times New Roman"/>
                <w:color w:val="000000"/>
                <w:sz w:val="20"/>
                <w:szCs w:val="20"/>
              </w:rPr>
              <w:t>a</w:t>
            </w:r>
            <w:r w:rsidRPr="002B2C66">
              <w:rPr>
                <w:rFonts w:eastAsia="Times New Roman" w:cs="Times New Roman"/>
                <w:color w:val="000000"/>
                <w:sz w:val="20"/>
                <w:szCs w:val="20"/>
              </w:rPr>
              <w:t xml:space="preserve"> života</w:t>
            </w:r>
          </w:p>
        </w:tc>
        <w:tc>
          <w:tcPr>
            <w:tcW w:w="1134" w:type="dxa"/>
            <w:tcBorders>
              <w:top w:val="dotted" w:sz="4" w:space="0" w:color="auto"/>
              <w:left w:val="nil"/>
              <w:bottom w:val="dotted" w:sz="4" w:space="0" w:color="auto"/>
              <w:right w:val="nil"/>
            </w:tcBorders>
            <w:shd w:val="clear" w:color="auto" w:fill="auto"/>
            <w:noWrap/>
            <w:vAlign w:val="bottom"/>
            <w:hideMark/>
          </w:tcPr>
          <w:p w14:paraId="18973E36" w14:textId="3DE6C040" w:rsidR="00C34CE2" w:rsidRPr="00C34CE2" w:rsidRDefault="00C34CE2" w:rsidP="00F150DD">
            <w:pPr>
              <w:spacing w:before="0" w:after="0"/>
              <w:jc w:val="right"/>
              <w:rPr>
                <w:rFonts w:eastAsia="Times New Roman" w:cs="Times New Roman"/>
                <w:b/>
                <w:bCs/>
                <w:color w:val="000000"/>
                <w:sz w:val="20"/>
                <w:szCs w:val="20"/>
              </w:rPr>
            </w:pPr>
            <w:r w:rsidRPr="00C34CE2">
              <w:rPr>
                <w:rFonts w:eastAsia="Times New Roman" w:cs="Times New Roman"/>
                <w:b/>
                <w:bCs/>
                <w:color w:val="000000"/>
                <w:sz w:val="20"/>
                <w:szCs w:val="20"/>
              </w:rPr>
              <w:t>25</w:t>
            </w:r>
          </w:p>
        </w:tc>
        <w:tc>
          <w:tcPr>
            <w:tcW w:w="1418" w:type="dxa"/>
            <w:tcBorders>
              <w:top w:val="dotted" w:sz="4" w:space="0" w:color="auto"/>
              <w:left w:val="nil"/>
              <w:bottom w:val="dotted" w:sz="4" w:space="0" w:color="auto"/>
              <w:right w:val="nil"/>
            </w:tcBorders>
            <w:shd w:val="clear" w:color="auto" w:fill="auto"/>
            <w:noWrap/>
            <w:vAlign w:val="bottom"/>
            <w:hideMark/>
          </w:tcPr>
          <w:p w14:paraId="7D3A4FE4" w14:textId="2CFE34E0"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s="Times New Roman"/>
                <w:color w:val="000000"/>
                <w:sz w:val="20"/>
                <w:szCs w:val="20"/>
              </w:rPr>
              <w:t>14%</w:t>
            </w:r>
          </w:p>
        </w:tc>
        <w:tc>
          <w:tcPr>
            <w:tcW w:w="1843" w:type="dxa"/>
            <w:tcBorders>
              <w:top w:val="dotted" w:sz="4" w:space="0" w:color="auto"/>
              <w:left w:val="nil"/>
              <w:bottom w:val="dotted" w:sz="4" w:space="0" w:color="auto"/>
              <w:right w:val="nil"/>
            </w:tcBorders>
            <w:shd w:val="clear" w:color="auto" w:fill="auto"/>
            <w:noWrap/>
            <w:vAlign w:val="bottom"/>
            <w:hideMark/>
          </w:tcPr>
          <w:p w14:paraId="19B44D92" w14:textId="424B88C0" w:rsidR="00C34CE2" w:rsidRPr="00C34CE2" w:rsidRDefault="00C34CE2" w:rsidP="004B66CE">
            <w:pPr>
              <w:spacing w:before="0" w:after="0"/>
              <w:jc w:val="right"/>
              <w:rPr>
                <w:rFonts w:eastAsia="Times New Roman" w:cs="Times New Roman"/>
                <w:b/>
                <w:color w:val="000000"/>
                <w:sz w:val="20"/>
                <w:szCs w:val="20"/>
              </w:rPr>
            </w:pPr>
            <w:r w:rsidRPr="00C34CE2">
              <w:rPr>
                <w:rFonts w:eastAsia="Times New Roman"/>
                <w:b/>
                <w:color w:val="000000"/>
                <w:sz w:val="20"/>
                <w:szCs w:val="20"/>
              </w:rPr>
              <w:t xml:space="preserve"> 159,823,000 </w:t>
            </w:r>
          </w:p>
        </w:tc>
        <w:tc>
          <w:tcPr>
            <w:tcW w:w="1275" w:type="dxa"/>
            <w:tcBorders>
              <w:top w:val="dotted" w:sz="4" w:space="0" w:color="auto"/>
              <w:left w:val="nil"/>
              <w:bottom w:val="dotted" w:sz="4" w:space="0" w:color="auto"/>
              <w:right w:val="nil"/>
            </w:tcBorders>
            <w:shd w:val="clear" w:color="auto" w:fill="auto"/>
            <w:noWrap/>
            <w:vAlign w:val="bottom"/>
            <w:hideMark/>
          </w:tcPr>
          <w:p w14:paraId="566B1A20" w14:textId="291A11E5"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olor w:val="000000"/>
                <w:sz w:val="20"/>
                <w:szCs w:val="20"/>
              </w:rPr>
              <w:t>6%</w:t>
            </w:r>
          </w:p>
        </w:tc>
      </w:tr>
      <w:tr w:rsidR="00C34CE2" w:rsidRPr="002B2C66" w14:paraId="77D206A4" w14:textId="77777777" w:rsidTr="00C01673">
        <w:trPr>
          <w:trHeight w:val="280"/>
        </w:trPr>
        <w:tc>
          <w:tcPr>
            <w:tcW w:w="284" w:type="dxa"/>
            <w:tcBorders>
              <w:top w:val="dotted" w:sz="4" w:space="0" w:color="auto"/>
              <w:left w:val="nil"/>
              <w:bottom w:val="dotted" w:sz="4" w:space="0" w:color="auto"/>
              <w:right w:val="nil"/>
            </w:tcBorders>
            <w:shd w:val="clear" w:color="auto" w:fill="FC0107"/>
          </w:tcPr>
          <w:p w14:paraId="7C509A82" w14:textId="77777777" w:rsidR="00C34CE2" w:rsidRPr="002B2C66" w:rsidRDefault="00C34CE2" w:rsidP="00F150DD">
            <w:pPr>
              <w:spacing w:before="0" w:after="0"/>
              <w:jc w:val="left"/>
              <w:rPr>
                <w:rFonts w:eastAsia="Times New Roman" w:cs="Times New Roman"/>
                <w:color w:val="000000"/>
                <w:sz w:val="20"/>
                <w:szCs w:val="20"/>
              </w:rPr>
            </w:pPr>
          </w:p>
        </w:tc>
        <w:tc>
          <w:tcPr>
            <w:tcW w:w="3118" w:type="dxa"/>
            <w:tcBorders>
              <w:top w:val="dotted" w:sz="4" w:space="0" w:color="auto"/>
              <w:left w:val="nil"/>
              <w:bottom w:val="dotted" w:sz="4" w:space="0" w:color="auto"/>
              <w:right w:val="nil"/>
            </w:tcBorders>
            <w:shd w:val="clear" w:color="auto" w:fill="auto"/>
            <w:noWrap/>
            <w:vAlign w:val="bottom"/>
            <w:hideMark/>
          </w:tcPr>
          <w:p w14:paraId="6290F36B" w14:textId="2E40858F" w:rsidR="00C34CE2" w:rsidRPr="002B2C66" w:rsidRDefault="00C34CE2" w:rsidP="00F150DD">
            <w:pPr>
              <w:spacing w:before="0" w:after="0"/>
              <w:jc w:val="left"/>
              <w:rPr>
                <w:rFonts w:eastAsia="Times New Roman" w:cs="Times New Roman"/>
                <w:color w:val="000000"/>
                <w:sz w:val="20"/>
                <w:szCs w:val="20"/>
              </w:rPr>
            </w:pPr>
            <w:r w:rsidRPr="002B2C66">
              <w:rPr>
                <w:rFonts w:eastAsia="Times New Roman" w:cs="Times New Roman"/>
                <w:color w:val="000000"/>
                <w:sz w:val="20"/>
                <w:szCs w:val="20"/>
              </w:rPr>
              <w:t>Mobilnost, pristupačnost i promet</w:t>
            </w:r>
          </w:p>
        </w:tc>
        <w:tc>
          <w:tcPr>
            <w:tcW w:w="1134" w:type="dxa"/>
            <w:tcBorders>
              <w:top w:val="dotted" w:sz="4" w:space="0" w:color="auto"/>
              <w:left w:val="nil"/>
              <w:bottom w:val="dotted" w:sz="4" w:space="0" w:color="auto"/>
              <w:right w:val="nil"/>
            </w:tcBorders>
            <w:shd w:val="clear" w:color="auto" w:fill="auto"/>
            <w:noWrap/>
            <w:vAlign w:val="bottom"/>
            <w:hideMark/>
          </w:tcPr>
          <w:p w14:paraId="346A57C5" w14:textId="79DF1412" w:rsidR="00C34CE2" w:rsidRPr="00C34CE2" w:rsidRDefault="00C34CE2" w:rsidP="00F150DD">
            <w:pPr>
              <w:spacing w:before="0" w:after="0"/>
              <w:jc w:val="right"/>
              <w:rPr>
                <w:rFonts w:eastAsia="Times New Roman" w:cs="Times New Roman"/>
                <w:b/>
                <w:bCs/>
                <w:color w:val="000000"/>
                <w:sz w:val="20"/>
                <w:szCs w:val="20"/>
              </w:rPr>
            </w:pPr>
            <w:r w:rsidRPr="00C34CE2">
              <w:rPr>
                <w:rFonts w:eastAsia="Times New Roman" w:cs="Times New Roman"/>
                <w:b/>
                <w:bCs/>
                <w:color w:val="000000"/>
                <w:sz w:val="20"/>
                <w:szCs w:val="20"/>
              </w:rPr>
              <w:t>34</w:t>
            </w:r>
          </w:p>
        </w:tc>
        <w:tc>
          <w:tcPr>
            <w:tcW w:w="1418" w:type="dxa"/>
            <w:tcBorders>
              <w:top w:val="dotted" w:sz="4" w:space="0" w:color="auto"/>
              <w:left w:val="nil"/>
              <w:bottom w:val="dotted" w:sz="4" w:space="0" w:color="auto"/>
              <w:right w:val="nil"/>
            </w:tcBorders>
            <w:shd w:val="clear" w:color="auto" w:fill="auto"/>
            <w:noWrap/>
            <w:vAlign w:val="bottom"/>
            <w:hideMark/>
          </w:tcPr>
          <w:p w14:paraId="6EB5F409" w14:textId="247A288F"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s="Times New Roman"/>
                <w:color w:val="000000"/>
                <w:sz w:val="20"/>
                <w:szCs w:val="20"/>
              </w:rPr>
              <w:t>19%</w:t>
            </w:r>
          </w:p>
        </w:tc>
        <w:tc>
          <w:tcPr>
            <w:tcW w:w="1843" w:type="dxa"/>
            <w:tcBorders>
              <w:top w:val="dotted" w:sz="4" w:space="0" w:color="auto"/>
              <w:left w:val="nil"/>
              <w:bottom w:val="dotted" w:sz="4" w:space="0" w:color="auto"/>
              <w:right w:val="nil"/>
            </w:tcBorders>
            <w:shd w:val="clear" w:color="auto" w:fill="auto"/>
            <w:noWrap/>
            <w:vAlign w:val="bottom"/>
            <w:hideMark/>
          </w:tcPr>
          <w:p w14:paraId="56C09E44" w14:textId="6E082F3E" w:rsidR="00C34CE2" w:rsidRPr="00C34CE2" w:rsidRDefault="00C34CE2" w:rsidP="00FD4908">
            <w:pPr>
              <w:spacing w:before="0" w:after="0"/>
              <w:jc w:val="right"/>
              <w:rPr>
                <w:rFonts w:eastAsia="Times New Roman" w:cs="Times New Roman"/>
                <w:b/>
                <w:color w:val="000000"/>
                <w:sz w:val="20"/>
                <w:szCs w:val="20"/>
              </w:rPr>
            </w:pPr>
            <w:r w:rsidRPr="00C34CE2">
              <w:rPr>
                <w:rFonts w:eastAsia="Times New Roman"/>
                <w:b/>
                <w:color w:val="000000"/>
                <w:sz w:val="20"/>
                <w:szCs w:val="20"/>
              </w:rPr>
              <w:t xml:space="preserve"> 257,185,600 </w:t>
            </w:r>
          </w:p>
        </w:tc>
        <w:tc>
          <w:tcPr>
            <w:tcW w:w="1275" w:type="dxa"/>
            <w:tcBorders>
              <w:top w:val="dotted" w:sz="4" w:space="0" w:color="auto"/>
              <w:left w:val="nil"/>
              <w:bottom w:val="dotted" w:sz="4" w:space="0" w:color="auto"/>
              <w:right w:val="nil"/>
            </w:tcBorders>
            <w:shd w:val="clear" w:color="auto" w:fill="auto"/>
            <w:noWrap/>
            <w:vAlign w:val="bottom"/>
            <w:hideMark/>
          </w:tcPr>
          <w:p w14:paraId="13C14072" w14:textId="2C553693"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olor w:val="000000"/>
                <w:sz w:val="20"/>
                <w:szCs w:val="20"/>
              </w:rPr>
              <w:t>10%</w:t>
            </w:r>
          </w:p>
        </w:tc>
      </w:tr>
      <w:tr w:rsidR="00C34CE2" w:rsidRPr="002B2C66" w14:paraId="3434019C" w14:textId="77777777" w:rsidTr="004B66CE">
        <w:trPr>
          <w:trHeight w:val="280"/>
        </w:trPr>
        <w:tc>
          <w:tcPr>
            <w:tcW w:w="284" w:type="dxa"/>
            <w:tcBorders>
              <w:top w:val="dotted" w:sz="4" w:space="0" w:color="auto"/>
              <w:left w:val="nil"/>
              <w:bottom w:val="dotted" w:sz="4" w:space="0" w:color="auto"/>
              <w:right w:val="nil"/>
            </w:tcBorders>
            <w:shd w:val="clear" w:color="auto" w:fill="F79646" w:themeFill="accent6"/>
          </w:tcPr>
          <w:p w14:paraId="4AF32909" w14:textId="77777777" w:rsidR="00C34CE2" w:rsidRPr="002B2C66" w:rsidRDefault="00C34CE2" w:rsidP="00F150DD">
            <w:pPr>
              <w:spacing w:before="0" w:after="0"/>
              <w:jc w:val="left"/>
              <w:rPr>
                <w:rFonts w:eastAsia="Times New Roman" w:cs="Times New Roman"/>
                <w:color w:val="000000"/>
                <w:sz w:val="20"/>
                <w:szCs w:val="20"/>
              </w:rPr>
            </w:pPr>
          </w:p>
        </w:tc>
        <w:tc>
          <w:tcPr>
            <w:tcW w:w="3118" w:type="dxa"/>
            <w:tcBorders>
              <w:top w:val="dotted" w:sz="4" w:space="0" w:color="auto"/>
              <w:left w:val="nil"/>
              <w:bottom w:val="dotted" w:sz="4" w:space="0" w:color="auto"/>
              <w:right w:val="nil"/>
            </w:tcBorders>
            <w:shd w:val="clear" w:color="auto" w:fill="auto"/>
            <w:noWrap/>
            <w:vAlign w:val="bottom"/>
            <w:hideMark/>
          </w:tcPr>
          <w:p w14:paraId="4F55A861" w14:textId="3B446C15" w:rsidR="00C34CE2" w:rsidRPr="002B2C66" w:rsidRDefault="00C34CE2" w:rsidP="00F150DD">
            <w:pPr>
              <w:spacing w:before="0" w:after="0"/>
              <w:jc w:val="left"/>
              <w:rPr>
                <w:rFonts w:eastAsia="Times New Roman" w:cs="Times New Roman"/>
                <w:color w:val="000000"/>
                <w:sz w:val="20"/>
                <w:szCs w:val="20"/>
              </w:rPr>
            </w:pPr>
            <w:r w:rsidRPr="002B2C66">
              <w:rPr>
                <w:rFonts w:eastAsia="Times New Roman" w:cs="Times New Roman"/>
                <w:color w:val="000000"/>
                <w:sz w:val="20"/>
                <w:szCs w:val="20"/>
              </w:rPr>
              <w:t>Industrija, poduzetništvo i obrtništvo</w:t>
            </w:r>
          </w:p>
        </w:tc>
        <w:tc>
          <w:tcPr>
            <w:tcW w:w="1134" w:type="dxa"/>
            <w:tcBorders>
              <w:top w:val="dotted" w:sz="4" w:space="0" w:color="auto"/>
              <w:left w:val="nil"/>
              <w:bottom w:val="dotted" w:sz="4" w:space="0" w:color="auto"/>
              <w:right w:val="nil"/>
            </w:tcBorders>
            <w:shd w:val="clear" w:color="auto" w:fill="auto"/>
            <w:noWrap/>
            <w:vAlign w:val="bottom"/>
            <w:hideMark/>
          </w:tcPr>
          <w:p w14:paraId="7C51C8E3" w14:textId="12C64241" w:rsidR="00C34CE2" w:rsidRPr="00C34CE2" w:rsidRDefault="00C34CE2" w:rsidP="00F150DD">
            <w:pPr>
              <w:spacing w:before="0" w:after="0"/>
              <w:jc w:val="right"/>
              <w:rPr>
                <w:rFonts w:eastAsia="Times New Roman" w:cs="Times New Roman"/>
                <w:b/>
                <w:bCs/>
                <w:color w:val="000000"/>
                <w:sz w:val="20"/>
                <w:szCs w:val="20"/>
              </w:rPr>
            </w:pPr>
            <w:r w:rsidRPr="00C34CE2">
              <w:rPr>
                <w:rFonts w:eastAsia="Times New Roman" w:cs="Times New Roman"/>
                <w:b/>
                <w:bCs/>
                <w:color w:val="000000"/>
                <w:sz w:val="20"/>
                <w:szCs w:val="20"/>
              </w:rPr>
              <w:t>11</w:t>
            </w:r>
          </w:p>
        </w:tc>
        <w:tc>
          <w:tcPr>
            <w:tcW w:w="1418" w:type="dxa"/>
            <w:tcBorders>
              <w:top w:val="dotted" w:sz="4" w:space="0" w:color="auto"/>
              <w:left w:val="nil"/>
              <w:bottom w:val="dotted" w:sz="4" w:space="0" w:color="auto"/>
              <w:right w:val="nil"/>
            </w:tcBorders>
            <w:shd w:val="clear" w:color="auto" w:fill="auto"/>
            <w:noWrap/>
            <w:vAlign w:val="bottom"/>
            <w:hideMark/>
          </w:tcPr>
          <w:p w14:paraId="6894A1E0" w14:textId="3333A843"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s="Times New Roman"/>
                <w:color w:val="000000"/>
                <w:sz w:val="20"/>
                <w:szCs w:val="20"/>
              </w:rPr>
              <w:t>6%</w:t>
            </w:r>
          </w:p>
        </w:tc>
        <w:tc>
          <w:tcPr>
            <w:tcW w:w="1843" w:type="dxa"/>
            <w:tcBorders>
              <w:top w:val="dotted" w:sz="4" w:space="0" w:color="auto"/>
              <w:left w:val="nil"/>
              <w:bottom w:val="dotted" w:sz="4" w:space="0" w:color="auto"/>
              <w:right w:val="nil"/>
            </w:tcBorders>
            <w:shd w:val="clear" w:color="auto" w:fill="auto"/>
            <w:noWrap/>
            <w:vAlign w:val="bottom"/>
            <w:hideMark/>
          </w:tcPr>
          <w:p w14:paraId="70447FA1" w14:textId="3FAB6DC5" w:rsidR="00C34CE2" w:rsidRPr="00C34CE2" w:rsidRDefault="00C34CE2" w:rsidP="00F150DD">
            <w:pPr>
              <w:spacing w:before="0" w:after="0"/>
              <w:jc w:val="right"/>
              <w:rPr>
                <w:rFonts w:eastAsia="Times New Roman" w:cs="Times New Roman"/>
                <w:b/>
                <w:color w:val="000000"/>
                <w:sz w:val="20"/>
                <w:szCs w:val="20"/>
              </w:rPr>
            </w:pPr>
            <w:r w:rsidRPr="00C34CE2">
              <w:rPr>
                <w:rFonts w:eastAsia="Times New Roman"/>
                <w:b/>
                <w:color w:val="000000"/>
                <w:sz w:val="20"/>
                <w:szCs w:val="20"/>
              </w:rPr>
              <w:t xml:space="preserve"> 67,202,847 </w:t>
            </w:r>
          </w:p>
        </w:tc>
        <w:tc>
          <w:tcPr>
            <w:tcW w:w="1275" w:type="dxa"/>
            <w:tcBorders>
              <w:top w:val="dotted" w:sz="4" w:space="0" w:color="auto"/>
              <w:left w:val="nil"/>
              <w:bottom w:val="dotted" w:sz="4" w:space="0" w:color="auto"/>
              <w:right w:val="nil"/>
            </w:tcBorders>
            <w:shd w:val="clear" w:color="auto" w:fill="auto"/>
            <w:noWrap/>
            <w:vAlign w:val="bottom"/>
            <w:hideMark/>
          </w:tcPr>
          <w:p w14:paraId="72229827" w14:textId="23833B01"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olor w:val="000000"/>
                <w:sz w:val="20"/>
                <w:szCs w:val="20"/>
              </w:rPr>
              <w:t>3%</w:t>
            </w:r>
          </w:p>
        </w:tc>
      </w:tr>
      <w:tr w:rsidR="00C34CE2" w:rsidRPr="002B2C66" w14:paraId="5AE66D80" w14:textId="77777777" w:rsidTr="00C01673">
        <w:trPr>
          <w:trHeight w:val="280"/>
        </w:trPr>
        <w:tc>
          <w:tcPr>
            <w:tcW w:w="284" w:type="dxa"/>
            <w:tcBorders>
              <w:top w:val="dotted" w:sz="4" w:space="0" w:color="auto"/>
              <w:left w:val="nil"/>
              <w:bottom w:val="dotted" w:sz="4" w:space="0" w:color="auto"/>
              <w:right w:val="nil"/>
            </w:tcBorders>
            <w:shd w:val="clear" w:color="auto" w:fill="804002"/>
          </w:tcPr>
          <w:p w14:paraId="009414FE" w14:textId="77777777" w:rsidR="00C34CE2" w:rsidRPr="002B2C66" w:rsidRDefault="00C34CE2" w:rsidP="00F150DD">
            <w:pPr>
              <w:spacing w:before="0" w:after="0"/>
              <w:jc w:val="left"/>
              <w:rPr>
                <w:rFonts w:eastAsia="Times New Roman" w:cs="Times New Roman"/>
                <w:color w:val="000000"/>
                <w:sz w:val="20"/>
                <w:szCs w:val="20"/>
              </w:rPr>
            </w:pPr>
          </w:p>
        </w:tc>
        <w:tc>
          <w:tcPr>
            <w:tcW w:w="3118" w:type="dxa"/>
            <w:tcBorders>
              <w:top w:val="dotted" w:sz="4" w:space="0" w:color="auto"/>
              <w:left w:val="nil"/>
              <w:bottom w:val="dotted" w:sz="4" w:space="0" w:color="auto"/>
              <w:right w:val="nil"/>
            </w:tcBorders>
            <w:shd w:val="clear" w:color="auto" w:fill="auto"/>
            <w:noWrap/>
            <w:vAlign w:val="bottom"/>
            <w:hideMark/>
          </w:tcPr>
          <w:p w14:paraId="4A2E97CF" w14:textId="6D7A1C14" w:rsidR="00C34CE2" w:rsidRPr="002B2C66" w:rsidRDefault="00C34CE2" w:rsidP="00F150DD">
            <w:pPr>
              <w:spacing w:before="0" w:after="0"/>
              <w:jc w:val="left"/>
              <w:rPr>
                <w:rFonts w:eastAsia="Times New Roman" w:cs="Times New Roman"/>
                <w:color w:val="000000"/>
                <w:sz w:val="20"/>
                <w:szCs w:val="20"/>
              </w:rPr>
            </w:pPr>
            <w:r w:rsidRPr="002B2C66">
              <w:rPr>
                <w:rFonts w:eastAsia="Times New Roman" w:cs="Times New Roman"/>
                <w:color w:val="000000"/>
                <w:sz w:val="20"/>
                <w:szCs w:val="20"/>
              </w:rPr>
              <w:t>Poljoprivreda i ruralni razvoj</w:t>
            </w:r>
          </w:p>
        </w:tc>
        <w:tc>
          <w:tcPr>
            <w:tcW w:w="1134" w:type="dxa"/>
            <w:tcBorders>
              <w:top w:val="dotted" w:sz="4" w:space="0" w:color="auto"/>
              <w:left w:val="nil"/>
              <w:bottom w:val="dotted" w:sz="4" w:space="0" w:color="auto"/>
              <w:right w:val="nil"/>
            </w:tcBorders>
            <w:shd w:val="clear" w:color="auto" w:fill="auto"/>
            <w:noWrap/>
            <w:vAlign w:val="bottom"/>
            <w:hideMark/>
          </w:tcPr>
          <w:p w14:paraId="03B9F2FF" w14:textId="20A92B4E" w:rsidR="00C34CE2" w:rsidRPr="00C34CE2" w:rsidRDefault="00C34CE2" w:rsidP="00F150DD">
            <w:pPr>
              <w:spacing w:before="0" w:after="0"/>
              <w:jc w:val="right"/>
              <w:rPr>
                <w:rFonts w:eastAsia="Times New Roman" w:cs="Times New Roman"/>
                <w:b/>
                <w:bCs/>
                <w:color w:val="000000"/>
                <w:sz w:val="20"/>
                <w:szCs w:val="20"/>
              </w:rPr>
            </w:pPr>
            <w:r w:rsidRPr="00C34CE2">
              <w:rPr>
                <w:rFonts w:eastAsia="Times New Roman" w:cs="Times New Roman"/>
                <w:b/>
                <w:bCs/>
                <w:color w:val="000000"/>
                <w:sz w:val="20"/>
                <w:szCs w:val="20"/>
              </w:rPr>
              <w:t>6</w:t>
            </w:r>
          </w:p>
        </w:tc>
        <w:tc>
          <w:tcPr>
            <w:tcW w:w="1418" w:type="dxa"/>
            <w:tcBorders>
              <w:top w:val="dotted" w:sz="4" w:space="0" w:color="auto"/>
              <w:left w:val="nil"/>
              <w:bottom w:val="dotted" w:sz="4" w:space="0" w:color="auto"/>
              <w:right w:val="nil"/>
            </w:tcBorders>
            <w:shd w:val="clear" w:color="auto" w:fill="auto"/>
            <w:noWrap/>
            <w:vAlign w:val="bottom"/>
            <w:hideMark/>
          </w:tcPr>
          <w:p w14:paraId="0FABE2CD" w14:textId="04DF48E4"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s="Times New Roman"/>
                <w:color w:val="000000"/>
                <w:sz w:val="20"/>
                <w:szCs w:val="20"/>
              </w:rPr>
              <w:t>3%</w:t>
            </w:r>
          </w:p>
        </w:tc>
        <w:tc>
          <w:tcPr>
            <w:tcW w:w="1843" w:type="dxa"/>
            <w:tcBorders>
              <w:top w:val="dotted" w:sz="4" w:space="0" w:color="auto"/>
              <w:left w:val="nil"/>
              <w:bottom w:val="dotted" w:sz="4" w:space="0" w:color="auto"/>
              <w:right w:val="nil"/>
            </w:tcBorders>
            <w:shd w:val="clear" w:color="auto" w:fill="auto"/>
            <w:noWrap/>
            <w:vAlign w:val="bottom"/>
            <w:hideMark/>
          </w:tcPr>
          <w:p w14:paraId="18936FE9" w14:textId="24E0119E" w:rsidR="00C34CE2" w:rsidRPr="00C34CE2" w:rsidRDefault="00C34CE2" w:rsidP="00F150DD">
            <w:pPr>
              <w:spacing w:before="0" w:after="0"/>
              <w:jc w:val="right"/>
              <w:rPr>
                <w:rFonts w:eastAsia="Times New Roman" w:cs="Times New Roman"/>
                <w:b/>
                <w:color w:val="000000"/>
                <w:sz w:val="20"/>
                <w:szCs w:val="20"/>
              </w:rPr>
            </w:pPr>
            <w:r w:rsidRPr="00C34CE2">
              <w:rPr>
                <w:rFonts w:eastAsia="Times New Roman"/>
                <w:b/>
                <w:color w:val="000000"/>
                <w:sz w:val="20"/>
                <w:szCs w:val="20"/>
              </w:rPr>
              <w:t xml:space="preserve"> 31,580,000 </w:t>
            </w:r>
          </w:p>
        </w:tc>
        <w:tc>
          <w:tcPr>
            <w:tcW w:w="1275" w:type="dxa"/>
            <w:tcBorders>
              <w:top w:val="dotted" w:sz="4" w:space="0" w:color="auto"/>
              <w:left w:val="nil"/>
              <w:bottom w:val="dotted" w:sz="4" w:space="0" w:color="auto"/>
              <w:right w:val="nil"/>
            </w:tcBorders>
            <w:shd w:val="clear" w:color="auto" w:fill="auto"/>
            <w:noWrap/>
            <w:vAlign w:val="bottom"/>
            <w:hideMark/>
          </w:tcPr>
          <w:p w14:paraId="0635D985" w14:textId="2121CC38"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olor w:val="000000"/>
                <w:sz w:val="20"/>
                <w:szCs w:val="20"/>
              </w:rPr>
              <w:t>1%</w:t>
            </w:r>
          </w:p>
        </w:tc>
      </w:tr>
      <w:tr w:rsidR="00C34CE2" w:rsidRPr="002B2C66" w14:paraId="0116FE7F" w14:textId="77777777" w:rsidTr="00C01673">
        <w:trPr>
          <w:trHeight w:val="280"/>
        </w:trPr>
        <w:tc>
          <w:tcPr>
            <w:tcW w:w="284" w:type="dxa"/>
            <w:tcBorders>
              <w:top w:val="dotted" w:sz="4" w:space="0" w:color="auto"/>
              <w:left w:val="nil"/>
              <w:bottom w:val="dotted" w:sz="4" w:space="0" w:color="auto"/>
              <w:right w:val="nil"/>
            </w:tcBorders>
            <w:shd w:val="clear" w:color="auto" w:fill="0F80FF"/>
          </w:tcPr>
          <w:p w14:paraId="3A490EC4" w14:textId="77777777" w:rsidR="00C34CE2" w:rsidRPr="002B2C66" w:rsidRDefault="00C34CE2" w:rsidP="00F150DD">
            <w:pPr>
              <w:spacing w:before="0" w:after="0"/>
              <w:jc w:val="left"/>
              <w:rPr>
                <w:rFonts w:eastAsia="Times New Roman" w:cs="Times New Roman"/>
                <w:color w:val="000000"/>
                <w:sz w:val="20"/>
                <w:szCs w:val="20"/>
              </w:rPr>
            </w:pPr>
          </w:p>
        </w:tc>
        <w:tc>
          <w:tcPr>
            <w:tcW w:w="3118" w:type="dxa"/>
            <w:tcBorders>
              <w:top w:val="dotted" w:sz="4" w:space="0" w:color="auto"/>
              <w:left w:val="nil"/>
              <w:bottom w:val="dotted" w:sz="4" w:space="0" w:color="auto"/>
              <w:right w:val="nil"/>
            </w:tcBorders>
            <w:shd w:val="clear" w:color="auto" w:fill="auto"/>
            <w:noWrap/>
            <w:vAlign w:val="bottom"/>
            <w:hideMark/>
          </w:tcPr>
          <w:p w14:paraId="5503AB74" w14:textId="4BF61323" w:rsidR="00C34CE2" w:rsidRPr="002B2C66" w:rsidRDefault="00C34CE2" w:rsidP="00F150DD">
            <w:pPr>
              <w:spacing w:before="0" w:after="0"/>
              <w:jc w:val="left"/>
              <w:rPr>
                <w:rFonts w:eastAsia="Times New Roman" w:cs="Times New Roman"/>
                <w:color w:val="000000"/>
                <w:sz w:val="20"/>
                <w:szCs w:val="20"/>
              </w:rPr>
            </w:pPr>
            <w:r w:rsidRPr="002B2C66">
              <w:rPr>
                <w:rFonts w:eastAsia="Times New Roman" w:cs="Times New Roman"/>
                <w:color w:val="000000"/>
                <w:sz w:val="20"/>
                <w:szCs w:val="20"/>
              </w:rPr>
              <w:t>Obrazovanje, znanost i ljudski potencijali</w:t>
            </w:r>
          </w:p>
        </w:tc>
        <w:tc>
          <w:tcPr>
            <w:tcW w:w="1134" w:type="dxa"/>
            <w:tcBorders>
              <w:top w:val="dotted" w:sz="4" w:space="0" w:color="auto"/>
              <w:left w:val="nil"/>
              <w:bottom w:val="dotted" w:sz="4" w:space="0" w:color="auto"/>
              <w:right w:val="nil"/>
            </w:tcBorders>
            <w:shd w:val="clear" w:color="auto" w:fill="auto"/>
            <w:noWrap/>
            <w:vAlign w:val="bottom"/>
            <w:hideMark/>
          </w:tcPr>
          <w:p w14:paraId="7B669A9C" w14:textId="27DE16AB" w:rsidR="00C34CE2" w:rsidRPr="00C34CE2" w:rsidRDefault="00C34CE2" w:rsidP="00F150DD">
            <w:pPr>
              <w:spacing w:before="0" w:after="0"/>
              <w:jc w:val="right"/>
              <w:rPr>
                <w:rFonts w:eastAsia="Times New Roman" w:cs="Times New Roman"/>
                <w:b/>
                <w:bCs/>
                <w:color w:val="000000"/>
                <w:sz w:val="20"/>
                <w:szCs w:val="20"/>
              </w:rPr>
            </w:pPr>
            <w:r w:rsidRPr="00C34CE2">
              <w:rPr>
                <w:rFonts w:eastAsia="Times New Roman" w:cs="Times New Roman"/>
                <w:b/>
                <w:bCs/>
                <w:color w:val="000000"/>
                <w:sz w:val="20"/>
                <w:szCs w:val="20"/>
              </w:rPr>
              <w:t>18</w:t>
            </w:r>
          </w:p>
        </w:tc>
        <w:tc>
          <w:tcPr>
            <w:tcW w:w="1418" w:type="dxa"/>
            <w:tcBorders>
              <w:top w:val="dotted" w:sz="4" w:space="0" w:color="auto"/>
              <w:left w:val="nil"/>
              <w:bottom w:val="dotted" w:sz="4" w:space="0" w:color="auto"/>
              <w:right w:val="nil"/>
            </w:tcBorders>
            <w:shd w:val="clear" w:color="auto" w:fill="auto"/>
            <w:noWrap/>
            <w:vAlign w:val="bottom"/>
            <w:hideMark/>
          </w:tcPr>
          <w:p w14:paraId="2A465ECA" w14:textId="51B34537"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s="Times New Roman"/>
                <w:color w:val="000000"/>
                <w:sz w:val="20"/>
                <w:szCs w:val="20"/>
              </w:rPr>
              <w:t>10%</w:t>
            </w:r>
          </w:p>
        </w:tc>
        <w:tc>
          <w:tcPr>
            <w:tcW w:w="1843" w:type="dxa"/>
            <w:tcBorders>
              <w:top w:val="dotted" w:sz="4" w:space="0" w:color="auto"/>
              <w:left w:val="nil"/>
              <w:bottom w:val="dotted" w:sz="4" w:space="0" w:color="auto"/>
              <w:right w:val="nil"/>
            </w:tcBorders>
            <w:shd w:val="clear" w:color="auto" w:fill="auto"/>
            <w:noWrap/>
            <w:vAlign w:val="bottom"/>
            <w:hideMark/>
          </w:tcPr>
          <w:p w14:paraId="51DE7DFF" w14:textId="6FF6DB53" w:rsidR="00C34CE2" w:rsidRPr="00C34CE2" w:rsidRDefault="00C34CE2" w:rsidP="004B66CE">
            <w:pPr>
              <w:spacing w:before="0" w:after="0"/>
              <w:jc w:val="right"/>
              <w:rPr>
                <w:rFonts w:eastAsia="Times New Roman" w:cs="Times New Roman"/>
                <w:b/>
                <w:color w:val="000000"/>
                <w:sz w:val="20"/>
                <w:szCs w:val="20"/>
              </w:rPr>
            </w:pPr>
            <w:r w:rsidRPr="00C34CE2">
              <w:rPr>
                <w:rFonts w:eastAsia="Times New Roman"/>
                <w:b/>
                <w:color w:val="000000"/>
                <w:sz w:val="20"/>
                <w:szCs w:val="20"/>
              </w:rPr>
              <w:t xml:space="preserve"> 184,979,545 </w:t>
            </w:r>
          </w:p>
        </w:tc>
        <w:tc>
          <w:tcPr>
            <w:tcW w:w="1275" w:type="dxa"/>
            <w:tcBorders>
              <w:top w:val="dotted" w:sz="4" w:space="0" w:color="auto"/>
              <w:left w:val="nil"/>
              <w:bottom w:val="dotted" w:sz="4" w:space="0" w:color="auto"/>
              <w:right w:val="nil"/>
            </w:tcBorders>
            <w:shd w:val="clear" w:color="auto" w:fill="auto"/>
            <w:noWrap/>
            <w:vAlign w:val="bottom"/>
            <w:hideMark/>
          </w:tcPr>
          <w:p w14:paraId="5E586B3D" w14:textId="4086F864"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olor w:val="000000"/>
                <w:sz w:val="20"/>
                <w:szCs w:val="20"/>
              </w:rPr>
              <w:t>7%</w:t>
            </w:r>
          </w:p>
        </w:tc>
      </w:tr>
      <w:tr w:rsidR="00C34CE2" w:rsidRPr="002B2C66" w14:paraId="387360F0" w14:textId="77777777" w:rsidTr="00C01673">
        <w:trPr>
          <w:trHeight w:val="280"/>
        </w:trPr>
        <w:tc>
          <w:tcPr>
            <w:tcW w:w="284" w:type="dxa"/>
            <w:tcBorders>
              <w:top w:val="dotted" w:sz="4" w:space="0" w:color="auto"/>
              <w:left w:val="nil"/>
              <w:bottom w:val="single" w:sz="4" w:space="0" w:color="auto"/>
              <w:right w:val="nil"/>
            </w:tcBorders>
            <w:shd w:val="clear" w:color="auto" w:fill="A6A6A6" w:themeFill="background1" w:themeFillShade="A6"/>
          </w:tcPr>
          <w:p w14:paraId="6250CD62" w14:textId="77777777" w:rsidR="00C34CE2" w:rsidRPr="002B2C66" w:rsidRDefault="00C34CE2" w:rsidP="00F150DD">
            <w:pPr>
              <w:spacing w:before="0" w:after="0"/>
              <w:jc w:val="left"/>
              <w:rPr>
                <w:rFonts w:eastAsia="Times New Roman" w:cs="Times New Roman"/>
                <w:color w:val="000000"/>
                <w:sz w:val="20"/>
                <w:szCs w:val="20"/>
              </w:rPr>
            </w:pPr>
          </w:p>
        </w:tc>
        <w:tc>
          <w:tcPr>
            <w:tcW w:w="3118" w:type="dxa"/>
            <w:tcBorders>
              <w:top w:val="dotted" w:sz="4" w:space="0" w:color="auto"/>
              <w:left w:val="nil"/>
              <w:bottom w:val="single" w:sz="4" w:space="0" w:color="auto"/>
              <w:right w:val="nil"/>
            </w:tcBorders>
            <w:shd w:val="clear" w:color="auto" w:fill="auto"/>
            <w:noWrap/>
            <w:vAlign w:val="bottom"/>
            <w:hideMark/>
          </w:tcPr>
          <w:p w14:paraId="6A2E00DC" w14:textId="1FC84D79" w:rsidR="00C34CE2" w:rsidRPr="002B2C66" w:rsidRDefault="00C34CE2" w:rsidP="00F150DD">
            <w:pPr>
              <w:spacing w:before="0" w:after="0"/>
              <w:jc w:val="left"/>
              <w:rPr>
                <w:rFonts w:eastAsia="Times New Roman" w:cs="Times New Roman"/>
                <w:color w:val="000000"/>
                <w:sz w:val="20"/>
                <w:szCs w:val="20"/>
              </w:rPr>
            </w:pPr>
            <w:r w:rsidRPr="002B2C66">
              <w:rPr>
                <w:rFonts w:eastAsia="Times New Roman" w:cs="Times New Roman"/>
                <w:color w:val="000000"/>
                <w:sz w:val="20"/>
                <w:szCs w:val="20"/>
              </w:rPr>
              <w:t>Sigurnost</w:t>
            </w:r>
          </w:p>
        </w:tc>
        <w:tc>
          <w:tcPr>
            <w:tcW w:w="1134" w:type="dxa"/>
            <w:tcBorders>
              <w:top w:val="dotted" w:sz="4" w:space="0" w:color="auto"/>
              <w:left w:val="nil"/>
              <w:bottom w:val="single" w:sz="4" w:space="0" w:color="auto"/>
              <w:right w:val="nil"/>
            </w:tcBorders>
            <w:shd w:val="clear" w:color="auto" w:fill="auto"/>
            <w:noWrap/>
            <w:vAlign w:val="bottom"/>
            <w:hideMark/>
          </w:tcPr>
          <w:p w14:paraId="3276C176" w14:textId="35423E13" w:rsidR="00C34CE2" w:rsidRPr="00C34CE2" w:rsidRDefault="00C34CE2" w:rsidP="00F150DD">
            <w:pPr>
              <w:spacing w:before="0" w:after="0"/>
              <w:jc w:val="right"/>
              <w:rPr>
                <w:rFonts w:eastAsia="Times New Roman" w:cs="Times New Roman"/>
                <w:b/>
                <w:bCs/>
                <w:color w:val="000000"/>
                <w:sz w:val="20"/>
                <w:szCs w:val="20"/>
              </w:rPr>
            </w:pPr>
            <w:r w:rsidRPr="00C34CE2">
              <w:rPr>
                <w:rFonts w:eastAsia="Times New Roman" w:cs="Times New Roman"/>
                <w:b/>
                <w:bCs/>
                <w:color w:val="000000"/>
                <w:sz w:val="20"/>
                <w:szCs w:val="20"/>
              </w:rPr>
              <w:t>4</w:t>
            </w:r>
          </w:p>
        </w:tc>
        <w:tc>
          <w:tcPr>
            <w:tcW w:w="1418" w:type="dxa"/>
            <w:tcBorders>
              <w:top w:val="dotted" w:sz="4" w:space="0" w:color="auto"/>
              <w:left w:val="nil"/>
              <w:bottom w:val="single" w:sz="4" w:space="0" w:color="auto"/>
              <w:right w:val="nil"/>
            </w:tcBorders>
            <w:shd w:val="clear" w:color="auto" w:fill="auto"/>
            <w:noWrap/>
            <w:vAlign w:val="bottom"/>
            <w:hideMark/>
          </w:tcPr>
          <w:p w14:paraId="10E889B0" w14:textId="6F7FBC86"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s="Times New Roman"/>
                <w:color w:val="000000"/>
                <w:sz w:val="20"/>
                <w:szCs w:val="20"/>
              </w:rPr>
              <w:t>2%</w:t>
            </w:r>
          </w:p>
        </w:tc>
        <w:tc>
          <w:tcPr>
            <w:tcW w:w="1843" w:type="dxa"/>
            <w:tcBorders>
              <w:top w:val="dotted" w:sz="4" w:space="0" w:color="auto"/>
              <w:left w:val="nil"/>
              <w:bottom w:val="single" w:sz="4" w:space="0" w:color="auto"/>
              <w:right w:val="nil"/>
            </w:tcBorders>
            <w:shd w:val="clear" w:color="auto" w:fill="auto"/>
            <w:noWrap/>
            <w:vAlign w:val="bottom"/>
            <w:hideMark/>
          </w:tcPr>
          <w:p w14:paraId="2ADFB44D" w14:textId="4662446D" w:rsidR="00C34CE2" w:rsidRPr="00C34CE2" w:rsidRDefault="00C34CE2" w:rsidP="00F150DD">
            <w:pPr>
              <w:spacing w:before="0" w:after="0"/>
              <w:jc w:val="right"/>
              <w:rPr>
                <w:rFonts w:eastAsia="Times New Roman" w:cs="Times New Roman"/>
                <w:b/>
                <w:color w:val="000000"/>
                <w:sz w:val="20"/>
                <w:szCs w:val="20"/>
              </w:rPr>
            </w:pPr>
            <w:r w:rsidRPr="00C34CE2">
              <w:rPr>
                <w:rFonts w:eastAsia="Times New Roman"/>
                <w:b/>
                <w:color w:val="000000"/>
                <w:sz w:val="20"/>
                <w:szCs w:val="20"/>
              </w:rPr>
              <w:t xml:space="preserve"> 20,300,000 </w:t>
            </w:r>
          </w:p>
        </w:tc>
        <w:tc>
          <w:tcPr>
            <w:tcW w:w="1275" w:type="dxa"/>
            <w:tcBorders>
              <w:top w:val="dotted" w:sz="4" w:space="0" w:color="auto"/>
              <w:left w:val="nil"/>
              <w:bottom w:val="single" w:sz="4" w:space="0" w:color="auto"/>
              <w:right w:val="nil"/>
            </w:tcBorders>
            <w:shd w:val="clear" w:color="auto" w:fill="auto"/>
            <w:noWrap/>
            <w:vAlign w:val="bottom"/>
            <w:hideMark/>
          </w:tcPr>
          <w:p w14:paraId="2F144A4E" w14:textId="6A97D53A" w:rsidR="00C34CE2" w:rsidRPr="00C34CE2" w:rsidRDefault="00C34CE2" w:rsidP="006B5143">
            <w:pPr>
              <w:spacing w:before="0" w:after="0"/>
              <w:jc w:val="center"/>
              <w:rPr>
                <w:rFonts w:eastAsia="Times New Roman" w:cs="Times New Roman"/>
                <w:color w:val="000000"/>
                <w:sz w:val="20"/>
                <w:szCs w:val="20"/>
              </w:rPr>
            </w:pPr>
            <w:r w:rsidRPr="00C34CE2">
              <w:rPr>
                <w:rFonts w:eastAsia="Times New Roman"/>
                <w:color w:val="000000"/>
                <w:sz w:val="20"/>
                <w:szCs w:val="20"/>
              </w:rPr>
              <w:t>1%</w:t>
            </w:r>
          </w:p>
        </w:tc>
      </w:tr>
      <w:tr w:rsidR="00C34CE2" w:rsidRPr="002B2C66" w14:paraId="5A32C5BA" w14:textId="77777777" w:rsidTr="006B5143">
        <w:trPr>
          <w:trHeight w:val="280"/>
        </w:trPr>
        <w:tc>
          <w:tcPr>
            <w:tcW w:w="284" w:type="dxa"/>
            <w:tcBorders>
              <w:top w:val="single" w:sz="4" w:space="0" w:color="auto"/>
              <w:left w:val="nil"/>
              <w:bottom w:val="single" w:sz="4" w:space="0" w:color="auto"/>
              <w:right w:val="nil"/>
            </w:tcBorders>
          </w:tcPr>
          <w:p w14:paraId="57A5CA8E" w14:textId="77777777" w:rsidR="00C34CE2" w:rsidRPr="002B2C66" w:rsidRDefault="00C34CE2" w:rsidP="00F150DD">
            <w:pPr>
              <w:spacing w:before="0" w:after="0"/>
              <w:jc w:val="left"/>
              <w:rPr>
                <w:rFonts w:eastAsia="Times New Roman" w:cs="Times New Roman"/>
                <w:b/>
                <w:bCs/>
                <w:color w:val="000000"/>
                <w:sz w:val="20"/>
                <w:szCs w:val="20"/>
              </w:rPr>
            </w:pPr>
          </w:p>
        </w:tc>
        <w:tc>
          <w:tcPr>
            <w:tcW w:w="3118" w:type="dxa"/>
            <w:tcBorders>
              <w:top w:val="single" w:sz="4" w:space="0" w:color="auto"/>
              <w:left w:val="nil"/>
              <w:bottom w:val="single" w:sz="4" w:space="0" w:color="auto"/>
              <w:right w:val="nil"/>
            </w:tcBorders>
            <w:shd w:val="clear" w:color="auto" w:fill="auto"/>
            <w:noWrap/>
            <w:vAlign w:val="bottom"/>
            <w:hideMark/>
          </w:tcPr>
          <w:p w14:paraId="3D5A9F6B" w14:textId="50E40BCE" w:rsidR="00C34CE2" w:rsidRPr="002B2C66" w:rsidRDefault="00C34CE2" w:rsidP="00F150DD">
            <w:pPr>
              <w:spacing w:before="0" w:after="0"/>
              <w:jc w:val="left"/>
              <w:rPr>
                <w:rFonts w:eastAsia="Times New Roman" w:cs="Times New Roman"/>
                <w:b/>
                <w:bCs/>
                <w:color w:val="000000"/>
                <w:sz w:val="20"/>
                <w:szCs w:val="20"/>
              </w:rPr>
            </w:pPr>
            <w:r w:rsidRPr="002B2C66">
              <w:rPr>
                <w:rFonts w:eastAsia="Times New Roman" w:cs="Times New Roman"/>
                <w:b/>
                <w:bCs/>
                <w:color w:val="000000"/>
                <w:sz w:val="20"/>
                <w:szCs w:val="20"/>
              </w:rPr>
              <w:t> </w:t>
            </w:r>
          </w:p>
        </w:tc>
        <w:tc>
          <w:tcPr>
            <w:tcW w:w="1134" w:type="dxa"/>
            <w:tcBorders>
              <w:top w:val="single" w:sz="4" w:space="0" w:color="auto"/>
              <w:left w:val="nil"/>
              <w:bottom w:val="single" w:sz="4" w:space="0" w:color="auto"/>
              <w:right w:val="nil"/>
            </w:tcBorders>
            <w:shd w:val="clear" w:color="auto" w:fill="auto"/>
            <w:noWrap/>
            <w:vAlign w:val="bottom"/>
            <w:hideMark/>
          </w:tcPr>
          <w:p w14:paraId="6B52F2C5" w14:textId="77777777" w:rsidR="00C34CE2" w:rsidRPr="00C34CE2" w:rsidRDefault="00C34CE2" w:rsidP="00F150DD">
            <w:pPr>
              <w:spacing w:before="0" w:after="0"/>
              <w:jc w:val="right"/>
              <w:rPr>
                <w:rFonts w:eastAsia="Times New Roman" w:cs="Times New Roman"/>
                <w:b/>
                <w:bCs/>
                <w:color w:val="000000"/>
                <w:sz w:val="20"/>
                <w:szCs w:val="20"/>
              </w:rPr>
            </w:pPr>
            <w:r w:rsidRPr="00C34CE2">
              <w:rPr>
                <w:rFonts w:eastAsia="Times New Roman" w:cs="Times New Roman"/>
                <w:b/>
                <w:bCs/>
                <w:color w:val="000000"/>
                <w:sz w:val="20"/>
                <w:szCs w:val="20"/>
              </w:rPr>
              <w:t>166</w:t>
            </w:r>
          </w:p>
        </w:tc>
        <w:tc>
          <w:tcPr>
            <w:tcW w:w="1418" w:type="dxa"/>
            <w:tcBorders>
              <w:top w:val="single" w:sz="4" w:space="0" w:color="auto"/>
              <w:left w:val="nil"/>
              <w:bottom w:val="single" w:sz="4" w:space="0" w:color="auto"/>
              <w:right w:val="nil"/>
            </w:tcBorders>
            <w:shd w:val="clear" w:color="auto" w:fill="auto"/>
            <w:noWrap/>
            <w:vAlign w:val="bottom"/>
            <w:hideMark/>
          </w:tcPr>
          <w:p w14:paraId="68387157" w14:textId="7781A67A" w:rsidR="00C34CE2" w:rsidRPr="00C34CE2" w:rsidRDefault="00C34CE2" w:rsidP="006B5143">
            <w:pPr>
              <w:spacing w:before="0" w:after="0"/>
              <w:jc w:val="center"/>
              <w:rPr>
                <w:rFonts w:eastAsia="Times New Roman" w:cs="Times New Roman"/>
                <w:b/>
                <w:bCs/>
                <w:color w:val="000000"/>
                <w:sz w:val="20"/>
                <w:szCs w:val="20"/>
              </w:rPr>
            </w:pPr>
            <w:r w:rsidRPr="00C34CE2">
              <w:rPr>
                <w:rFonts w:eastAsia="Times New Roman" w:cs="Times New Roman"/>
                <w:b/>
                <w:bCs/>
                <w:color w:val="000000"/>
                <w:sz w:val="20"/>
                <w:szCs w:val="20"/>
              </w:rPr>
              <w:t>100%</w:t>
            </w:r>
          </w:p>
        </w:tc>
        <w:tc>
          <w:tcPr>
            <w:tcW w:w="1843" w:type="dxa"/>
            <w:tcBorders>
              <w:top w:val="single" w:sz="4" w:space="0" w:color="auto"/>
              <w:left w:val="nil"/>
              <w:bottom w:val="single" w:sz="4" w:space="0" w:color="auto"/>
              <w:right w:val="nil"/>
            </w:tcBorders>
            <w:shd w:val="clear" w:color="auto" w:fill="auto"/>
            <w:noWrap/>
            <w:vAlign w:val="bottom"/>
            <w:hideMark/>
          </w:tcPr>
          <w:p w14:paraId="173AE6B5" w14:textId="53BFA05C" w:rsidR="00C34CE2" w:rsidRPr="00C34CE2" w:rsidRDefault="00C34CE2" w:rsidP="00F150DD">
            <w:pPr>
              <w:spacing w:before="0" w:after="0"/>
              <w:jc w:val="right"/>
              <w:rPr>
                <w:rFonts w:eastAsia="Times New Roman" w:cs="Times New Roman"/>
                <w:b/>
                <w:bCs/>
                <w:color w:val="000000"/>
                <w:sz w:val="20"/>
                <w:szCs w:val="20"/>
              </w:rPr>
            </w:pPr>
            <w:r w:rsidRPr="00C34CE2">
              <w:rPr>
                <w:rFonts w:eastAsia="Times New Roman"/>
                <w:b/>
                <w:bCs/>
                <w:color w:val="000000"/>
                <w:sz w:val="20"/>
                <w:szCs w:val="20"/>
              </w:rPr>
              <w:t xml:space="preserve"> 2,530,812,727 </w:t>
            </w:r>
          </w:p>
        </w:tc>
        <w:tc>
          <w:tcPr>
            <w:tcW w:w="1275" w:type="dxa"/>
            <w:tcBorders>
              <w:top w:val="single" w:sz="4" w:space="0" w:color="auto"/>
              <w:left w:val="nil"/>
              <w:bottom w:val="single" w:sz="4" w:space="0" w:color="auto"/>
              <w:right w:val="nil"/>
            </w:tcBorders>
            <w:shd w:val="clear" w:color="auto" w:fill="auto"/>
            <w:noWrap/>
            <w:vAlign w:val="bottom"/>
            <w:hideMark/>
          </w:tcPr>
          <w:p w14:paraId="38F9976B" w14:textId="5A0FCEA4" w:rsidR="00C34CE2" w:rsidRPr="00C34CE2" w:rsidRDefault="00C34CE2" w:rsidP="006B5143">
            <w:pPr>
              <w:spacing w:before="0" w:after="0"/>
              <w:jc w:val="center"/>
              <w:rPr>
                <w:rFonts w:eastAsia="Times New Roman" w:cs="Times New Roman"/>
                <w:b/>
                <w:bCs/>
                <w:color w:val="000000"/>
                <w:sz w:val="20"/>
                <w:szCs w:val="20"/>
              </w:rPr>
            </w:pPr>
            <w:r w:rsidRPr="00C34CE2">
              <w:rPr>
                <w:rFonts w:eastAsia="Times New Roman"/>
                <w:b/>
                <w:bCs/>
                <w:color w:val="000000"/>
                <w:sz w:val="20"/>
                <w:szCs w:val="20"/>
              </w:rPr>
              <w:t>100%</w:t>
            </w:r>
          </w:p>
        </w:tc>
      </w:tr>
    </w:tbl>
    <w:p w14:paraId="3386B30D" w14:textId="12BCEF1B" w:rsidR="007F2A0C" w:rsidRDefault="007F2A0C" w:rsidP="007F2A0C">
      <w:r>
        <w:t xml:space="preserve">U sve tri JLS </w:t>
      </w:r>
      <w:r w:rsidR="00834807" w:rsidRPr="009B5DDC">
        <w:rPr>
          <w:b/>
        </w:rPr>
        <w:t>dominiraju projekti u domenama K</w:t>
      </w:r>
      <w:r w:rsidRPr="009B5DDC">
        <w:rPr>
          <w:b/>
        </w:rPr>
        <w:t xml:space="preserve">ulture, turizma i sporta, Mobilnosti, pristupačnosti i </w:t>
      </w:r>
      <w:r w:rsidR="00834807" w:rsidRPr="009B5DDC">
        <w:rPr>
          <w:b/>
        </w:rPr>
        <w:t>prometa te Energije, okoliša i prirode</w:t>
      </w:r>
      <w:r w:rsidR="00834807">
        <w:t>.</w:t>
      </w:r>
    </w:p>
    <w:p w14:paraId="1CA9F385" w14:textId="038374B8" w:rsidR="004B66CE" w:rsidRDefault="00117274" w:rsidP="009F32AD">
      <w:pPr>
        <w:pStyle w:val="Caption"/>
      </w:pPr>
      <w:bookmarkStart w:id="93" w:name="_Toc437387465"/>
      <w:r>
        <w:t xml:space="preserve">Dijagram </w:t>
      </w:r>
      <w:r>
        <w:fldChar w:fldCharType="begin"/>
      </w:r>
      <w:r>
        <w:instrText xml:space="preserve"> SEQ Dijagram \* ARABIC </w:instrText>
      </w:r>
      <w:r>
        <w:fldChar w:fldCharType="separate"/>
      </w:r>
      <w:r w:rsidR="001358A9">
        <w:rPr>
          <w:noProof/>
        </w:rPr>
        <w:t>2</w:t>
      </w:r>
      <w:r>
        <w:fldChar w:fldCharType="end"/>
      </w:r>
      <w:r w:rsidR="00FD4908">
        <w:t>. Broj</w:t>
      </w:r>
      <w:r w:rsidR="00C01673">
        <w:t xml:space="preserve"> projekata </w:t>
      </w:r>
      <w:r>
        <w:t xml:space="preserve">u inicijalnoj bazi, </w:t>
      </w:r>
      <w:r w:rsidR="00C01673">
        <w:t>po planskim domenama i JLS</w:t>
      </w:r>
      <w:bookmarkEnd w:id="93"/>
    </w:p>
    <w:p w14:paraId="2B77551A" w14:textId="31C08E14" w:rsidR="00C34CE2" w:rsidRDefault="00C34CE2">
      <w:r>
        <w:rPr>
          <w:noProof/>
          <w:lang w:val="en-US"/>
        </w:rPr>
        <w:drawing>
          <wp:inline distT="0" distB="0" distL="0" distR="0" wp14:anchorId="43175AF3" wp14:editId="6775D723">
            <wp:extent cx="5717328" cy="2898352"/>
            <wp:effectExtent l="0" t="0" r="23495" b="2286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74F2B06" w14:textId="42B4FC4F" w:rsidR="00745106" w:rsidRDefault="006B5143">
      <w:r>
        <w:t xml:space="preserve">Što se tiče prostorne raspodjele, </w:t>
      </w:r>
      <w:r w:rsidRPr="009B5DDC">
        <w:rPr>
          <w:b/>
        </w:rPr>
        <w:t xml:space="preserve">projekti su ravnomjerno raspoređeni na </w:t>
      </w:r>
      <w:r w:rsidR="008F39EB">
        <w:rPr>
          <w:b/>
        </w:rPr>
        <w:t>cijelom urbanom</w:t>
      </w:r>
      <w:r w:rsidRPr="009B5DDC">
        <w:rPr>
          <w:b/>
        </w:rPr>
        <w:t xml:space="preserve"> područj</w:t>
      </w:r>
      <w:r w:rsidR="008F39EB">
        <w:rPr>
          <w:b/>
        </w:rPr>
        <w:t>u</w:t>
      </w:r>
      <w:r>
        <w:t xml:space="preserve"> (s očekivanom koncentracijom u urbanim centrima, odnosno naseljima Karlovac, Ozalj i Duga Resa), </w:t>
      </w:r>
      <w:r w:rsidR="008F39EB">
        <w:t>iako</w:t>
      </w:r>
      <w:r>
        <w:t xml:space="preserve"> se po vrijednosti proje</w:t>
      </w:r>
      <w:r w:rsidR="003729FA">
        <w:t>kata ističu oni u Gradu K</w:t>
      </w:r>
      <w:r>
        <w:t>arlovcu, iz razloga uključenja</w:t>
      </w:r>
      <w:r w:rsidR="003729FA">
        <w:t xml:space="preserve"> nekoliko iznimno velikih i dugoročnih projekata </w:t>
      </w:r>
      <w:r w:rsidR="00C01673">
        <w:t xml:space="preserve">regionalnog značaja </w:t>
      </w:r>
      <w:r w:rsidR="003729FA">
        <w:t>u analizu</w:t>
      </w:r>
      <w:r w:rsidR="007F2A0C">
        <w:rPr>
          <w:rStyle w:val="FootnoteReference"/>
        </w:rPr>
        <w:footnoteReference w:id="26"/>
      </w:r>
      <w:r w:rsidR="003729FA">
        <w:t>:</w:t>
      </w:r>
    </w:p>
    <w:p w14:paraId="17459F5A" w14:textId="5C0E45A2" w:rsidR="00C01673" w:rsidRPr="00745106" w:rsidRDefault="00117274" w:rsidP="00117274">
      <w:pPr>
        <w:pStyle w:val="Caption"/>
      </w:pPr>
      <w:bookmarkStart w:id="94" w:name="_Toc437387510"/>
      <w:r>
        <w:t xml:space="preserve">Tablica </w:t>
      </w:r>
      <w:r>
        <w:fldChar w:fldCharType="begin"/>
      </w:r>
      <w:r>
        <w:instrText xml:space="preserve"> SEQ Tablica \* ARABIC </w:instrText>
      </w:r>
      <w:r>
        <w:fldChar w:fldCharType="separate"/>
      </w:r>
      <w:r w:rsidR="001358A9">
        <w:rPr>
          <w:noProof/>
        </w:rPr>
        <w:t>37</w:t>
      </w:r>
      <w:r>
        <w:fldChar w:fldCharType="end"/>
      </w:r>
      <w:r w:rsidR="00C01673">
        <w:t xml:space="preserve">. Prostorna raspodjela projekata </w:t>
      </w:r>
      <w:r>
        <w:t>u indikativnoj bazi, po broju i vrijednosti</w:t>
      </w:r>
      <w:bookmarkEnd w:id="94"/>
    </w:p>
    <w:tbl>
      <w:tblPr>
        <w:tblW w:w="8420" w:type="dxa"/>
        <w:tblInd w:w="108" w:type="dxa"/>
        <w:tblLook w:val="04A0" w:firstRow="1" w:lastRow="0" w:firstColumn="1" w:lastColumn="0" w:noHBand="0" w:noVBand="1"/>
      </w:tblPr>
      <w:tblGrid>
        <w:gridCol w:w="2996"/>
        <w:gridCol w:w="1356"/>
        <w:gridCol w:w="1356"/>
        <w:gridCol w:w="1385"/>
        <w:gridCol w:w="1356"/>
      </w:tblGrid>
      <w:tr w:rsidR="007F2A0C" w:rsidRPr="007F2A0C" w14:paraId="783EE7D9" w14:textId="77777777" w:rsidTr="007F2A0C">
        <w:trPr>
          <w:trHeight w:val="280"/>
        </w:trPr>
        <w:tc>
          <w:tcPr>
            <w:tcW w:w="2996" w:type="dxa"/>
            <w:tcBorders>
              <w:top w:val="nil"/>
              <w:left w:val="nil"/>
              <w:bottom w:val="nil"/>
              <w:right w:val="nil"/>
            </w:tcBorders>
            <w:shd w:val="clear" w:color="000000" w:fill="C6D9F1" w:themeFill="text2" w:themeFillTint="33"/>
            <w:noWrap/>
            <w:vAlign w:val="bottom"/>
            <w:hideMark/>
          </w:tcPr>
          <w:p w14:paraId="2EC60555" w14:textId="77777777" w:rsidR="007F2A0C" w:rsidRPr="007F2A0C" w:rsidRDefault="007F2A0C" w:rsidP="007F2A0C">
            <w:pPr>
              <w:spacing w:before="0" w:after="0"/>
              <w:jc w:val="left"/>
              <w:rPr>
                <w:rFonts w:eastAsia="Times New Roman" w:cs="Times New Roman"/>
                <w:color w:val="0F243E" w:themeColor="text2" w:themeShade="80"/>
                <w:sz w:val="20"/>
                <w:szCs w:val="20"/>
                <w:lang w:val="en-GB"/>
              </w:rPr>
            </w:pPr>
            <w:r w:rsidRPr="007F2A0C">
              <w:rPr>
                <w:rFonts w:eastAsia="Times New Roman" w:cs="Times New Roman"/>
                <w:color w:val="0F243E" w:themeColor="text2" w:themeShade="80"/>
                <w:sz w:val="20"/>
                <w:szCs w:val="20"/>
                <w:lang w:val="en-GB"/>
              </w:rPr>
              <w:lastRenderedPageBreak/>
              <w:t> </w:t>
            </w:r>
          </w:p>
        </w:tc>
        <w:tc>
          <w:tcPr>
            <w:tcW w:w="1356" w:type="dxa"/>
            <w:tcBorders>
              <w:top w:val="nil"/>
              <w:left w:val="nil"/>
              <w:bottom w:val="nil"/>
              <w:right w:val="nil"/>
            </w:tcBorders>
            <w:shd w:val="clear" w:color="000000" w:fill="C6D9F1" w:themeFill="text2" w:themeFillTint="33"/>
            <w:noWrap/>
            <w:vAlign w:val="bottom"/>
            <w:hideMark/>
          </w:tcPr>
          <w:p w14:paraId="7DC7677D" w14:textId="77777777" w:rsidR="007F2A0C" w:rsidRPr="007F2A0C" w:rsidRDefault="007F2A0C" w:rsidP="007F2A0C">
            <w:pPr>
              <w:spacing w:before="0" w:after="0"/>
              <w:jc w:val="center"/>
              <w:rPr>
                <w:rFonts w:eastAsia="Times New Roman" w:cs="Times New Roman"/>
                <w:b/>
                <w:bCs/>
                <w:color w:val="0F243E" w:themeColor="text2" w:themeShade="80"/>
                <w:sz w:val="20"/>
                <w:szCs w:val="20"/>
                <w:lang w:val="en-GB"/>
              </w:rPr>
            </w:pPr>
            <w:r w:rsidRPr="007F2A0C">
              <w:rPr>
                <w:rFonts w:eastAsia="Times New Roman" w:cs="Times New Roman"/>
                <w:b/>
                <w:bCs/>
                <w:color w:val="0F243E" w:themeColor="text2" w:themeShade="80"/>
                <w:sz w:val="20"/>
                <w:szCs w:val="20"/>
                <w:lang w:val="en-GB"/>
              </w:rPr>
              <w:t>broj</w:t>
            </w:r>
          </w:p>
        </w:tc>
        <w:tc>
          <w:tcPr>
            <w:tcW w:w="1356" w:type="dxa"/>
            <w:tcBorders>
              <w:top w:val="nil"/>
              <w:left w:val="nil"/>
              <w:bottom w:val="nil"/>
              <w:right w:val="nil"/>
            </w:tcBorders>
            <w:shd w:val="clear" w:color="000000" w:fill="C6D9F1" w:themeFill="text2" w:themeFillTint="33"/>
            <w:noWrap/>
            <w:vAlign w:val="bottom"/>
            <w:hideMark/>
          </w:tcPr>
          <w:p w14:paraId="65DA2FE7" w14:textId="77777777" w:rsidR="007F2A0C" w:rsidRPr="007F2A0C" w:rsidRDefault="007F2A0C" w:rsidP="007F2A0C">
            <w:pPr>
              <w:spacing w:before="0" w:after="0"/>
              <w:jc w:val="center"/>
              <w:rPr>
                <w:rFonts w:eastAsia="Times New Roman" w:cs="Times New Roman"/>
                <w:b/>
                <w:bCs/>
                <w:i/>
                <w:iCs/>
                <w:color w:val="0F243E" w:themeColor="text2" w:themeShade="80"/>
                <w:sz w:val="20"/>
                <w:szCs w:val="20"/>
                <w:lang w:val="en-GB"/>
              </w:rPr>
            </w:pPr>
            <w:r w:rsidRPr="007F2A0C">
              <w:rPr>
                <w:rFonts w:eastAsia="Times New Roman" w:cs="Times New Roman"/>
                <w:b/>
                <w:bCs/>
                <w:i/>
                <w:iCs/>
                <w:color w:val="0F243E" w:themeColor="text2" w:themeShade="80"/>
                <w:sz w:val="20"/>
                <w:szCs w:val="20"/>
                <w:lang w:val="en-GB"/>
              </w:rPr>
              <w:t>udio</w:t>
            </w:r>
          </w:p>
        </w:tc>
        <w:tc>
          <w:tcPr>
            <w:tcW w:w="1356" w:type="dxa"/>
            <w:tcBorders>
              <w:top w:val="nil"/>
              <w:left w:val="nil"/>
              <w:bottom w:val="nil"/>
              <w:right w:val="nil"/>
            </w:tcBorders>
            <w:shd w:val="clear" w:color="000000" w:fill="C6D9F1" w:themeFill="text2" w:themeFillTint="33"/>
            <w:noWrap/>
            <w:vAlign w:val="bottom"/>
            <w:hideMark/>
          </w:tcPr>
          <w:p w14:paraId="7E6C96BE" w14:textId="77777777" w:rsidR="007F2A0C" w:rsidRPr="007F2A0C" w:rsidRDefault="007F2A0C" w:rsidP="007F2A0C">
            <w:pPr>
              <w:spacing w:before="0" w:after="0"/>
              <w:jc w:val="center"/>
              <w:rPr>
                <w:rFonts w:eastAsia="Times New Roman" w:cs="Times New Roman"/>
                <w:b/>
                <w:bCs/>
                <w:color w:val="0F243E" w:themeColor="text2" w:themeShade="80"/>
                <w:sz w:val="20"/>
                <w:szCs w:val="20"/>
                <w:lang w:val="en-GB"/>
              </w:rPr>
            </w:pPr>
            <w:r w:rsidRPr="007F2A0C">
              <w:rPr>
                <w:rFonts w:eastAsia="Times New Roman" w:cs="Times New Roman"/>
                <w:b/>
                <w:bCs/>
                <w:color w:val="0F243E" w:themeColor="text2" w:themeShade="80"/>
                <w:sz w:val="20"/>
                <w:szCs w:val="20"/>
                <w:lang w:val="en-GB"/>
              </w:rPr>
              <w:t>vrijednost</w:t>
            </w:r>
          </w:p>
        </w:tc>
        <w:tc>
          <w:tcPr>
            <w:tcW w:w="1356" w:type="dxa"/>
            <w:tcBorders>
              <w:top w:val="nil"/>
              <w:left w:val="nil"/>
              <w:bottom w:val="nil"/>
              <w:right w:val="nil"/>
            </w:tcBorders>
            <w:shd w:val="clear" w:color="000000" w:fill="C6D9F1" w:themeFill="text2" w:themeFillTint="33"/>
            <w:noWrap/>
            <w:vAlign w:val="bottom"/>
            <w:hideMark/>
          </w:tcPr>
          <w:p w14:paraId="26DFF175" w14:textId="55F90526" w:rsidR="007F2A0C" w:rsidRPr="007F2A0C" w:rsidRDefault="007F2A0C" w:rsidP="007F2A0C">
            <w:pPr>
              <w:spacing w:before="0" w:after="0"/>
              <w:jc w:val="center"/>
              <w:rPr>
                <w:rFonts w:eastAsia="Times New Roman" w:cs="Times New Roman"/>
                <w:b/>
                <w:bCs/>
                <w:i/>
                <w:iCs/>
                <w:color w:val="0F243E" w:themeColor="text2" w:themeShade="80"/>
                <w:sz w:val="20"/>
                <w:szCs w:val="20"/>
                <w:lang w:val="en-GB"/>
              </w:rPr>
            </w:pPr>
            <w:r w:rsidRPr="007F2A0C">
              <w:rPr>
                <w:rFonts w:eastAsia="Times New Roman" w:cs="Times New Roman"/>
                <w:b/>
                <w:bCs/>
                <w:i/>
                <w:iCs/>
                <w:color w:val="0F243E" w:themeColor="text2" w:themeShade="80"/>
                <w:sz w:val="20"/>
                <w:szCs w:val="20"/>
                <w:lang w:val="en-GB"/>
              </w:rPr>
              <w:t>udio</w:t>
            </w:r>
            <w:r w:rsidR="006273BC">
              <w:rPr>
                <w:rStyle w:val="FootnoteReference"/>
                <w:rFonts w:eastAsia="Times New Roman" w:cs="Times New Roman"/>
                <w:b/>
                <w:bCs/>
                <w:i/>
                <w:iCs/>
                <w:color w:val="0F243E" w:themeColor="text2" w:themeShade="80"/>
                <w:sz w:val="20"/>
                <w:szCs w:val="20"/>
                <w:lang w:val="en-GB"/>
              </w:rPr>
              <w:footnoteReference w:id="27"/>
            </w:r>
          </w:p>
        </w:tc>
      </w:tr>
      <w:tr w:rsidR="007F2A0C" w:rsidRPr="007F2A0C" w14:paraId="5ADE3AC8" w14:textId="77777777" w:rsidTr="007F2A0C">
        <w:trPr>
          <w:trHeight w:val="280"/>
        </w:trPr>
        <w:tc>
          <w:tcPr>
            <w:tcW w:w="2996" w:type="dxa"/>
            <w:tcBorders>
              <w:top w:val="nil"/>
              <w:left w:val="nil"/>
              <w:bottom w:val="nil"/>
              <w:right w:val="nil"/>
            </w:tcBorders>
            <w:shd w:val="clear" w:color="000000" w:fill="FFFFFF"/>
            <w:noWrap/>
            <w:vAlign w:val="bottom"/>
            <w:hideMark/>
          </w:tcPr>
          <w:p w14:paraId="20516193" w14:textId="77777777" w:rsidR="007F2A0C" w:rsidRPr="007F2A0C" w:rsidRDefault="007F2A0C" w:rsidP="007F2A0C">
            <w:pPr>
              <w:spacing w:before="0" w:after="0"/>
              <w:jc w:val="left"/>
              <w:rPr>
                <w:rFonts w:eastAsia="Times New Roman" w:cs="Times New Roman"/>
                <w:color w:val="000000"/>
                <w:sz w:val="20"/>
                <w:szCs w:val="20"/>
                <w:lang w:val="en-GB"/>
              </w:rPr>
            </w:pPr>
            <w:r w:rsidRPr="007F2A0C">
              <w:rPr>
                <w:rFonts w:eastAsia="Times New Roman" w:cs="Times New Roman"/>
                <w:color w:val="000000"/>
                <w:sz w:val="20"/>
                <w:szCs w:val="20"/>
                <w:lang w:val="en-GB"/>
              </w:rPr>
              <w:t>Karlovac</w:t>
            </w:r>
          </w:p>
        </w:tc>
        <w:tc>
          <w:tcPr>
            <w:tcW w:w="1356" w:type="dxa"/>
            <w:tcBorders>
              <w:top w:val="nil"/>
              <w:left w:val="nil"/>
              <w:bottom w:val="nil"/>
              <w:right w:val="nil"/>
            </w:tcBorders>
            <w:shd w:val="clear" w:color="000000" w:fill="FFFFFF"/>
            <w:noWrap/>
            <w:vAlign w:val="bottom"/>
            <w:hideMark/>
          </w:tcPr>
          <w:p w14:paraId="6D19140C" w14:textId="14678C0B" w:rsidR="007F2A0C" w:rsidRPr="007F2A0C" w:rsidRDefault="002157C6" w:rsidP="007F2A0C">
            <w:pPr>
              <w:spacing w:before="0" w:after="0"/>
              <w:jc w:val="right"/>
              <w:rPr>
                <w:rFonts w:eastAsia="Times New Roman" w:cs="Times New Roman"/>
                <w:color w:val="000000"/>
                <w:sz w:val="20"/>
                <w:szCs w:val="20"/>
                <w:lang w:val="en-GB"/>
              </w:rPr>
            </w:pPr>
            <w:r>
              <w:rPr>
                <w:rFonts w:eastAsia="Times New Roman" w:cs="Times New Roman"/>
                <w:color w:val="000000"/>
                <w:sz w:val="20"/>
                <w:szCs w:val="20"/>
                <w:lang w:val="en-GB"/>
              </w:rPr>
              <w:t>56</w:t>
            </w:r>
          </w:p>
        </w:tc>
        <w:tc>
          <w:tcPr>
            <w:tcW w:w="1356" w:type="dxa"/>
            <w:tcBorders>
              <w:top w:val="nil"/>
              <w:left w:val="nil"/>
              <w:bottom w:val="nil"/>
              <w:right w:val="nil"/>
            </w:tcBorders>
            <w:shd w:val="clear" w:color="000000" w:fill="FFFFFF"/>
            <w:noWrap/>
            <w:vAlign w:val="bottom"/>
            <w:hideMark/>
          </w:tcPr>
          <w:p w14:paraId="762313C8" w14:textId="4A29E553" w:rsidR="007F2A0C" w:rsidRPr="007F2A0C" w:rsidRDefault="009F32AD" w:rsidP="007F2A0C">
            <w:pPr>
              <w:spacing w:before="0" w:after="0"/>
              <w:jc w:val="right"/>
              <w:rPr>
                <w:rFonts w:eastAsia="Times New Roman" w:cs="Times New Roman"/>
                <w:i/>
                <w:iCs/>
                <w:color w:val="000000"/>
                <w:sz w:val="20"/>
                <w:szCs w:val="20"/>
                <w:lang w:val="en-GB"/>
              </w:rPr>
            </w:pPr>
            <w:r>
              <w:rPr>
                <w:rFonts w:eastAsia="Times New Roman" w:cs="Times New Roman"/>
                <w:i/>
                <w:iCs/>
                <w:color w:val="000000"/>
                <w:sz w:val="20"/>
                <w:szCs w:val="20"/>
                <w:lang w:val="en-GB"/>
              </w:rPr>
              <w:t>31</w:t>
            </w:r>
            <w:r w:rsidR="007F2A0C" w:rsidRPr="007F2A0C">
              <w:rPr>
                <w:rFonts w:eastAsia="Times New Roman" w:cs="Times New Roman"/>
                <w:i/>
                <w:iCs/>
                <w:color w:val="000000"/>
                <w:sz w:val="20"/>
                <w:szCs w:val="20"/>
                <w:lang w:val="en-GB"/>
              </w:rPr>
              <w:t>%</w:t>
            </w:r>
          </w:p>
        </w:tc>
        <w:tc>
          <w:tcPr>
            <w:tcW w:w="1356" w:type="dxa"/>
            <w:tcBorders>
              <w:top w:val="nil"/>
              <w:left w:val="nil"/>
              <w:bottom w:val="nil"/>
              <w:right w:val="nil"/>
            </w:tcBorders>
            <w:shd w:val="clear" w:color="000000" w:fill="FFFFFF"/>
            <w:noWrap/>
            <w:vAlign w:val="bottom"/>
            <w:hideMark/>
          </w:tcPr>
          <w:p w14:paraId="3ABAD093" w14:textId="102F1C7B" w:rsidR="007F2A0C" w:rsidRPr="007F2A0C" w:rsidRDefault="007F2A0C" w:rsidP="009F32AD">
            <w:pPr>
              <w:spacing w:before="0" w:after="0"/>
              <w:jc w:val="right"/>
              <w:rPr>
                <w:rFonts w:eastAsia="Times New Roman" w:cs="Times New Roman"/>
                <w:color w:val="000000"/>
                <w:sz w:val="20"/>
                <w:szCs w:val="20"/>
                <w:lang w:val="en-GB"/>
              </w:rPr>
            </w:pPr>
            <w:r w:rsidRPr="007F2A0C">
              <w:rPr>
                <w:rFonts w:eastAsia="Times New Roman" w:cs="Times New Roman"/>
                <w:color w:val="000000"/>
                <w:sz w:val="20"/>
                <w:szCs w:val="20"/>
                <w:lang w:val="en-GB"/>
              </w:rPr>
              <w:t>1,</w:t>
            </w:r>
            <w:r w:rsidR="002157C6">
              <w:rPr>
                <w:rFonts w:eastAsia="Times New Roman" w:cs="Times New Roman"/>
                <w:color w:val="000000"/>
                <w:sz w:val="20"/>
                <w:szCs w:val="20"/>
                <w:lang w:val="en-GB"/>
              </w:rPr>
              <w:t>754,357,</w:t>
            </w:r>
            <w:r w:rsidR="009F32AD">
              <w:rPr>
                <w:rFonts w:eastAsia="Times New Roman" w:cs="Times New Roman"/>
                <w:color w:val="000000"/>
                <w:sz w:val="20"/>
                <w:szCs w:val="20"/>
                <w:lang w:val="en-GB"/>
              </w:rPr>
              <w:t>610</w:t>
            </w:r>
          </w:p>
        </w:tc>
        <w:tc>
          <w:tcPr>
            <w:tcW w:w="1356" w:type="dxa"/>
            <w:tcBorders>
              <w:top w:val="nil"/>
              <w:left w:val="nil"/>
              <w:bottom w:val="nil"/>
              <w:right w:val="nil"/>
            </w:tcBorders>
            <w:shd w:val="clear" w:color="000000" w:fill="FFFFFF"/>
            <w:noWrap/>
            <w:vAlign w:val="bottom"/>
            <w:hideMark/>
          </w:tcPr>
          <w:p w14:paraId="2BE0670D" w14:textId="00FF685F" w:rsidR="007F2A0C" w:rsidRPr="007F2A0C" w:rsidRDefault="009F32AD" w:rsidP="007F2A0C">
            <w:pPr>
              <w:spacing w:before="0" w:after="0"/>
              <w:jc w:val="right"/>
              <w:rPr>
                <w:rFonts w:eastAsia="Times New Roman" w:cs="Times New Roman"/>
                <w:i/>
                <w:iCs/>
                <w:color w:val="000000"/>
                <w:sz w:val="20"/>
                <w:szCs w:val="20"/>
                <w:lang w:val="en-GB"/>
              </w:rPr>
            </w:pPr>
            <w:r>
              <w:rPr>
                <w:rFonts w:eastAsia="Times New Roman" w:cs="Times New Roman"/>
                <w:i/>
                <w:iCs/>
                <w:color w:val="000000"/>
                <w:sz w:val="20"/>
                <w:szCs w:val="20"/>
                <w:lang w:val="en-GB"/>
              </w:rPr>
              <w:t>69</w:t>
            </w:r>
            <w:r w:rsidR="007F2A0C" w:rsidRPr="007F2A0C">
              <w:rPr>
                <w:rFonts w:eastAsia="Times New Roman" w:cs="Times New Roman"/>
                <w:i/>
                <w:iCs/>
                <w:color w:val="000000"/>
                <w:sz w:val="20"/>
                <w:szCs w:val="20"/>
                <w:lang w:val="en-GB"/>
              </w:rPr>
              <w:t>%</w:t>
            </w:r>
          </w:p>
        </w:tc>
      </w:tr>
      <w:tr w:rsidR="007F2A0C" w:rsidRPr="007F2A0C" w14:paraId="62F7BBF3" w14:textId="77777777" w:rsidTr="007F2A0C">
        <w:trPr>
          <w:trHeight w:val="280"/>
        </w:trPr>
        <w:tc>
          <w:tcPr>
            <w:tcW w:w="2996" w:type="dxa"/>
            <w:tcBorders>
              <w:top w:val="nil"/>
              <w:left w:val="nil"/>
              <w:bottom w:val="nil"/>
              <w:right w:val="nil"/>
            </w:tcBorders>
            <w:shd w:val="clear" w:color="000000" w:fill="FFFFFF"/>
            <w:noWrap/>
            <w:vAlign w:val="bottom"/>
            <w:hideMark/>
          </w:tcPr>
          <w:p w14:paraId="1A81FB6D" w14:textId="77777777" w:rsidR="007F2A0C" w:rsidRPr="007F2A0C" w:rsidRDefault="007F2A0C" w:rsidP="007F2A0C">
            <w:pPr>
              <w:spacing w:before="0" w:after="0"/>
              <w:jc w:val="left"/>
              <w:rPr>
                <w:rFonts w:eastAsia="Times New Roman" w:cs="Times New Roman"/>
                <w:color w:val="000000"/>
                <w:sz w:val="20"/>
                <w:szCs w:val="20"/>
                <w:lang w:val="en-GB"/>
              </w:rPr>
            </w:pPr>
            <w:r w:rsidRPr="007F2A0C">
              <w:rPr>
                <w:rFonts w:eastAsia="Times New Roman" w:cs="Times New Roman"/>
                <w:color w:val="000000"/>
                <w:sz w:val="20"/>
                <w:szCs w:val="20"/>
                <w:lang w:val="en-GB"/>
              </w:rPr>
              <w:t>Ozalj</w:t>
            </w:r>
          </w:p>
        </w:tc>
        <w:tc>
          <w:tcPr>
            <w:tcW w:w="1356" w:type="dxa"/>
            <w:tcBorders>
              <w:top w:val="nil"/>
              <w:left w:val="nil"/>
              <w:bottom w:val="nil"/>
              <w:right w:val="nil"/>
            </w:tcBorders>
            <w:shd w:val="clear" w:color="000000" w:fill="FFFFFF"/>
            <w:noWrap/>
            <w:vAlign w:val="bottom"/>
            <w:hideMark/>
          </w:tcPr>
          <w:p w14:paraId="0797463D" w14:textId="03B601CC" w:rsidR="007F2A0C" w:rsidRPr="007F2A0C" w:rsidRDefault="009F32AD" w:rsidP="007F2A0C">
            <w:pPr>
              <w:spacing w:before="0" w:after="0"/>
              <w:jc w:val="right"/>
              <w:rPr>
                <w:rFonts w:eastAsia="Times New Roman" w:cs="Times New Roman"/>
                <w:color w:val="000000"/>
                <w:sz w:val="20"/>
                <w:szCs w:val="20"/>
                <w:lang w:val="en-GB"/>
              </w:rPr>
            </w:pPr>
            <w:r>
              <w:rPr>
                <w:rFonts w:eastAsia="Times New Roman" w:cs="Times New Roman"/>
                <w:color w:val="000000"/>
                <w:sz w:val="20"/>
                <w:szCs w:val="20"/>
                <w:lang w:val="en-GB"/>
              </w:rPr>
              <w:t>58</w:t>
            </w:r>
          </w:p>
        </w:tc>
        <w:tc>
          <w:tcPr>
            <w:tcW w:w="1356" w:type="dxa"/>
            <w:tcBorders>
              <w:top w:val="nil"/>
              <w:left w:val="nil"/>
              <w:bottom w:val="nil"/>
              <w:right w:val="nil"/>
            </w:tcBorders>
            <w:shd w:val="clear" w:color="000000" w:fill="FFFFFF"/>
            <w:noWrap/>
            <w:vAlign w:val="bottom"/>
            <w:hideMark/>
          </w:tcPr>
          <w:p w14:paraId="516E4A21" w14:textId="3AA9775D" w:rsidR="007F2A0C" w:rsidRPr="007F2A0C" w:rsidRDefault="009F32AD" w:rsidP="007F2A0C">
            <w:pPr>
              <w:spacing w:before="0" w:after="0"/>
              <w:jc w:val="right"/>
              <w:rPr>
                <w:rFonts w:eastAsia="Times New Roman" w:cs="Times New Roman"/>
                <w:i/>
                <w:iCs/>
                <w:color w:val="000000"/>
                <w:sz w:val="20"/>
                <w:szCs w:val="20"/>
                <w:lang w:val="en-GB"/>
              </w:rPr>
            </w:pPr>
            <w:r>
              <w:rPr>
                <w:rFonts w:eastAsia="Times New Roman" w:cs="Times New Roman"/>
                <w:i/>
                <w:iCs/>
                <w:color w:val="000000"/>
                <w:sz w:val="20"/>
                <w:szCs w:val="20"/>
                <w:lang w:val="en-GB"/>
              </w:rPr>
              <w:t>33</w:t>
            </w:r>
            <w:r w:rsidR="007F2A0C" w:rsidRPr="007F2A0C">
              <w:rPr>
                <w:rFonts w:eastAsia="Times New Roman" w:cs="Times New Roman"/>
                <w:i/>
                <w:iCs/>
                <w:color w:val="000000"/>
                <w:sz w:val="20"/>
                <w:szCs w:val="20"/>
                <w:lang w:val="en-GB"/>
              </w:rPr>
              <w:t>%</w:t>
            </w:r>
          </w:p>
        </w:tc>
        <w:tc>
          <w:tcPr>
            <w:tcW w:w="1356" w:type="dxa"/>
            <w:tcBorders>
              <w:top w:val="nil"/>
              <w:left w:val="nil"/>
              <w:bottom w:val="nil"/>
              <w:right w:val="nil"/>
            </w:tcBorders>
            <w:shd w:val="clear" w:color="000000" w:fill="FFFFFF"/>
            <w:noWrap/>
            <w:vAlign w:val="bottom"/>
            <w:hideMark/>
          </w:tcPr>
          <w:p w14:paraId="0F1EC821" w14:textId="442097B6" w:rsidR="007F2A0C" w:rsidRPr="007F2A0C" w:rsidRDefault="002157C6" w:rsidP="009F32AD">
            <w:pPr>
              <w:spacing w:before="0" w:after="0"/>
              <w:jc w:val="right"/>
              <w:rPr>
                <w:rFonts w:eastAsia="Times New Roman" w:cs="Times New Roman"/>
                <w:color w:val="000000"/>
                <w:sz w:val="20"/>
                <w:szCs w:val="20"/>
                <w:lang w:val="en-GB"/>
              </w:rPr>
            </w:pPr>
            <w:r>
              <w:rPr>
                <w:rFonts w:eastAsia="Times New Roman" w:cs="Times New Roman"/>
                <w:color w:val="000000"/>
                <w:sz w:val="20"/>
                <w:szCs w:val="20"/>
                <w:lang w:val="en-GB"/>
              </w:rPr>
              <w:t>2</w:t>
            </w:r>
            <w:r w:rsidR="009F32AD">
              <w:rPr>
                <w:rFonts w:eastAsia="Times New Roman" w:cs="Times New Roman"/>
                <w:color w:val="000000"/>
                <w:sz w:val="20"/>
                <w:szCs w:val="20"/>
                <w:lang w:val="en-GB"/>
              </w:rPr>
              <w:t>87,3</w:t>
            </w:r>
            <w:r w:rsidR="007F2A0C" w:rsidRPr="007F2A0C">
              <w:rPr>
                <w:rFonts w:eastAsia="Times New Roman" w:cs="Times New Roman"/>
                <w:color w:val="000000"/>
                <w:sz w:val="20"/>
                <w:szCs w:val="20"/>
                <w:lang w:val="en-GB"/>
              </w:rPr>
              <w:t>95,000</w:t>
            </w:r>
          </w:p>
        </w:tc>
        <w:tc>
          <w:tcPr>
            <w:tcW w:w="1356" w:type="dxa"/>
            <w:tcBorders>
              <w:top w:val="nil"/>
              <w:left w:val="nil"/>
              <w:bottom w:val="nil"/>
              <w:right w:val="nil"/>
            </w:tcBorders>
            <w:shd w:val="clear" w:color="000000" w:fill="FFFFFF"/>
            <w:noWrap/>
            <w:vAlign w:val="bottom"/>
            <w:hideMark/>
          </w:tcPr>
          <w:p w14:paraId="2AF0624C" w14:textId="6105F644" w:rsidR="007F2A0C" w:rsidRPr="007F2A0C" w:rsidRDefault="009F32AD" w:rsidP="007F2A0C">
            <w:pPr>
              <w:spacing w:before="0" w:after="0"/>
              <w:jc w:val="right"/>
              <w:rPr>
                <w:rFonts w:eastAsia="Times New Roman" w:cs="Times New Roman"/>
                <w:i/>
                <w:iCs/>
                <w:color w:val="000000"/>
                <w:sz w:val="20"/>
                <w:szCs w:val="20"/>
                <w:lang w:val="en-GB"/>
              </w:rPr>
            </w:pPr>
            <w:r>
              <w:rPr>
                <w:rFonts w:eastAsia="Times New Roman" w:cs="Times New Roman"/>
                <w:i/>
                <w:iCs/>
                <w:color w:val="000000"/>
                <w:sz w:val="20"/>
                <w:szCs w:val="20"/>
                <w:lang w:val="en-GB"/>
              </w:rPr>
              <w:t>11</w:t>
            </w:r>
            <w:r w:rsidR="007F2A0C" w:rsidRPr="007F2A0C">
              <w:rPr>
                <w:rFonts w:eastAsia="Times New Roman" w:cs="Times New Roman"/>
                <w:i/>
                <w:iCs/>
                <w:color w:val="000000"/>
                <w:sz w:val="20"/>
                <w:szCs w:val="20"/>
                <w:lang w:val="en-GB"/>
              </w:rPr>
              <w:t>%</w:t>
            </w:r>
          </w:p>
        </w:tc>
      </w:tr>
      <w:tr w:rsidR="007F2A0C" w:rsidRPr="007F2A0C" w14:paraId="435A73AE" w14:textId="77777777" w:rsidTr="007F2A0C">
        <w:trPr>
          <w:trHeight w:val="280"/>
        </w:trPr>
        <w:tc>
          <w:tcPr>
            <w:tcW w:w="2996" w:type="dxa"/>
            <w:tcBorders>
              <w:top w:val="nil"/>
              <w:left w:val="nil"/>
              <w:bottom w:val="single" w:sz="4" w:space="0" w:color="auto"/>
              <w:right w:val="nil"/>
            </w:tcBorders>
            <w:shd w:val="clear" w:color="000000" w:fill="FFFFFF"/>
            <w:noWrap/>
            <w:vAlign w:val="bottom"/>
            <w:hideMark/>
          </w:tcPr>
          <w:p w14:paraId="54F237E9" w14:textId="77777777" w:rsidR="007F2A0C" w:rsidRPr="007F2A0C" w:rsidRDefault="007F2A0C" w:rsidP="007F2A0C">
            <w:pPr>
              <w:spacing w:before="0" w:after="0"/>
              <w:jc w:val="left"/>
              <w:rPr>
                <w:rFonts w:eastAsia="Times New Roman" w:cs="Times New Roman"/>
                <w:color w:val="131E42"/>
                <w:sz w:val="20"/>
                <w:szCs w:val="20"/>
                <w:lang w:val="en-GB"/>
              </w:rPr>
            </w:pPr>
            <w:r w:rsidRPr="007F2A0C">
              <w:rPr>
                <w:rFonts w:eastAsia="Times New Roman" w:cs="Times New Roman"/>
                <w:color w:val="131E42"/>
                <w:sz w:val="20"/>
                <w:szCs w:val="20"/>
                <w:lang w:val="en-GB"/>
              </w:rPr>
              <w:t>Duga Resa</w:t>
            </w:r>
          </w:p>
        </w:tc>
        <w:tc>
          <w:tcPr>
            <w:tcW w:w="1356" w:type="dxa"/>
            <w:tcBorders>
              <w:top w:val="nil"/>
              <w:left w:val="nil"/>
              <w:bottom w:val="single" w:sz="4" w:space="0" w:color="auto"/>
              <w:right w:val="nil"/>
            </w:tcBorders>
            <w:shd w:val="clear" w:color="000000" w:fill="FFFFFF"/>
            <w:noWrap/>
            <w:vAlign w:val="bottom"/>
            <w:hideMark/>
          </w:tcPr>
          <w:p w14:paraId="6B57CF4B" w14:textId="6B0E2512" w:rsidR="007F2A0C" w:rsidRPr="007F2A0C" w:rsidRDefault="009F32AD" w:rsidP="007F2A0C">
            <w:pPr>
              <w:spacing w:before="0" w:after="0"/>
              <w:jc w:val="right"/>
              <w:rPr>
                <w:rFonts w:eastAsia="Times New Roman" w:cs="Times New Roman"/>
                <w:color w:val="000000"/>
                <w:sz w:val="20"/>
                <w:szCs w:val="20"/>
                <w:lang w:val="en-GB"/>
              </w:rPr>
            </w:pPr>
            <w:r>
              <w:rPr>
                <w:rFonts w:eastAsia="Times New Roman" w:cs="Times New Roman"/>
                <w:color w:val="000000"/>
                <w:sz w:val="20"/>
                <w:szCs w:val="20"/>
                <w:lang w:val="en-GB"/>
              </w:rPr>
              <w:t>64</w:t>
            </w:r>
          </w:p>
        </w:tc>
        <w:tc>
          <w:tcPr>
            <w:tcW w:w="1356" w:type="dxa"/>
            <w:tcBorders>
              <w:top w:val="nil"/>
              <w:left w:val="nil"/>
              <w:bottom w:val="single" w:sz="4" w:space="0" w:color="auto"/>
              <w:right w:val="nil"/>
            </w:tcBorders>
            <w:shd w:val="clear" w:color="000000" w:fill="FFFFFF"/>
            <w:noWrap/>
            <w:vAlign w:val="bottom"/>
            <w:hideMark/>
          </w:tcPr>
          <w:p w14:paraId="22B84E6F" w14:textId="640C4F5F" w:rsidR="007F2A0C" w:rsidRPr="007F2A0C" w:rsidRDefault="009F32AD" w:rsidP="007F2A0C">
            <w:pPr>
              <w:spacing w:before="0" w:after="0"/>
              <w:jc w:val="right"/>
              <w:rPr>
                <w:rFonts w:eastAsia="Times New Roman" w:cs="Times New Roman"/>
                <w:i/>
                <w:iCs/>
                <w:color w:val="000000"/>
                <w:sz w:val="20"/>
                <w:szCs w:val="20"/>
                <w:lang w:val="en-GB"/>
              </w:rPr>
            </w:pPr>
            <w:r>
              <w:rPr>
                <w:rFonts w:eastAsia="Times New Roman" w:cs="Times New Roman"/>
                <w:i/>
                <w:iCs/>
                <w:color w:val="000000"/>
                <w:sz w:val="20"/>
                <w:szCs w:val="20"/>
                <w:lang w:val="en-GB"/>
              </w:rPr>
              <w:t>36</w:t>
            </w:r>
            <w:r w:rsidR="007F2A0C" w:rsidRPr="007F2A0C">
              <w:rPr>
                <w:rFonts w:eastAsia="Times New Roman" w:cs="Times New Roman"/>
                <w:i/>
                <w:iCs/>
                <w:color w:val="000000"/>
                <w:sz w:val="20"/>
                <w:szCs w:val="20"/>
                <w:lang w:val="en-GB"/>
              </w:rPr>
              <w:t>%</w:t>
            </w:r>
          </w:p>
        </w:tc>
        <w:tc>
          <w:tcPr>
            <w:tcW w:w="1356" w:type="dxa"/>
            <w:tcBorders>
              <w:top w:val="nil"/>
              <w:left w:val="nil"/>
              <w:bottom w:val="single" w:sz="4" w:space="0" w:color="auto"/>
              <w:right w:val="nil"/>
            </w:tcBorders>
            <w:shd w:val="clear" w:color="000000" w:fill="FFFFFF"/>
            <w:noWrap/>
            <w:vAlign w:val="bottom"/>
            <w:hideMark/>
          </w:tcPr>
          <w:p w14:paraId="13A5B83E" w14:textId="703C3A0D" w:rsidR="007F2A0C" w:rsidRPr="007F2A0C" w:rsidRDefault="002157C6" w:rsidP="009F32AD">
            <w:pPr>
              <w:spacing w:before="0" w:after="0"/>
              <w:jc w:val="right"/>
              <w:rPr>
                <w:rFonts w:eastAsia="Times New Roman" w:cs="Times New Roman"/>
                <w:color w:val="000000"/>
                <w:sz w:val="20"/>
                <w:szCs w:val="20"/>
                <w:lang w:val="en-GB"/>
              </w:rPr>
            </w:pPr>
            <w:r>
              <w:rPr>
                <w:rFonts w:eastAsia="Times New Roman" w:cs="Times New Roman"/>
                <w:color w:val="000000"/>
                <w:sz w:val="20"/>
                <w:szCs w:val="20"/>
                <w:lang w:val="en-GB"/>
              </w:rPr>
              <w:t>4</w:t>
            </w:r>
            <w:r w:rsidR="009F32AD">
              <w:rPr>
                <w:rFonts w:eastAsia="Times New Roman" w:cs="Times New Roman"/>
                <w:color w:val="000000"/>
                <w:sz w:val="20"/>
                <w:szCs w:val="20"/>
                <w:lang w:val="en-GB"/>
              </w:rPr>
              <w:t>89,0</w:t>
            </w:r>
            <w:r>
              <w:rPr>
                <w:rFonts w:eastAsia="Times New Roman" w:cs="Times New Roman"/>
                <w:color w:val="000000"/>
                <w:sz w:val="20"/>
                <w:szCs w:val="20"/>
                <w:lang w:val="en-GB"/>
              </w:rPr>
              <w:t>6</w:t>
            </w:r>
            <w:r w:rsidR="009F32AD">
              <w:rPr>
                <w:rFonts w:eastAsia="Times New Roman" w:cs="Times New Roman"/>
                <w:color w:val="000000"/>
                <w:sz w:val="20"/>
                <w:szCs w:val="20"/>
                <w:lang w:val="en-GB"/>
              </w:rPr>
              <w:t>0</w:t>
            </w:r>
            <w:r>
              <w:rPr>
                <w:rFonts w:eastAsia="Times New Roman" w:cs="Times New Roman"/>
                <w:color w:val="000000"/>
                <w:sz w:val="20"/>
                <w:szCs w:val="20"/>
                <w:lang w:val="en-GB"/>
              </w:rPr>
              <w:t>,</w:t>
            </w:r>
            <w:r w:rsidR="009F32AD">
              <w:rPr>
                <w:rFonts w:eastAsia="Times New Roman" w:cs="Times New Roman"/>
                <w:color w:val="000000"/>
                <w:sz w:val="20"/>
                <w:szCs w:val="20"/>
                <w:lang w:val="en-GB"/>
              </w:rPr>
              <w:t>117</w:t>
            </w:r>
          </w:p>
        </w:tc>
        <w:tc>
          <w:tcPr>
            <w:tcW w:w="1356" w:type="dxa"/>
            <w:tcBorders>
              <w:top w:val="nil"/>
              <w:left w:val="nil"/>
              <w:bottom w:val="single" w:sz="4" w:space="0" w:color="auto"/>
              <w:right w:val="nil"/>
            </w:tcBorders>
            <w:shd w:val="clear" w:color="000000" w:fill="FFFFFF"/>
            <w:noWrap/>
            <w:vAlign w:val="bottom"/>
            <w:hideMark/>
          </w:tcPr>
          <w:p w14:paraId="5799D3AD" w14:textId="77777777" w:rsidR="007F2A0C" w:rsidRPr="007F2A0C" w:rsidRDefault="007F2A0C" w:rsidP="007F2A0C">
            <w:pPr>
              <w:spacing w:before="0" w:after="0"/>
              <w:jc w:val="right"/>
              <w:rPr>
                <w:rFonts w:eastAsia="Times New Roman" w:cs="Times New Roman"/>
                <w:i/>
                <w:iCs/>
                <w:color w:val="000000"/>
                <w:sz w:val="20"/>
                <w:szCs w:val="20"/>
                <w:lang w:val="en-GB"/>
              </w:rPr>
            </w:pPr>
            <w:r w:rsidRPr="007F2A0C">
              <w:rPr>
                <w:rFonts w:eastAsia="Times New Roman" w:cs="Times New Roman"/>
                <w:i/>
                <w:iCs/>
                <w:color w:val="000000"/>
                <w:sz w:val="20"/>
                <w:szCs w:val="20"/>
                <w:lang w:val="en-GB"/>
              </w:rPr>
              <w:t>19%</w:t>
            </w:r>
          </w:p>
        </w:tc>
      </w:tr>
      <w:tr w:rsidR="007F2A0C" w:rsidRPr="007F2A0C" w14:paraId="51C4F2C3" w14:textId="77777777" w:rsidTr="007F2A0C">
        <w:trPr>
          <w:trHeight w:val="280"/>
        </w:trPr>
        <w:tc>
          <w:tcPr>
            <w:tcW w:w="2996" w:type="dxa"/>
            <w:tcBorders>
              <w:top w:val="nil"/>
              <w:left w:val="nil"/>
              <w:bottom w:val="single" w:sz="4" w:space="0" w:color="auto"/>
              <w:right w:val="nil"/>
            </w:tcBorders>
            <w:shd w:val="clear" w:color="000000" w:fill="FFFFFF"/>
            <w:noWrap/>
            <w:vAlign w:val="bottom"/>
            <w:hideMark/>
          </w:tcPr>
          <w:p w14:paraId="0014C044" w14:textId="77777777" w:rsidR="007F2A0C" w:rsidRPr="007F2A0C" w:rsidRDefault="007F2A0C" w:rsidP="007F2A0C">
            <w:pPr>
              <w:spacing w:before="0" w:after="0"/>
              <w:jc w:val="left"/>
              <w:rPr>
                <w:rFonts w:eastAsia="Times New Roman" w:cs="Times New Roman"/>
                <w:b/>
                <w:bCs/>
                <w:color w:val="000000"/>
                <w:sz w:val="20"/>
                <w:szCs w:val="20"/>
                <w:lang w:val="en-GB"/>
              </w:rPr>
            </w:pPr>
            <w:r w:rsidRPr="007F2A0C">
              <w:rPr>
                <w:rFonts w:eastAsia="Times New Roman" w:cs="Times New Roman"/>
                <w:b/>
                <w:bCs/>
                <w:color w:val="000000"/>
                <w:sz w:val="20"/>
                <w:szCs w:val="20"/>
                <w:lang w:val="en-GB"/>
              </w:rPr>
              <w:t>UKUPNO</w:t>
            </w:r>
          </w:p>
        </w:tc>
        <w:tc>
          <w:tcPr>
            <w:tcW w:w="1356" w:type="dxa"/>
            <w:tcBorders>
              <w:top w:val="nil"/>
              <w:left w:val="nil"/>
              <w:bottom w:val="single" w:sz="4" w:space="0" w:color="auto"/>
              <w:right w:val="nil"/>
            </w:tcBorders>
            <w:shd w:val="clear" w:color="000000" w:fill="FFFFFF"/>
            <w:noWrap/>
            <w:vAlign w:val="bottom"/>
            <w:hideMark/>
          </w:tcPr>
          <w:p w14:paraId="3720B351" w14:textId="5CC69803" w:rsidR="007F2A0C" w:rsidRPr="007F2A0C" w:rsidRDefault="002157C6" w:rsidP="007F2A0C">
            <w:pPr>
              <w:spacing w:before="0" w:after="0"/>
              <w:jc w:val="right"/>
              <w:rPr>
                <w:rFonts w:eastAsia="Times New Roman" w:cs="Times New Roman"/>
                <w:b/>
                <w:bCs/>
                <w:color w:val="000000"/>
                <w:sz w:val="20"/>
                <w:szCs w:val="20"/>
                <w:lang w:val="en-GB"/>
              </w:rPr>
            </w:pPr>
            <w:r>
              <w:rPr>
                <w:rFonts w:eastAsia="Times New Roman" w:cs="Times New Roman"/>
                <w:b/>
                <w:bCs/>
                <w:color w:val="000000"/>
                <w:sz w:val="20"/>
                <w:szCs w:val="20"/>
                <w:lang w:val="en-GB"/>
              </w:rPr>
              <w:t>17</w:t>
            </w:r>
            <w:r w:rsidR="009F32AD">
              <w:rPr>
                <w:rFonts w:eastAsia="Times New Roman" w:cs="Times New Roman"/>
                <w:b/>
                <w:bCs/>
                <w:color w:val="000000"/>
                <w:sz w:val="20"/>
                <w:szCs w:val="20"/>
                <w:lang w:val="en-GB"/>
              </w:rPr>
              <w:t>8</w:t>
            </w:r>
          </w:p>
        </w:tc>
        <w:tc>
          <w:tcPr>
            <w:tcW w:w="1356" w:type="dxa"/>
            <w:tcBorders>
              <w:top w:val="nil"/>
              <w:left w:val="nil"/>
              <w:bottom w:val="single" w:sz="4" w:space="0" w:color="auto"/>
              <w:right w:val="nil"/>
            </w:tcBorders>
            <w:shd w:val="clear" w:color="000000" w:fill="FFFFFF"/>
            <w:noWrap/>
            <w:vAlign w:val="bottom"/>
            <w:hideMark/>
          </w:tcPr>
          <w:p w14:paraId="7C8BF042" w14:textId="77777777" w:rsidR="007F2A0C" w:rsidRPr="007F2A0C" w:rsidRDefault="007F2A0C" w:rsidP="007F2A0C">
            <w:pPr>
              <w:spacing w:before="0" w:after="0"/>
              <w:jc w:val="right"/>
              <w:rPr>
                <w:rFonts w:eastAsia="Times New Roman" w:cs="Times New Roman"/>
                <w:b/>
                <w:bCs/>
                <w:i/>
                <w:iCs/>
                <w:color w:val="000000"/>
                <w:sz w:val="20"/>
                <w:szCs w:val="20"/>
                <w:lang w:val="en-GB"/>
              </w:rPr>
            </w:pPr>
            <w:r w:rsidRPr="007F2A0C">
              <w:rPr>
                <w:rFonts w:eastAsia="Times New Roman" w:cs="Times New Roman"/>
                <w:b/>
                <w:bCs/>
                <w:i/>
                <w:iCs/>
                <w:color w:val="000000"/>
                <w:sz w:val="20"/>
                <w:szCs w:val="20"/>
                <w:lang w:val="en-GB"/>
              </w:rPr>
              <w:t>100%</w:t>
            </w:r>
          </w:p>
        </w:tc>
        <w:tc>
          <w:tcPr>
            <w:tcW w:w="1356" w:type="dxa"/>
            <w:tcBorders>
              <w:top w:val="nil"/>
              <w:left w:val="nil"/>
              <w:bottom w:val="single" w:sz="4" w:space="0" w:color="auto"/>
              <w:right w:val="nil"/>
            </w:tcBorders>
            <w:shd w:val="clear" w:color="000000" w:fill="FFFFFF"/>
            <w:noWrap/>
            <w:vAlign w:val="bottom"/>
            <w:hideMark/>
          </w:tcPr>
          <w:p w14:paraId="1F8D068B" w14:textId="22B4EDA6" w:rsidR="007F2A0C" w:rsidRPr="007F2A0C" w:rsidRDefault="007F2A0C" w:rsidP="009F32AD">
            <w:pPr>
              <w:spacing w:before="0" w:after="0"/>
              <w:jc w:val="right"/>
              <w:rPr>
                <w:rFonts w:eastAsia="Times New Roman" w:cs="Times New Roman"/>
                <w:b/>
                <w:bCs/>
                <w:color w:val="000000"/>
                <w:sz w:val="20"/>
                <w:szCs w:val="20"/>
                <w:lang w:val="en-GB"/>
              </w:rPr>
            </w:pPr>
            <w:r w:rsidRPr="007F2A0C">
              <w:rPr>
                <w:rFonts w:eastAsia="Times New Roman" w:cs="Times New Roman"/>
                <w:b/>
                <w:bCs/>
                <w:color w:val="000000"/>
                <w:sz w:val="20"/>
                <w:szCs w:val="20"/>
                <w:lang w:val="en-GB"/>
              </w:rPr>
              <w:t>2,</w:t>
            </w:r>
            <w:r w:rsidR="009F32AD">
              <w:rPr>
                <w:rFonts w:eastAsia="Times New Roman" w:cs="Times New Roman"/>
                <w:b/>
                <w:bCs/>
                <w:color w:val="000000"/>
                <w:sz w:val="20"/>
                <w:szCs w:val="20"/>
                <w:lang w:val="en-GB"/>
              </w:rPr>
              <w:t>530,812</w:t>
            </w:r>
            <w:r w:rsidR="002157C6">
              <w:rPr>
                <w:rFonts w:eastAsia="Times New Roman" w:cs="Times New Roman"/>
                <w:b/>
                <w:bCs/>
                <w:color w:val="000000"/>
                <w:sz w:val="20"/>
                <w:szCs w:val="20"/>
                <w:lang w:val="en-GB"/>
              </w:rPr>
              <w:t>,</w:t>
            </w:r>
            <w:r w:rsidR="009F32AD">
              <w:rPr>
                <w:rFonts w:eastAsia="Times New Roman" w:cs="Times New Roman"/>
                <w:b/>
                <w:bCs/>
                <w:color w:val="000000"/>
                <w:sz w:val="20"/>
                <w:szCs w:val="20"/>
                <w:lang w:val="en-GB"/>
              </w:rPr>
              <w:t>727</w:t>
            </w:r>
          </w:p>
        </w:tc>
        <w:tc>
          <w:tcPr>
            <w:tcW w:w="1356" w:type="dxa"/>
            <w:tcBorders>
              <w:top w:val="nil"/>
              <w:left w:val="nil"/>
              <w:bottom w:val="single" w:sz="4" w:space="0" w:color="auto"/>
              <w:right w:val="nil"/>
            </w:tcBorders>
            <w:shd w:val="clear" w:color="000000" w:fill="FFFFFF"/>
            <w:noWrap/>
            <w:vAlign w:val="bottom"/>
            <w:hideMark/>
          </w:tcPr>
          <w:p w14:paraId="0040D200" w14:textId="77777777" w:rsidR="007F2A0C" w:rsidRPr="007F2A0C" w:rsidRDefault="007F2A0C" w:rsidP="007F2A0C">
            <w:pPr>
              <w:spacing w:before="0" w:after="0"/>
              <w:jc w:val="right"/>
              <w:rPr>
                <w:rFonts w:eastAsia="Times New Roman" w:cs="Times New Roman"/>
                <w:b/>
                <w:bCs/>
                <w:i/>
                <w:iCs/>
                <w:color w:val="000000"/>
                <w:sz w:val="20"/>
                <w:szCs w:val="20"/>
                <w:lang w:val="en-GB"/>
              </w:rPr>
            </w:pPr>
            <w:r w:rsidRPr="007F2A0C">
              <w:rPr>
                <w:rFonts w:eastAsia="Times New Roman" w:cs="Times New Roman"/>
                <w:b/>
                <w:bCs/>
                <w:i/>
                <w:iCs/>
                <w:color w:val="000000"/>
                <w:sz w:val="20"/>
                <w:szCs w:val="20"/>
                <w:lang w:val="en-GB"/>
              </w:rPr>
              <w:t>100%</w:t>
            </w:r>
          </w:p>
        </w:tc>
      </w:tr>
    </w:tbl>
    <w:p w14:paraId="589305B4" w14:textId="0A5FDC85" w:rsidR="003729FA" w:rsidRDefault="007F2A0C" w:rsidP="003729FA">
      <w:r>
        <w:t>V</w:t>
      </w:r>
      <w:r w:rsidR="006273BC">
        <w:t xml:space="preserve">arijacije u </w:t>
      </w:r>
      <w:r w:rsidR="000B45BF" w:rsidRPr="009B5DDC">
        <w:rPr>
          <w:b/>
        </w:rPr>
        <w:t>veličini</w:t>
      </w:r>
      <w:r w:rsidR="006273BC" w:rsidRPr="009B5DDC">
        <w:rPr>
          <w:b/>
        </w:rPr>
        <w:t xml:space="preserve"> projekata</w:t>
      </w:r>
      <w:r w:rsidR="006273BC">
        <w:t xml:space="preserve"> u 3 JLS i generalno znatno</w:t>
      </w:r>
      <w:r>
        <w:t xml:space="preserve"> </w:t>
      </w:r>
      <w:r w:rsidR="006273BC">
        <w:t xml:space="preserve">veća </w:t>
      </w:r>
      <w:r>
        <w:t xml:space="preserve">vrijednost projekata </w:t>
      </w:r>
      <w:r w:rsidR="006273BC">
        <w:t>s područja</w:t>
      </w:r>
      <w:r>
        <w:t xml:space="preserve"> grada Karlovca očekivana je i s aspekta veličine </w:t>
      </w:r>
      <w:r w:rsidR="006273BC">
        <w:t>pojedinih urbanih centara  i</w:t>
      </w:r>
      <w:r w:rsidR="00C01673">
        <w:t xml:space="preserve"> kapaciteta lokalnih samouprava, kako je prikazano na donjem dijagramu.</w:t>
      </w:r>
    </w:p>
    <w:p w14:paraId="533F1D8A" w14:textId="406EC108" w:rsidR="00523A63" w:rsidRDefault="00117274" w:rsidP="009F32AD">
      <w:pPr>
        <w:pStyle w:val="Caption"/>
      </w:pPr>
      <w:bookmarkStart w:id="95" w:name="_Toc437387466"/>
      <w:r>
        <w:t xml:space="preserve">Dijagram </w:t>
      </w:r>
      <w:r>
        <w:fldChar w:fldCharType="begin"/>
      </w:r>
      <w:r>
        <w:instrText xml:space="preserve"> SEQ Dijagram \* ARABIC </w:instrText>
      </w:r>
      <w:r>
        <w:fldChar w:fldCharType="separate"/>
      </w:r>
      <w:r w:rsidR="001358A9">
        <w:rPr>
          <w:noProof/>
        </w:rPr>
        <w:t>3</w:t>
      </w:r>
      <w:r>
        <w:fldChar w:fldCharType="end"/>
      </w:r>
      <w:r w:rsidR="009B5DDC">
        <w:t xml:space="preserve">. Projekti </w:t>
      </w:r>
      <w:r>
        <w:t xml:space="preserve">u indikativnoj bazi, </w:t>
      </w:r>
      <w:r w:rsidR="009B5DDC">
        <w:t>po veličini</w:t>
      </w:r>
      <w:r>
        <w:t xml:space="preserve"> i JLS</w:t>
      </w:r>
      <w:bookmarkEnd w:id="95"/>
    </w:p>
    <w:p w14:paraId="5E1AB317" w14:textId="605F9C38" w:rsidR="009F32AD" w:rsidRDefault="009F32AD" w:rsidP="009F32AD">
      <w:pPr>
        <w:jc w:val="center"/>
      </w:pPr>
      <w:r>
        <w:rPr>
          <w:noProof/>
          <w:lang w:val="en-US"/>
        </w:rPr>
        <w:drawing>
          <wp:inline distT="0" distB="0" distL="0" distR="0" wp14:anchorId="4EF8F87E" wp14:editId="2ECB3B33">
            <wp:extent cx="4572000" cy="2743200"/>
            <wp:effectExtent l="0" t="0" r="25400" b="2540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21A6CE0" w14:textId="4694595D" w:rsidR="009B5DDC" w:rsidRDefault="009B5DDC" w:rsidP="003729FA">
      <w:r>
        <w:t xml:space="preserve">Konačno, u cilju procjene izvedivosti strategije i pripreme njezinog provedbenog dijela, projekti su analizirani i s aspekta </w:t>
      </w:r>
      <w:r w:rsidRPr="009B5DDC">
        <w:rPr>
          <w:b/>
        </w:rPr>
        <w:t>zrelosti</w:t>
      </w:r>
      <w:r>
        <w:rPr>
          <w:b/>
        </w:rPr>
        <w:t xml:space="preserve"> za provedbu</w:t>
      </w:r>
      <w:r>
        <w:t>, koristeći trod</w:t>
      </w:r>
      <w:r w:rsidR="00192EA4">
        <w:t>i</w:t>
      </w:r>
      <w:r>
        <w:t>jelnu klasifikaciju koja korelira kategorizacijom preporučenom od strane MRRFEU</w:t>
      </w:r>
      <w:r>
        <w:rPr>
          <w:rStyle w:val="FootnoteReference"/>
        </w:rPr>
        <w:footnoteReference w:id="28"/>
      </w:r>
      <w:r>
        <w:t>:</w:t>
      </w:r>
    </w:p>
    <w:tbl>
      <w:tblPr>
        <w:tblW w:w="9072" w:type="dxa"/>
        <w:tblInd w:w="108" w:type="dxa"/>
        <w:tblLayout w:type="fixed"/>
        <w:tblLook w:val="04A0" w:firstRow="1" w:lastRow="0" w:firstColumn="1" w:lastColumn="0" w:noHBand="0" w:noVBand="1"/>
      </w:tblPr>
      <w:tblGrid>
        <w:gridCol w:w="1985"/>
        <w:gridCol w:w="7087"/>
      </w:tblGrid>
      <w:tr w:rsidR="009B5DDC" w:rsidRPr="009B5DDC" w14:paraId="176E9EC2" w14:textId="77777777" w:rsidTr="009B5DDC">
        <w:trPr>
          <w:trHeight w:val="300"/>
        </w:trPr>
        <w:tc>
          <w:tcPr>
            <w:tcW w:w="1985" w:type="dxa"/>
            <w:tcBorders>
              <w:top w:val="nil"/>
              <w:left w:val="nil"/>
              <w:bottom w:val="nil"/>
              <w:right w:val="nil"/>
            </w:tcBorders>
            <w:shd w:val="clear" w:color="auto" w:fill="C6D9F1" w:themeFill="text2" w:themeFillTint="33"/>
            <w:noWrap/>
            <w:vAlign w:val="bottom"/>
          </w:tcPr>
          <w:p w14:paraId="51EDA41B" w14:textId="09CD4236" w:rsidR="009B5DDC" w:rsidRPr="009B5DDC" w:rsidRDefault="009B5DDC" w:rsidP="009B5DDC">
            <w:pPr>
              <w:pStyle w:val="Txttable"/>
            </w:pPr>
            <w:r>
              <w:t>Kategorija zrelosti</w:t>
            </w:r>
          </w:p>
        </w:tc>
        <w:tc>
          <w:tcPr>
            <w:tcW w:w="7087" w:type="dxa"/>
            <w:tcBorders>
              <w:top w:val="nil"/>
              <w:left w:val="nil"/>
              <w:bottom w:val="nil"/>
              <w:right w:val="nil"/>
            </w:tcBorders>
            <w:shd w:val="clear" w:color="auto" w:fill="C6D9F1" w:themeFill="text2" w:themeFillTint="33"/>
            <w:noWrap/>
            <w:vAlign w:val="bottom"/>
          </w:tcPr>
          <w:p w14:paraId="24BD90F4" w14:textId="2271BAE8" w:rsidR="009B5DDC" w:rsidRPr="009B5DDC" w:rsidRDefault="009B5DDC" w:rsidP="009B5DDC">
            <w:pPr>
              <w:pStyle w:val="Txttable"/>
            </w:pPr>
            <w:r>
              <w:t>Opis zrelosti projekta</w:t>
            </w:r>
          </w:p>
        </w:tc>
      </w:tr>
      <w:tr w:rsidR="009B5DDC" w:rsidRPr="009B5DDC" w14:paraId="4BE0ED96" w14:textId="77777777" w:rsidTr="009B5DDC">
        <w:trPr>
          <w:trHeight w:val="300"/>
        </w:trPr>
        <w:tc>
          <w:tcPr>
            <w:tcW w:w="1985" w:type="dxa"/>
            <w:tcBorders>
              <w:top w:val="nil"/>
              <w:left w:val="nil"/>
              <w:bottom w:val="nil"/>
              <w:right w:val="nil"/>
            </w:tcBorders>
            <w:shd w:val="clear" w:color="auto" w:fill="auto"/>
            <w:noWrap/>
            <w:vAlign w:val="center"/>
            <w:hideMark/>
          </w:tcPr>
          <w:p w14:paraId="28A7300E" w14:textId="77777777" w:rsidR="009B5DDC" w:rsidRPr="009B5DDC" w:rsidRDefault="009B5DDC" w:rsidP="009B5DDC">
            <w:pPr>
              <w:pStyle w:val="Txttable"/>
              <w:jc w:val="center"/>
              <w:rPr>
                <w:b/>
              </w:rPr>
            </w:pPr>
            <w:r w:rsidRPr="009B5DDC">
              <w:rPr>
                <w:b/>
              </w:rPr>
              <w:t>I</w:t>
            </w:r>
          </w:p>
        </w:tc>
        <w:tc>
          <w:tcPr>
            <w:tcW w:w="7087" w:type="dxa"/>
            <w:tcBorders>
              <w:top w:val="nil"/>
              <w:left w:val="nil"/>
              <w:bottom w:val="nil"/>
              <w:right w:val="nil"/>
            </w:tcBorders>
            <w:shd w:val="clear" w:color="auto" w:fill="auto"/>
            <w:noWrap/>
            <w:vAlign w:val="center"/>
            <w:hideMark/>
          </w:tcPr>
          <w:p w14:paraId="30EB3F1C" w14:textId="33DEC1D6" w:rsidR="009B5DDC" w:rsidRPr="009B5DDC" w:rsidRDefault="009B5DDC" w:rsidP="004132C4">
            <w:pPr>
              <w:pStyle w:val="Txttable"/>
              <w:jc w:val="left"/>
            </w:pPr>
            <w:r w:rsidRPr="009B5DDC">
              <w:t xml:space="preserve">projekti koji će do </w:t>
            </w:r>
            <w:r w:rsidR="004132C4">
              <w:t>kraja</w:t>
            </w:r>
            <w:r w:rsidRPr="009B5DDC">
              <w:t xml:space="preserve"> 2019. imati dovršenu projektnu dokumentaciju i dozvole/biti spremni za provedbu</w:t>
            </w:r>
          </w:p>
        </w:tc>
      </w:tr>
      <w:tr w:rsidR="009B5DDC" w:rsidRPr="009B5DDC" w14:paraId="711B4ACE" w14:textId="77777777" w:rsidTr="009B5DDC">
        <w:trPr>
          <w:trHeight w:val="300"/>
        </w:trPr>
        <w:tc>
          <w:tcPr>
            <w:tcW w:w="1985" w:type="dxa"/>
            <w:tcBorders>
              <w:top w:val="nil"/>
              <w:left w:val="nil"/>
              <w:bottom w:val="nil"/>
              <w:right w:val="nil"/>
            </w:tcBorders>
            <w:shd w:val="clear" w:color="auto" w:fill="auto"/>
            <w:noWrap/>
            <w:vAlign w:val="center"/>
            <w:hideMark/>
          </w:tcPr>
          <w:p w14:paraId="0F077A39" w14:textId="77777777" w:rsidR="009B5DDC" w:rsidRPr="009B5DDC" w:rsidRDefault="009B5DDC" w:rsidP="009B5DDC">
            <w:pPr>
              <w:pStyle w:val="Txttable"/>
              <w:jc w:val="center"/>
              <w:rPr>
                <w:b/>
              </w:rPr>
            </w:pPr>
            <w:r w:rsidRPr="009B5DDC">
              <w:rPr>
                <w:b/>
              </w:rPr>
              <w:t>II</w:t>
            </w:r>
          </w:p>
        </w:tc>
        <w:tc>
          <w:tcPr>
            <w:tcW w:w="7087" w:type="dxa"/>
            <w:tcBorders>
              <w:top w:val="nil"/>
              <w:left w:val="nil"/>
              <w:bottom w:val="nil"/>
              <w:right w:val="nil"/>
            </w:tcBorders>
            <w:shd w:val="clear" w:color="auto" w:fill="auto"/>
            <w:noWrap/>
            <w:vAlign w:val="center"/>
            <w:hideMark/>
          </w:tcPr>
          <w:p w14:paraId="2CE8914F" w14:textId="5040AA40" w:rsidR="009B5DDC" w:rsidRPr="009B5DDC" w:rsidRDefault="009B5DDC" w:rsidP="004132C4">
            <w:pPr>
              <w:pStyle w:val="Txttable"/>
              <w:jc w:val="left"/>
            </w:pPr>
            <w:r w:rsidRPr="009B5DDC">
              <w:t xml:space="preserve">projekti koji će do </w:t>
            </w:r>
            <w:r w:rsidR="004132C4">
              <w:t>kraja</w:t>
            </w:r>
            <w:r w:rsidRPr="009B5DDC">
              <w:t xml:space="preserve"> 2020. imati dovršenu projektnu dokumentaciju i dozvole/biti spremni za provedbu</w:t>
            </w:r>
          </w:p>
        </w:tc>
      </w:tr>
      <w:tr w:rsidR="009B5DDC" w:rsidRPr="009B5DDC" w14:paraId="45018C9B" w14:textId="77777777" w:rsidTr="009B5DDC">
        <w:trPr>
          <w:trHeight w:val="300"/>
        </w:trPr>
        <w:tc>
          <w:tcPr>
            <w:tcW w:w="1985" w:type="dxa"/>
            <w:tcBorders>
              <w:top w:val="nil"/>
              <w:left w:val="nil"/>
              <w:bottom w:val="nil"/>
              <w:right w:val="nil"/>
            </w:tcBorders>
            <w:shd w:val="clear" w:color="auto" w:fill="auto"/>
            <w:noWrap/>
            <w:vAlign w:val="center"/>
            <w:hideMark/>
          </w:tcPr>
          <w:p w14:paraId="3F11A923" w14:textId="77777777" w:rsidR="009B5DDC" w:rsidRPr="009B5DDC" w:rsidRDefault="009B5DDC" w:rsidP="009B5DDC">
            <w:pPr>
              <w:pStyle w:val="Txttable"/>
              <w:jc w:val="center"/>
              <w:rPr>
                <w:b/>
              </w:rPr>
            </w:pPr>
            <w:r w:rsidRPr="009B5DDC">
              <w:rPr>
                <w:b/>
              </w:rPr>
              <w:lastRenderedPageBreak/>
              <w:t>III</w:t>
            </w:r>
          </w:p>
        </w:tc>
        <w:tc>
          <w:tcPr>
            <w:tcW w:w="7087" w:type="dxa"/>
            <w:tcBorders>
              <w:top w:val="nil"/>
              <w:left w:val="nil"/>
              <w:bottom w:val="nil"/>
              <w:right w:val="nil"/>
            </w:tcBorders>
            <w:shd w:val="clear" w:color="auto" w:fill="auto"/>
            <w:noWrap/>
            <w:vAlign w:val="center"/>
            <w:hideMark/>
          </w:tcPr>
          <w:p w14:paraId="23927790" w14:textId="77777777" w:rsidR="009B5DDC" w:rsidRPr="009B5DDC" w:rsidRDefault="009B5DDC" w:rsidP="009B5DDC">
            <w:pPr>
              <w:pStyle w:val="Txttable"/>
              <w:jc w:val="left"/>
            </w:pPr>
            <w:r w:rsidRPr="009B5DDC">
              <w:t>ostali projekti</w:t>
            </w:r>
          </w:p>
        </w:tc>
      </w:tr>
    </w:tbl>
    <w:p w14:paraId="36CB2EA4" w14:textId="455AE540" w:rsidR="009B5DDC" w:rsidRDefault="009E0FEF" w:rsidP="003729FA">
      <w:r>
        <w:t xml:space="preserve">Spomenuta analiza pokazala je da trenutno na području VUP Karlovac </w:t>
      </w:r>
      <w:r w:rsidR="00523A63">
        <w:rPr>
          <w:b/>
        </w:rPr>
        <w:t xml:space="preserve">postoji </w:t>
      </w:r>
      <w:r w:rsidR="009F32AD">
        <w:rPr>
          <w:b/>
        </w:rPr>
        <w:t>64</w:t>
      </w:r>
      <w:r w:rsidR="00523A63">
        <w:rPr>
          <w:b/>
        </w:rPr>
        <w:t xml:space="preserve"> projekata ukupne vrijednosti </w:t>
      </w:r>
      <w:r w:rsidR="009F32AD">
        <w:rPr>
          <w:b/>
        </w:rPr>
        <w:t>138</w:t>
      </w:r>
      <w:r w:rsidR="00523A63">
        <w:rPr>
          <w:b/>
        </w:rPr>
        <w:t>,9</w:t>
      </w:r>
      <w:r w:rsidRPr="009E0FEF">
        <w:rPr>
          <w:b/>
        </w:rPr>
        <w:t xml:space="preserve"> mil. EUR (</w:t>
      </w:r>
      <w:r w:rsidR="009F32AD">
        <w:rPr>
          <w:b/>
        </w:rPr>
        <w:t>1,041,983,374</w:t>
      </w:r>
      <w:r w:rsidRPr="009E0FEF">
        <w:rPr>
          <w:b/>
        </w:rPr>
        <w:t xml:space="preserve"> HRK) u potpunosti spremnih za provedbu</w:t>
      </w:r>
      <w:r>
        <w:t xml:space="preserve"> (I kategorija, odnosno s ishođenim ili pred ishođenjem dozvola za gradnju).  Dodatnih </w:t>
      </w:r>
      <w:r w:rsidR="009F32AD">
        <w:t>45</w:t>
      </w:r>
      <w:r>
        <w:t xml:space="preserve"> projekata vrijednosti </w:t>
      </w:r>
      <w:r w:rsidR="009F32AD">
        <w:t>38,8</w:t>
      </w:r>
      <w:r>
        <w:t xml:space="preserve"> mil EUR nalazi se u kategoriji II, odnosno može biti spremno za provedbu </w:t>
      </w:r>
      <w:r w:rsidR="004132C4">
        <w:t>do kraja</w:t>
      </w:r>
      <w:r>
        <w:t xml:space="preserve"> 2020. godine.</w:t>
      </w:r>
    </w:p>
    <w:p w14:paraId="5ED4BB18" w14:textId="66002E80" w:rsidR="009B5DDC" w:rsidRDefault="00117274" w:rsidP="00117274">
      <w:pPr>
        <w:pStyle w:val="Caption"/>
      </w:pPr>
      <w:bookmarkStart w:id="96" w:name="_Toc437387467"/>
      <w:r>
        <w:t xml:space="preserve">Dijagram </w:t>
      </w:r>
      <w:r>
        <w:fldChar w:fldCharType="begin"/>
      </w:r>
      <w:r>
        <w:instrText xml:space="preserve"> SEQ Dijagram \* ARABIC </w:instrText>
      </w:r>
      <w:r>
        <w:fldChar w:fldCharType="separate"/>
      </w:r>
      <w:r w:rsidR="001358A9">
        <w:rPr>
          <w:noProof/>
        </w:rPr>
        <w:t>4</w:t>
      </w:r>
      <w:r>
        <w:fldChar w:fldCharType="end"/>
      </w:r>
      <w:r w:rsidR="00D137CD">
        <w:t xml:space="preserve">. Projekti </w:t>
      </w:r>
      <w:r>
        <w:t xml:space="preserve">u indikativnoj bazi, </w:t>
      </w:r>
      <w:r w:rsidR="00D137CD">
        <w:t>po zrelosti</w:t>
      </w:r>
      <w:r>
        <w:t xml:space="preserve"> i JLS</w:t>
      </w:r>
      <w:bookmarkEnd w:id="96"/>
    </w:p>
    <w:p w14:paraId="3B3F64E6" w14:textId="12AA06A5" w:rsidR="00D137CD" w:rsidRDefault="009F32AD" w:rsidP="009F32AD">
      <w:pPr>
        <w:jc w:val="center"/>
      </w:pPr>
      <w:r>
        <w:rPr>
          <w:noProof/>
          <w:lang w:val="en-US"/>
        </w:rPr>
        <w:drawing>
          <wp:inline distT="0" distB="0" distL="0" distR="0" wp14:anchorId="4B6BFD23" wp14:editId="45AAEA12">
            <wp:extent cx="4559300" cy="2778760"/>
            <wp:effectExtent l="0" t="0" r="12700" b="1524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725710E" w14:textId="77777777" w:rsidR="00D33134" w:rsidRDefault="00D33134" w:rsidP="005D2FD1">
      <w:pPr>
        <w:jc w:val="left"/>
      </w:pPr>
    </w:p>
    <w:p w14:paraId="19BAFB4E" w14:textId="54E0F712" w:rsidR="003D5BD9" w:rsidRDefault="002157C6" w:rsidP="000C010B">
      <w:r w:rsidRPr="000C010B">
        <w:t xml:space="preserve">Konačno, treći element temeljem kojeg je utvrđen strateški okvir </w:t>
      </w:r>
      <w:r w:rsidR="00B55150">
        <w:t>SRVUPKA</w:t>
      </w:r>
      <w:r w:rsidRPr="000C010B">
        <w:t xml:space="preserve">, </w:t>
      </w:r>
      <w:r w:rsidR="003D5BD9" w:rsidRPr="000C010B">
        <w:t>jesu odrednice</w:t>
      </w:r>
      <w:r w:rsidR="003D5BD9">
        <w:t xml:space="preserve"> dokumenata i strategija višeg reda, kao što su:</w:t>
      </w:r>
    </w:p>
    <w:p w14:paraId="39E6F3FC" w14:textId="54F51468" w:rsidR="000C010B" w:rsidRDefault="003D5BD9" w:rsidP="00655D2A">
      <w:pPr>
        <w:pStyle w:val="ListParagraph"/>
        <w:numPr>
          <w:ilvl w:val="0"/>
          <w:numId w:val="45"/>
        </w:numPr>
        <w:jc w:val="left"/>
      </w:pPr>
      <w:r>
        <w:t xml:space="preserve">Strategija </w:t>
      </w:r>
      <w:r w:rsidR="000C010B">
        <w:t>prostornog razvoja Republike Hrvatske</w:t>
      </w:r>
    </w:p>
    <w:p w14:paraId="0A0E90DE" w14:textId="43BC7048" w:rsidR="00D137CD" w:rsidRDefault="000C010B" w:rsidP="00655D2A">
      <w:pPr>
        <w:pStyle w:val="ListParagraph"/>
        <w:numPr>
          <w:ilvl w:val="0"/>
          <w:numId w:val="45"/>
        </w:numPr>
        <w:jc w:val="left"/>
      </w:pPr>
      <w:r>
        <w:t xml:space="preserve">Strategija </w:t>
      </w:r>
      <w:r w:rsidR="003D5BD9">
        <w:t xml:space="preserve">regionalnog </w:t>
      </w:r>
      <w:r w:rsidR="00CD628D">
        <w:t>razvoja R</w:t>
      </w:r>
      <w:r w:rsidR="003D5BD9">
        <w:t xml:space="preserve">epublike Hrvatske za razdoblje do kraja 2020. </w:t>
      </w:r>
      <w:r w:rsidR="00CD628D">
        <w:t>godine</w:t>
      </w:r>
    </w:p>
    <w:p w14:paraId="5823DD48" w14:textId="05A8EBAF" w:rsidR="00CD628D" w:rsidRDefault="00CD628D" w:rsidP="00655D2A">
      <w:pPr>
        <w:pStyle w:val="ListParagraph"/>
        <w:numPr>
          <w:ilvl w:val="0"/>
          <w:numId w:val="45"/>
        </w:numPr>
      </w:pPr>
      <w:r w:rsidRPr="00CD628D">
        <w:t xml:space="preserve">Partnerski sporazum između Republike Hrvatske i Europske komisije za korištenje Strukturnih i investicijskih fondova EU-a za rast i radna mjesta u razdoblju 2014.-2020. </w:t>
      </w:r>
    </w:p>
    <w:p w14:paraId="1D2A1047" w14:textId="4DB40F57" w:rsidR="00CD628D" w:rsidRDefault="00CD628D" w:rsidP="00655D2A">
      <w:pPr>
        <w:pStyle w:val="ListParagraph"/>
        <w:numPr>
          <w:ilvl w:val="0"/>
          <w:numId w:val="45"/>
        </w:numPr>
        <w:jc w:val="left"/>
      </w:pPr>
      <w:r>
        <w:t>Prostorni plan Karlovačke županije</w:t>
      </w:r>
    </w:p>
    <w:p w14:paraId="026F1296" w14:textId="0198D82A" w:rsidR="00D33134" w:rsidRDefault="003D5BD9" w:rsidP="00655D2A">
      <w:pPr>
        <w:pStyle w:val="ListParagraph"/>
        <w:numPr>
          <w:ilvl w:val="0"/>
          <w:numId w:val="45"/>
        </w:numPr>
        <w:jc w:val="left"/>
      </w:pPr>
      <w:r>
        <w:t xml:space="preserve">Strategija razvoja turizma Karlovačke županije do 2025. </w:t>
      </w:r>
      <w:r w:rsidR="00CD628D">
        <w:t>godine</w:t>
      </w:r>
    </w:p>
    <w:p w14:paraId="666B428A" w14:textId="47D28A31" w:rsidR="003D5BD9" w:rsidRDefault="003D5BD9" w:rsidP="00655D2A">
      <w:pPr>
        <w:pStyle w:val="ListParagraph"/>
        <w:numPr>
          <w:ilvl w:val="0"/>
          <w:numId w:val="45"/>
        </w:numPr>
        <w:jc w:val="left"/>
      </w:pPr>
      <w:r>
        <w:t>Studija prometnog razv</w:t>
      </w:r>
      <w:r w:rsidR="00CD628D">
        <w:t>oja K</w:t>
      </w:r>
      <w:r>
        <w:t>arlovačke županije</w:t>
      </w:r>
    </w:p>
    <w:p w14:paraId="18859E01" w14:textId="3CA0B8DA" w:rsidR="003D5BD9" w:rsidRDefault="003D5BD9" w:rsidP="00655D2A">
      <w:pPr>
        <w:pStyle w:val="ListParagraph"/>
        <w:numPr>
          <w:ilvl w:val="0"/>
          <w:numId w:val="45"/>
        </w:numPr>
        <w:jc w:val="left"/>
      </w:pPr>
      <w:r>
        <w:t>Strategija razvoja ljudskih potencijala Karlovačke županije</w:t>
      </w:r>
      <w:r w:rsidR="00CD628D">
        <w:t xml:space="preserve"> 2014. - 2016.</w:t>
      </w:r>
    </w:p>
    <w:p w14:paraId="44E56E9E" w14:textId="6F768210" w:rsidR="00CD628D" w:rsidRPr="00CD628D" w:rsidRDefault="00CD628D" w:rsidP="00655D2A">
      <w:pPr>
        <w:pStyle w:val="ListParagraph"/>
        <w:numPr>
          <w:ilvl w:val="0"/>
          <w:numId w:val="45"/>
        </w:numPr>
      </w:pPr>
      <w:r w:rsidRPr="00CD628D">
        <w:t>Strategija razvo</w:t>
      </w:r>
      <w:r>
        <w:t>ja lovnog i ribolovnog turizma K</w:t>
      </w:r>
      <w:r w:rsidRPr="00CD628D">
        <w:t>arlovačke županije do 2020. godine</w:t>
      </w:r>
    </w:p>
    <w:p w14:paraId="024E78E7" w14:textId="77777777" w:rsidR="00CD628D" w:rsidRDefault="00CD628D" w:rsidP="00655D2A">
      <w:pPr>
        <w:pStyle w:val="ListParagraph"/>
        <w:numPr>
          <w:ilvl w:val="0"/>
          <w:numId w:val="45"/>
        </w:numPr>
        <w:jc w:val="left"/>
      </w:pPr>
      <w:r>
        <w:t>Županijska razvojna strategija 2011. - 2013.</w:t>
      </w:r>
    </w:p>
    <w:p w14:paraId="730C5EE0" w14:textId="77777777" w:rsidR="00CD628D" w:rsidRDefault="00CD628D" w:rsidP="00CD628D">
      <w:pPr>
        <w:jc w:val="left"/>
      </w:pPr>
    </w:p>
    <w:p w14:paraId="4369DF63" w14:textId="77777777" w:rsidR="00CD628D" w:rsidRDefault="00CD628D" w:rsidP="00CD628D"/>
    <w:p w14:paraId="7A28B890" w14:textId="1792B352" w:rsidR="003D5BD9" w:rsidRDefault="003D5BD9">
      <w:pPr>
        <w:spacing w:before="0" w:after="0"/>
        <w:jc w:val="left"/>
      </w:pPr>
      <w:r>
        <w:br w:type="page"/>
      </w:r>
    </w:p>
    <w:p w14:paraId="71F61559" w14:textId="77777777" w:rsidR="00D33134" w:rsidRPr="007A2202" w:rsidRDefault="00D33134" w:rsidP="005D2FD1">
      <w:pPr>
        <w:jc w:val="left"/>
      </w:pPr>
    </w:p>
    <w:p w14:paraId="75B4A921" w14:textId="4540A67C" w:rsidR="007A2202" w:rsidRPr="007A2202" w:rsidRDefault="007A2202" w:rsidP="007A2202">
      <w:pPr>
        <w:pStyle w:val="Heading2"/>
      </w:pPr>
      <w:bookmarkStart w:id="97" w:name="_Toc437390599"/>
      <w:r w:rsidRPr="007A2202">
        <w:t>Vizija</w:t>
      </w:r>
      <w:r w:rsidR="00501A24">
        <w:t xml:space="preserve"> razvoja </w:t>
      </w:r>
      <w:r w:rsidR="00B55150">
        <w:t>SRVUPKA</w:t>
      </w:r>
      <w:bookmarkEnd w:id="97"/>
    </w:p>
    <w:p w14:paraId="46831D51" w14:textId="0D7CFE9C" w:rsidR="007A2202" w:rsidRDefault="007A2202" w:rsidP="007A2202">
      <w:r w:rsidRPr="00DA239E">
        <w:rPr>
          <w:i/>
          <w:noProof/>
        </w:rPr>
        <w:t>Vizija za</w:t>
      </w:r>
      <w:r w:rsidR="003F1F45">
        <w:rPr>
          <w:i/>
          <w:noProof/>
        </w:rPr>
        <w:t xml:space="preserve"> Veće</w:t>
      </w:r>
      <w:r w:rsidRPr="00DA239E">
        <w:rPr>
          <w:i/>
          <w:noProof/>
        </w:rPr>
        <w:t xml:space="preserve"> urbano područje</w:t>
      </w:r>
      <w:r w:rsidR="003F1F45">
        <w:rPr>
          <w:i/>
          <w:noProof/>
        </w:rPr>
        <w:t xml:space="preserve"> Karlovac</w:t>
      </w:r>
      <w:r>
        <w:t xml:space="preserve">: </w:t>
      </w:r>
    </w:p>
    <w:p w14:paraId="2F088A76" w14:textId="77777777" w:rsidR="007A2202" w:rsidRPr="00442108" w:rsidRDefault="007A2202" w:rsidP="007A2202">
      <w:pPr>
        <w:jc w:val="center"/>
        <w:rPr>
          <w:b/>
          <w:color w:val="31849B" w:themeColor="accent5" w:themeShade="BF"/>
        </w:rPr>
      </w:pPr>
      <w:r w:rsidRPr="00442108">
        <w:rPr>
          <w:b/>
          <w:color w:val="31849B" w:themeColor="accent5" w:themeShade="BF"/>
        </w:rPr>
        <w:t>Integrirani gospodarski, društveni i prostorni razvoj Većeg urbanog područja Karlovac.</w:t>
      </w:r>
    </w:p>
    <w:p w14:paraId="3A12DC84" w14:textId="3156A66B" w:rsidR="007A2202" w:rsidRPr="007A2202" w:rsidRDefault="007A2202" w:rsidP="007A2202">
      <w:pPr>
        <w:rPr>
          <w:sz w:val="24"/>
          <w:szCs w:val="24"/>
        </w:rPr>
      </w:pPr>
      <w:r>
        <w:t>Vizija razvoja područja VUP Karlovac postavljena je sveobuhvatno, integrirajući i uvažavajući potrebe i potencijale</w:t>
      </w:r>
      <w:r w:rsidRPr="007A2202">
        <w:t xml:space="preserve"> </w:t>
      </w:r>
      <w:r>
        <w:t>u odnosu na sva tri stupa održivog razvoja</w:t>
      </w:r>
      <w:r w:rsidRPr="007A2202">
        <w:t>: društv</w:t>
      </w:r>
      <w:r>
        <w:t>o, gospodarstvo</w:t>
      </w:r>
      <w:r w:rsidRPr="007A2202">
        <w:t xml:space="preserve"> i okoliš. </w:t>
      </w:r>
      <w:r w:rsidR="00A36C2D">
        <w:t xml:space="preserve">Ovako postavljena vizija uvažava činjenicu da održivi i uravnoteženi prostorni i regionalni razvoj ovisi o potencijalima stanovništva, dostupnim javnim uslugama, prometnoj </w:t>
      </w:r>
      <w:r w:rsidR="003F1F45">
        <w:t>povezanosti</w:t>
      </w:r>
      <w:r w:rsidR="00A36C2D">
        <w:t xml:space="preserve"> i konkurentnosti gospodarstva koje treba poticati nizom skupnih ili pojedinačnih mjera. </w:t>
      </w:r>
      <w:r>
        <w:t xml:space="preserve">To </w:t>
      </w:r>
      <w:r w:rsidR="00A36C2D">
        <w:t>znači</w:t>
      </w:r>
      <w:r>
        <w:t xml:space="preserve"> stvaranje preduvjeta </w:t>
      </w:r>
      <w:r w:rsidRPr="007A2202">
        <w:t xml:space="preserve">za </w:t>
      </w:r>
      <w:r>
        <w:t xml:space="preserve">postojanje vitalnog i kvalitetnog društvenog života, fleksibilnog, konkurentnog i modernog gospodarstva te mudro gospodarenje </w:t>
      </w:r>
      <w:r w:rsidRPr="007A2202">
        <w:t>prostornim resursima</w:t>
      </w:r>
      <w:r w:rsidR="00745106">
        <w:t>, urbanim i prirodnim</w:t>
      </w:r>
      <w:r w:rsidRPr="007A2202">
        <w:t xml:space="preserve"> okolišem. </w:t>
      </w:r>
      <w:r w:rsidR="00A36C2D">
        <w:t>Nadalje, o</w:t>
      </w:r>
      <w:r w:rsidR="00B83033">
        <w:t>vako postavljena vizija razvoja u skladu je s vizijama razvoja svake pojedine JLS, kako je definirano njihovim strateškim dokumentima.</w:t>
      </w:r>
    </w:p>
    <w:p w14:paraId="6E622886" w14:textId="77777777" w:rsidR="00E04B40" w:rsidRDefault="00E04B40">
      <w:pPr>
        <w:rPr>
          <w:i/>
          <w:noProof/>
        </w:rPr>
      </w:pPr>
    </w:p>
    <w:p w14:paraId="46B9976A" w14:textId="77777777" w:rsidR="00165B91" w:rsidRPr="00DA239E" w:rsidRDefault="00165B91">
      <w:pPr>
        <w:rPr>
          <w:i/>
          <w:noProof/>
        </w:rPr>
      </w:pPr>
    </w:p>
    <w:p w14:paraId="58F2855D" w14:textId="139489C5" w:rsidR="00E04B40" w:rsidRPr="00DA239E" w:rsidRDefault="00501A24" w:rsidP="001A5F94">
      <w:pPr>
        <w:pStyle w:val="Heading2"/>
        <w:rPr>
          <w:noProof/>
        </w:rPr>
      </w:pPr>
      <w:bookmarkStart w:id="98" w:name="_Toc437390600"/>
      <w:r>
        <w:rPr>
          <w:noProof/>
        </w:rPr>
        <w:t xml:space="preserve">Strategija razvoja </w:t>
      </w:r>
      <w:r w:rsidR="00B55150">
        <w:rPr>
          <w:noProof/>
        </w:rPr>
        <w:t>SRVUPKA</w:t>
      </w:r>
      <w:r>
        <w:rPr>
          <w:noProof/>
        </w:rPr>
        <w:t xml:space="preserve"> - </w:t>
      </w:r>
      <w:r w:rsidR="003F6F4B">
        <w:rPr>
          <w:noProof/>
        </w:rPr>
        <w:t xml:space="preserve">Specifični </w:t>
      </w:r>
      <w:r w:rsidR="00981C44">
        <w:rPr>
          <w:noProof/>
        </w:rPr>
        <w:t>C</w:t>
      </w:r>
      <w:r w:rsidR="00CE29A5" w:rsidRPr="00DA239E">
        <w:rPr>
          <w:noProof/>
        </w:rPr>
        <w:t>iljevi</w:t>
      </w:r>
      <w:bookmarkEnd w:id="98"/>
    </w:p>
    <w:p w14:paraId="278ED05D" w14:textId="7F7FC811" w:rsidR="004A6096" w:rsidRDefault="00E73B60" w:rsidP="003F6F4B">
      <w:r>
        <w:t xml:space="preserve">Kroz proces participativnog strateškog planiranja, analizom i sintezom razvojnih problema i potencijala te </w:t>
      </w:r>
      <w:r w:rsidR="00501A24">
        <w:t xml:space="preserve">promišljanjem razvojnih scenarija, utvrđen je generalni razvojni smjer urbanog područja Karlovac koji podrazumijeva tri </w:t>
      </w:r>
      <w:r w:rsidR="004A6096">
        <w:t xml:space="preserve">generalna područja djelovanja – </w:t>
      </w:r>
      <w:r w:rsidR="00F756D2">
        <w:t xml:space="preserve">tri </w:t>
      </w:r>
      <w:r w:rsidR="004A6096">
        <w:t xml:space="preserve">specifična cilja </w:t>
      </w:r>
      <w:r w:rsidR="00B55150">
        <w:t>SRVUPKA</w:t>
      </w:r>
      <w:r w:rsidR="00F756D2">
        <w:t xml:space="preserve"> </w:t>
      </w:r>
      <w:r w:rsidR="002E7F54">
        <w:t>- koja su percipirana kao glavni pokretači promjena u željenom smjeru</w:t>
      </w:r>
      <w:r w:rsidR="00B45F01">
        <w:t xml:space="preserve"> razvoja</w:t>
      </w:r>
      <w:r w:rsidR="004A6096">
        <w:t>.</w:t>
      </w:r>
    </w:p>
    <w:p w14:paraId="1B577D05" w14:textId="2A40A059" w:rsidR="004A6096" w:rsidRDefault="002E7F54" w:rsidP="005C3C9B">
      <w:pPr>
        <w:jc w:val="center"/>
      </w:pPr>
      <w:r>
        <w:rPr>
          <w:b/>
          <w:noProof/>
          <w:lang w:val="en-US"/>
        </w:rPr>
        <w:drawing>
          <wp:inline distT="0" distB="0" distL="0" distR="0" wp14:anchorId="3F185F77" wp14:editId="15D6BD2A">
            <wp:extent cx="3506470" cy="35096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tegija.png"/>
                    <pic:cNvPicPr/>
                  </pic:nvPicPr>
                  <pic:blipFill>
                    <a:blip r:embed="rId13">
                      <a:extLst>
                        <a:ext uri="{28A0092B-C50C-407E-A947-70E740481C1C}">
                          <a14:useLocalDpi xmlns:a14="http://schemas.microsoft.com/office/drawing/2010/main" val="0"/>
                        </a:ext>
                      </a:extLst>
                    </a:blip>
                    <a:stretch>
                      <a:fillRect/>
                    </a:stretch>
                  </pic:blipFill>
                  <pic:spPr>
                    <a:xfrm>
                      <a:off x="0" y="0"/>
                      <a:ext cx="3506470" cy="3509645"/>
                    </a:xfrm>
                    <a:prstGeom prst="rect">
                      <a:avLst/>
                    </a:prstGeom>
                  </pic:spPr>
                </pic:pic>
              </a:graphicData>
            </a:graphic>
          </wp:inline>
        </w:drawing>
      </w:r>
    </w:p>
    <w:p w14:paraId="59FDEAC6" w14:textId="643B3308" w:rsidR="00E718BC" w:rsidRPr="009304F2" w:rsidRDefault="00E718BC" w:rsidP="00E718BC">
      <w:pPr>
        <w:rPr>
          <w:b/>
          <w:color w:val="660066"/>
        </w:rPr>
      </w:pPr>
      <w:r w:rsidRPr="009304F2">
        <w:rPr>
          <w:b/>
          <w:color w:val="660066"/>
        </w:rPr>
        <w:t>Specifični Cilj 1. Revitaliz</w:t>
      </w:r>
      <w:r w:rsidR="003F1F45">
        <w:rPr>
          <w:b/>
          <w:color w:val="660066"/>
        </w:rPr>
        <w:t>ir</w:t>
      </w:r>
      <w:r w:rsidRPr="009304F2">
        <w:rPr>
          <w:b/>
          <w:color w:val="660066"/>
        </w:rPr>
        <w:t>ane urbane cjeline VUPKA</w:t>
      </w:r>
    </w:p>
    <w:p w14:paraId="7DAD1FE8" w14:textId="224701F0" w:rsidR="00E718BC" w:rsidRPr="009304F2" w:rsidRDefault="00E718BC" w:rsidP="00E718BC">
      <w:pPr>
        <w:rPr>
          <w:color w:val="660066"/>
        </w:rPr>
      </w:pPr>
      <w:r w:rsidRPr="009304F2">
        <w:rPr>
          <w:i/>
          <w:color w:val="660066"/>
        </w:rPr>
        <w:t>Cilj</w:t>
      </w:r>
      <w:r w:rsidRPr="009304F2">
        <w:rPr>
          <w:color w:val="660066"/>
        </w:rPr>
        <w:t xml:space="preserve">: Unaprijediti fizičke, gospodarske i socijalne strukture centralnih naselja VUPKA kao poželjnih mjesta stanovanja i rada. </w:t>
      </w:r>
    </w:p>
    <w:p w14:paraId="75AE0994" w14:textId="77777777" w:rsidR="00E718BC" w:rsidRDefault="00E718BC" w:rsidP="00E718BC">
      <w:r>
        <w:t>Prioriteti:</w:t>
      </w:r>
    </w:p>
    <w:p w14:paraId="30B26E2C" w14:textId="09C120C8" w:rsidR="00E718BC" w:rsidRDefault="00E718BC" w:rsidP="00E718BC">
      <w:pPr>
        <w:ind w:left="720"/>
        <w:rPr>
          <w:b/>
        </w:rPr>
      </w:pPr>
      <w:r>
        <w:rPr>
          <w:b/>
        </w:rPr>
        <w:t>SC1.P</w:t>
      </w:r>
      <w:r w:rsidRPr="00686B9D">
        <w:rPr>
          <w:b/>
        </w:rPr>
        <w:t xml:space="preserve">1 </w:t>
      </w:r>
      <w:r w:rsidR="00516236">
        <w:rPr>
          <w:b/>
        </w:rPr>
        <w:t>Obnova urban</w:t>
      </w:r>
      <w:r w:rsidR="005A2707">
        <w:rPr>
          <w:b/>
        </w:rPr>
        <w:t xml:space="preserve">ih </w:t>
      </w:r>
      <w:r w:rsidR="00516236">
        <w:rPr>
          <w:b/>
        </w:rPr>
        <w:t>gradskih jezgri</w:t>
      </w:r>
    </w:p>
    <w:p w14:paraId="5E425076" w14:textId="77777777" w:rsidR="00E718BC" w:rsidRDefault="00E718BC" w:rsidP="00E718BC">
      <w:pPr>
        <w:ind w:left="720"/>
        <w:rPr>
          <w:b/>
        </w:rPr>
      </w:pPr>
      <w:r>
        <w:rPr>
          <w:b/>
        </w:rPr>
        <w:lastRenderedPageBreak/>
        <w:t>SC1.P2 Razvoj sadržaja za revitalizaciju gospodarskog i društvenog života</w:t>
      </w:r>
    </w:p>
    <w:p w14:paraId="5118C5D9" w14:textId="52C4EACA" w:rsidR="007E41D9" w:rsidRPr="009304F2" w:rsidRDefault="009304F2" w:rsidP="003F6F4B">
      <w:pPr>
        <w:rPr>
          <w:i/>
          <w:color w:val="660066"/>
        </w:rPr>
      </w:pPr>
      <w:r w:rsidRPr="009304F2">
        <w:rPr>
          <w:i/>
          <w:color w:val="660066"/>
        </w:rPr>
        <w:t>Što</w:t>
      </w:r>
    </w:p>
    <w:p w14:paraId="53FE927C" w14:textId="4E52CA4E" w:rsidR="007E41D9" w:rsidRDefault="000E2CBC" w:rsidP="007E41D9">
      <w:r>
        <w:t>Prvo područje djelovanja odnosi se na</w:t>
      </w:r>
      <w:r w:rsidR="002E7F54">
        <w:t xml:space="preserve"> </w:t>
      </w:r>
      <w:r w:rsidR="002E7F54" w:rsidRPr="0085670C">
        <w:rPr>
          <w:b/>
          <w:color w:val="5F497A" w:themeColor="accent4" w:themeShade="BF"/>
        </w:rPr>
        <w:t>revitalizacij</w:t>
      </w:r>
      <w:r>
        <w:rPr>
          <w:b/>
          <w:color w:val="5F497A" w:themeColor="accent4" w:themeShade="BF"/>
        </w:rPr>
        <w:t>u</w:t>
      </w:r>
      <w:r w:rsidR="002E7F54" w:rsidRPr="0085670C">
        <w:rPr>
          <w:b/>
          <w:color w:val="5F497A" w:themeColor="accent4" w:themeShade="BF"/>
        </w:rPr>
        <w:t xml:space="preserve"> </w:t>
      </w:r>
      <w:r w:rsidR="000D7C1A">
        <w:rPr>
          <w:b/>
          <w:color w:val="5F497A" w:themeColor="accent4" w:themeShade="BF"/>
        </w:rPr>
        <w:t xml:space="preserve">urbanih centara i njihovih </w:t>
      </w:r>
      <w:r w:rsidR="002E7F54" w:rsidRPr="0085670C">
        <w:rPr>
          <w:b/>
          <w:color w:val="5F497A" w:themeColor="accent4" w:themeShade="BF"/>
        </w:rPr>
        <w:t>gradskih urbanih jezgri</w:t>
      </w:r>
      <w:r w:rsidR="002E7F54">
        <w:t xml:space="preserve">, </w:t>
      </w:r>
      <w:r w:rsidR="00400B2F">
        <w:t>kao žarišta socio-ekonomske transformacije i mjesta intenzivne cirkulacije ljudi, roba i informacija. Pri tome se uvažava činjenica da su centralna naselja – Karlovac, Duga Resa i Ozalj - pokretači i nositelji funkcionalnih odnosa s užim i širim gravitacijskim područjem, odnosno zonama različitog intenziteta funkcionalne međuovisnosti</w:t>
      </w:r>
      <w:r w:rsidR="005165ED">
        <w:t>, kao i potreba da se uvaži prostorni aspekt opće i ekonomske razvojne politike</w:t>
      </w:r>
      <w:r w:rsidR="00400B2F">
        <w:t>.</w:t>
      </w:r>
      <w:r w:rsidR="00364E26">
        <w:t xml:space="preserve"> Intervencijama u urbana tkiva i jačanjem njihovih funkcija nastoji se ojačati 'nodalnu regiju' VUPKA, odnosno </w:t>
      </w:r>
      <w:r w:rsidR="002212E8">
        <w:t>ojačati</w:t>
      </w:r>
      <w:r w:rsidR="00364E26">
        <w:t xml:space="preserve"> prostorno-funkcionalnu cjelinu koju čine tri grada i u kojoj postoji stalna interak</w:t>
      </w:r>
      <w:r w:rsidR="00BF3C4F">
        <w:t>cija ljudi, roba i informacija te iskoristiti komparativne prednosti područja, kao što je centralna geografska pozicija i dobra prometna povezanost.</w:t>
      </w:r>
    </w:p>
    <w:p w14:paraId="14E042E6" w14:textId="0E2A8674" w:rsidR="002C2787" w:rsidRPr="009304F2" w:rsidRDefault="009304F2" w:rsidP="003F6F4B">
      <w:pPr>
        <w:rPr>
          <w:color w:val="660066"/>
        </w:rPr>
      </w:pPr>
      <w:r w:rsidRPr="009304F2">
        <w:rPr>
          <w:i/>
          <w:color w:val="660066"/>
        </w:rPr>
        <w:t>Zašto</w:t>
      </w:r>
    </w:p>
    <w:p w14:paraId="26815AD6" w14:textId="4E21A3C8" w:rsidR="00A36C2D" w:rsidRPr="00A36C2D" w:rsidRDefault="009916D5" w:rsidP="00A36C2D">
      <w:r w:rsidRPr="002212E8">
        <w:t xml:space="preserve">Disperzna naseljenost te velik broj malih naselja jedno je od temeljnih demogeografskih </w:t>
      </w:r>
      <w:r w:rsidR="002212E8">
        <w:t xml:space="preserve">i </w:t>
      </w:r>
      <w:r w:rsidR="002C2787" w:rsidRPr="002212E8">
        <w:t xml:space="preserve">krajobraznih </w:t>
      </w:r>
      <w:r w:rsidRPr="002212E8">
        <w:t>obilježja Hrvatske</w:t>
      </w:r>
      <w:r w:rsidR="001E702B">
        <w:t>, a na VUPKA naročito je izražena na području Grada Ozlja</w:t>
      </w:r>
      <w:r w:rsidRPr="002212E8">
        <w:t xml:space="preserve">. U okolnostima </w:t>
      </w:r>
      <w:r w:rsidR="002C2787" w:rsidRPr="002212E8">
        <w:t xml:space="preserve">demografskog pada koji je započeo još u ’60-ima prošlog stoljeća, generalno </w:t>
      </w:r>
      <w:r w:rsidR="002212E8" w:rsidRPr="002212E8">
        <w:t xml:space="preserve">je izostalo </w:t>
      </w:r>
      <w:r w:rsidR="002C2787" w:rsidRPr="002212E8">
        <w:t xml:space="preserve"> </w:t>
      </w:r>
      <w:r w:rsidRPr="002212E8">
        <w:t xml:space="preserve">podupiranje gospodarskog i </w:t>
      </w:r>
      <w:r w:rsidR="002212E8" w:rsidRPr="002212E8">
        <w:t>društvenog razvoja odgovarajuć</w:t>
      </w:r>
      <w:r w:rsidRPr="002212E8">
        <w:t>eg broja gradskih regionalnih centara koji bi zadržali stanovništvo unutar regije</w:t>
      </w:r>
      <w:r w:rsidR="002212E8" w:rsidRPr="002212E8">
        <w:t>. U</w:t>
      </w:r>
      <w:r w:rsidR="007E41D9">
        <w:t>zimajući u obzir zatečene stupnjeve</w:t>
      </w:r>
      <w:r w:rsidR="002212E8" w:rsidRPr="002212E8">
        <w:t xml:space="preserve"> central</w:t>
      </w:r>
      <w:r w:rsidR="007E41D9">
        <w:t>iteta i funkcionalne hijerarhije koje se u načelu razvijaju po različitim principima (administrativni, opskrbni i prometni)</w:t>
      </w:r>
      <w:r w:rsidR="00EB53C2" w:rsidRPr="002212E8">
        <w:t>, nužn</w:t>
      </w:r>
      <w:r w:rsidR="002212E8">
        <w:t xml:space="preserve">o je da gradovi na depopulacijskim prostorima </w:t>
      </w:r>
      <w:r w:rsidR="00183396">
        <w:t xml:space="preserve">– kao što je prostor Karlovačke županije - </w:t>
      </w:r>
      <w:r w:rsidR="002212E8">
        <w:t>ubuduće postanu nositelji opć</w:t>
      </w:r>
      <w:r w:rsidR="00EB53C2" w:rsidRPr="002212E8">
        <w:t>eg razvoja u svome gravitacijsko funkcionalnom okruženju</w:t>
      </w:r>
      <w:r w:rsidR="002212E8">
        <w:t xml:space="preserve">. </w:t>
      </w:r>
      <w:r w:rsidR="007E41D9">
        <w:t>Drugim riječima, v</w:t>
      </w:r>
      <w:r w:rsidR="002212E8">
        <w:t>ažno je da grad</w:t>
      </w:r>
      <w:r w:rsidR="00244CF3">
        <w:t>ovi</w:t>
      </w:r>
      <w:r w:rsidR="002212E8">
        <w:t xml:space="preserve"> svojom velič</w:t>
      </w:r>
      <w:r w:rsidR="00EB53C2" w:rsidRPr="002212E8">
        <w:t>inom, tj. gospodarskom i društvenom infrastruktur</w:t>
      </w:r>
      <w:r w:rsidR="00244CF3">
        <w:t>om, zadrže</w:t>
      </w:r>
      <w:r w:rsidR="002212E8">
        <w:t xml:space="preserve"> stanovništvo </w:t>
      </w:r>
      <w:r w:rsidR="00244CF3">
        <w:t>ovog</w:t>
      </w:r>
      <w:r w:rsidR="00EB53C2" w:rsidRPr="002212E8">
        <w:t xml:space="preserve"> po</w:t>
      </w:r>
      <w:r w:rsidR="002212E8">
        <w:t>druč</w:t>
      </w:r>
      <w:r w:rsidR="00EB53C2" w:rsidRPr="002212E8">
        <w:t>ja</w:t>
      </w:r>
      <w:r w:rsidR="00244CF3">
        <w:t xml:space="preserve"> i na taj način doprinesu održivom regionalnom, odnosno policentričnom</w:t>
      </w:r>
      <w:r w:rsidR="00EB53C2" w:rsidRPr="002212E8">
        <w:t xml:space="preserve"> </w:t>
      </w:r>
      <w:r w:rsidR="00244CF3">
        <w:t>razvoju Republike Hrvatske, kako je utvrđeno nacionalnim strategijama prostornog i regionalnog razvoja.</w:t>
      </w:r>
      <w:r w:rsidR="00BF3C4F">
        <w:t xml:space="preserve"> </w:t>
      </w:r>
    </w:p>
    <w:p w14:paraId="3F7ABFEE" w14:textId="3807111E" w:rsidR="000D7C1A" w:rsidRPr="009304F2" w:rsidRDefault="009304F2" w:rsidP="000D7C1A">
      <w:pPr>
        <w:rPr>
          <w:i/>
          <w:color w:val="660066"/>
        </w:rPr>
      </w:pPr>
      <w:r w:rsidRPr="009304F2">
        <w:rPr>
          <w:i/>
          <w:color w:val="660066"/>
        </w:rPr>
        <w:t>Kako</w:t>
      </w:r>
    </w:p>
    <w:p w14:paraId="666B1258" w14:textId="44352A9D" w:rsidR="00E45EF4" w:rsidRDefault="00E24078" w:rsidP="00E24078">
      <w:r>
        <w:t>Jačanje razvojne uloge triju gradova podrazum</w:t>
      </w:r>
      <w:r w:rsidR="00192EA4">
        <w:t>i</w:t>
      </w:r>
      <w:r>
        <w:t xml:space="preserve">jeva izgradnju društvene infrastrukture, koja je okosnica </w:t>
      </w:r>
      <w:r w:rsidR="00002D0A" w:rsidRPr="00E24078">
        <w:t>središnjih funkcija nekog naselja.</w:t>
      </w:r>
      <w:r w:rsidR="00E45EF4">
        <w:t xml:space="preserve"> </w:t>
      </w:r>
      <w:r w:rsidR="00002D0A" w:rsidRPr="00E24078">
        <w:t>Društvene djelatnosti, kao sadržaji od javnog interesa, svrstavaju se u više temeljnih skupina središnjih funkcija prema njihovim glavnim svojstvima: uprava, pravosuđe, sustavi predškolskog, osnovnoškolskog i srednjoškolskog odgoja i obrazovanja, visokog obrazovanja, znanosti i tehnologije te kultura, zdravstvo, socijalna skrb, sport, udruge građana, političke stranke, vjerske zajednice i druge organizacije.</w:t>
      </w:r>
      <w:r w:rsidR="00E45EF4" w:rsidRPr="00E45EF4">
        <w:t xml:space="preserve"> </w:t>
      </w:r>
    </w:p>
    <w:p w14:paraId="7DB3119D" w14:textId="657A3338" w:rsidR="000D7C1A" w:rsidRDefault="00E45EF4" w:rsidP="003F6F4B">
      <w:r w:rsidRPr="00E24078">
        <w:t>R</w:t>
      </w:r>
      <w:r w:rsidR="00346A48">
        <w:t xml:space="preserve">azvoj društvene infrastrukture jest </w:t>
      </w:r>
      <w:r w:rsidR="00346A48" w:rsidRPr="00E24078">
        <w:t>preduvjet uravnoteženog prostornog razvoja</w:t>
      </w:r>
      <w:r w:rsidR="00346A48">
        <w:t>, ali mora</w:t>
      </w:r>
      <w:r>
        <w:t xml:space="preserve"> slijediti</w:t>
      </w:r>
      <w:r w:rsidR="003F1F45">
        <w:t xml:space="preserve"> i</w:t>
      </w:r>
      <w:r w:rsidRPr="00E24078">
        <w:t xml:space="preserve"> planira</w:t>
      </w:r>
      <w:r w:rsidR="00346A48">
        <w:t xml:space="preserve">ni društveno-gospodarski razvoj. </w:t>
      </w:r>
      <w:r w:rsidR="00785C1E">
        <w:t>S</w:t>
      </w:r>
      <w:r w:rsidR="00FC353F">
        <w:t xml:space="preserve">truktura, </w:t>
      </w:r>
      <w:r w:rsidR="00346A48" w:rsidRPr="00E24078">
        <w:t>razmještaj i dimenzioniranje</w:t>
      </w:r>
      <w:r w:rsidR="00785C1E">
        <w:t xml:space="preserve"> društvene infrastrukture utvrđeni su </w:t>
      </w:r>
      <w:r w:rsidR="00346A48">
        <w:t>prostorno planskim dokumentima triju gradova i Karlovačke županije,</w:t>
      </w:r>
      <w:r w:rsidR="00785C1E">
        <w:t xml:space="preserve"> </w:t>
      </w:r>
      <w:r w:rsidR="00FC353F">
        <w:t>uvažavajući</w:t>
      </w:r>
      <w:r w:rsidR="00785C1E">
        <w:t xml:space="preserve"> </w:t>
      </w:r>
      <w:r w:rsidR="00FC353F">
        <w:t>potrebu</w:t>
      </w:r>
      <w:r w:rsidR="00785C1E">
        <w:t xml:space="preserve"> </w:t>
      </w:r>
      <w:r w:rsidR="00FC353F">
        <w:t>za balansiranim pristupom temeljnim gradskim/društvenim</w:t>
      </w:r>
      <w:r w:rsidR="00785C1E">
        <w:t xml:space="preserve"> servis</w:t>
      </w:r>
      <w:r w:rsidR="00FC353F">
        <w:t>im</w:t>
      </w:r>
      <w:r w:rsidR="00785C1E">
        <w:t xml:space="preserve">a (kao npr. </w:t>
      </w:r>
      <w:r w:rsidR="00FC353F">
        <w:t>dostupnost predškolskog odgoja ili temeljna komunalna infrastruktura</w:t>
      </w:r>
      <w:r w:rsidR="00785C1E">
        <w:t xml:space="preserve">). </w:t>
      </w:r>
      <w:r w:rsidR="003F1F45">
        <w:t xml:space="preserve">S </w:t>
      </w:r>
      <w:r w:rsidR="00FC353F">
        <w:t>druge strane,</w:t>
      </w:r>
      <w:r w:rsidR="00785C1E">
        <w:t xml:space="preserve"> </w:t>
      </w:r>
      <w:r w:rsidR="003F1F45">
        <w:t xml:space="preserve">SRVUPKA </w:t>
      </w:r>
      <w:r w:rsidR="00785C1E">
        <w:t xml:space="preserve">kao dokument koji teži </w:t>
      </w:r>
      <w:r w:rsidR="003F1F45">
        <w:t>identifikaciji intervencija</w:t>
      </w:r>
      <w:r w:rsidR="00785C1E">
        <w:t xml:space="preserve"> koje mogu imati sinergijski i multiplicirajući efekt (pokretači promjena), naglasak stavlja na </w:t>
      </w:r>
      <w:r w:rsidR="00FC353F">
        <w:t>(</w:t>
      </w:r>
      <w:r w:rsidR="00FC353F" w:rsidRPr="00790DC0">
        <w:rPr>
          <w:b/>
        </w:rPr>
        <w:t>re)aktiviranje postojećih resursa – vrijednih gradskih prostora</w:t>
      </w:r>
      <w:r w:rsidR="00790DC0" w:rsidRPr="00790DC0">
        <w:rPr>
          <w:b/>
        </w:rPr>
        <w:t>, objekata i tradicija koji imaju težinu u kolektivnoj memoriji i kulturnom identitetu grad</w:t>
      </w:r>
      <w:r w:rsidR="00790DC0">
        <w:rPr>
          <w:b/>
        </w:rPr>
        <w:t>ova</w:t>
      </w:r>
      <w:r w:rsidR="007C4B43">
        <w:rPr>
          <w:rStyle w:val="FootnoteReference"/>
          <w:b/>
        </w:rPr>
        <w:footnoteReference w:id="29"/>
      </w:r>
      <w:r w:rsidR="00790DC0">
        <w:t xml:space="preserve">. Pri tome </w:t>
      </w:r>
      <w:r w:rsidR="00FC353F">
        <w:t>(re</w:t>
      </w:r>
      <w:r w:rsidR="00790DC0">
        <w:t>)aktivacija nužno podrazum</w:t>
      </w:r>
      <w:r w:rsidR="00192EA4">
        <w:t>i</w:t>
      </w:r>
      <w:r w:rsidR="00790DC0">
        <w:t>jeva 'h</w:t>
      </w:r>
      <w:r w:rsidR="00FC353F">
        <w:t>ard' i 'so</w:t>
      </w:r>
      <w:r w:rsidR="003F1F45">
        <w:t>ft' mjere</w:t>
      </w:r>
      <w:r w:rsidR="00FC353F">
        <w:t xml:space="preserve"> </w:t>
      </w:r>
      <w:r w:rsidR="00790DC0">
        <w:t>koje se mogu provoditi samostalno ili u kombinaciji; govorimo dakle</w:t>
      </w:r>
      <w:r w:rsidR="003F1F45">
        <w:t>,</w:t>
      </w:r>
      <w:r w:rsidR="00790DC0">
        <w:t xml:space="preserve"> o ulaganjima </w:t>
      </w:r>
      <w:r w:rsidR="00FC353F">
        <w:t xml:space="preserve">u materijalnu imovinu (obnove, uređenja, </w:t>
      </w:r>
      <w:r w:rsidR="007C4B43">
        <w:t xml:space="preserve">i </w:t>
      </w:r>
      <w:r w:rsidR="00FC353F">
        <w:lastRenderedPageBreak/>
        <w:t>gradnja</w:t>
      </w:r>
      <w:r w:rsidR="00790DC0">
        <w:t xml:space="preserve"> </w:t>
      </w:r>
      <w:r w:rsidR="007C4B43">
        <w:t>javnih površina i zelene infrastrukture, zapuštenih područja (brownfield), pojedinačnih kulturnih dobara i sl.</w:t>
      </w:r>
      <w:r w:rsidR="00FC353F">
        <w:t xml:space="preserve">), </w:t>
      </w:r>
      <w:r w:rsidR="007C4B43">
        <w:t xml:space="preserve">kao i </w:t>
      </w:r>
      <w:r w:rsidR="00533475">
        <w:t xml:space="preserve">(pripadajućim ili samostalnim) </w:t>
      </w:r>
      <w:r w:rsidR="007C4B43">
        <w:t xml:space="preserve">mjerama kao što su </w:t>
      </w:r>
      <w:r w:rsidR="00FC353F">
        <w:t xml:space="preserve">potpore, </w:t>
      </w:r>
      <w:r w:rsidR="007C4B43">
        <w:t>subvencije</w:t>
      </w:r>
      <w:r w:rsidR="00FC353F">
        <w:t>, olakšice</w:t>
      </w:r>
      <w:r w:rsidR="007C4B43">
        <w:t xml:space="preserve"> i</w:t>
      </w:r>
      <w:r w:rsidR="00FC353F">
        <w:t xml:space="preserve"> financiranje aktivnosti </w:t>
      </w:r>
      <w:r w:rsidR="007C4B43">
        <w:t>(npr. u kulturi, sportu, organizacijama mladih i sl.)</w:t>
      </w:r>
      <w:r w:rsidR="00C06827">
        <w:t>.</w:t>
      </w:r>
    </w:p>
    <w:p w14:paraId="7DD451D8" w14:textId="06C3D8CF" w:rsidR="003739B0" w:rsidRDefault="003739B0" w:rsidP="003F6F4B">
      <w:r>
        <w:t xml:space="preserve">Iako </w:t>
      </w:r>
      <w:r w:rsidR="00B6186D">
        <w:t>se ovaj specifični cilj fokusira na visoko urbanizirano gradsko</w:t>
      </w:r>
      <w:r w:rsidR="00A14A40">
        <w:t xml:space="preserve"> područje</w:t>
      </w:r>
      <w:r>
        <w:t xml:space="preserve">, </w:t>
      </w:r>
      <w:r w:rsidR="00B6186D">
        <w:t xml:space="preserve">zbog specifičnih geografskih karakteristika triju gradova (prvenstveno se misli na blizinu rijeka), </w:t>
      </w:r>
      <w:r>
        <w:t xml:space="preserve">pojedini razvojni projekti </w:t>
      </w:r>
      <w:r w:rsidR="00A14A40">
        <w:t>potencijalno mogu imati elemente koji se tiču zaštite okoliša. Tako će</w:t>
      </w:r>
      <w:r w:rsidR="003F1F45">
        <w:t>,</w:t>
      </w:r>
      <w:r w:rsidR="00A14A40">
        <w:t xml:space="preserve"> naprimjer, projekti uređenja gradskih kupališta u Karlovcu, Ozlju i </w:t>
      </w:r>
      <w:r w:rsidR="003F1F45">
        <w:t>Dugo</w:t>
      </w:r>
      <w:r w:rsidR="00A14A40">
        <w:t>j Resi, Tehno park HR E Oza</w:t>
      </w:r>
      <w:r w:rsidR="003F1F45">
        <w:t>lj i uređenje parka kod stare hidrocentrale biti</w:t>
      </w:r>
      <w:r>
        <w:t xml:space="preserve"> </w:t>
      </w:r>
      <w:r w:rsidR="00A14A40">
        <w:t>planirani na način da ne dođe do degradacije staništa ciljanih vrsta i ciljnih stanišnih tipova ekološke mreže. Za sve pojedinačne projekte koji se eventualno budu planirali unutar nekog od područja ekološke mreže ili se ocjeni da bi mogli imati negativan utjecaj</w:t>
      </w:r>
      <w:r w:rsidR="003F1F45">
        <w:t xml:space="preserve"> na ciljne vrste i staništa ekološke mreže</w:t>
      </w:r>
      <w:r w:rsidR="00A14A40">
        <w:t>, obavezno će se provoditi postupak ocjene prihvatljivosti za ekološku mrežu koji će utvrditi prostorni smještaj te obilježja zahvata koja mogu imati utjecaj na ekološku mrežu.</w:t>
      </w:r>
    </w:p>
    <w:p w14:paraId="3004E4A1" w14:textId="77777777" w:rsidR="00117274" w:rsidRDefault="00117274" w:rsidP="003F6F4B"/>
    <w:p w14:paraId="351C2DBC" w14:textId="21C883D0" w:rsidR="00697912" w:rsidRPr="00697912" w:rsidRDefault="00697912" w:rsidP="00697912">
      <w:pPr>
        <w:rPr>
          <w:i/>
          <w:color w:val="660066"/>
        </w:rPr>
      </w:pPr>
      <w:r w:rsidRPr="00697912">
        <w:rPr>
          <w:i/>
          <w:color w:val="660066"/>
        </w:rPr>
        <w:t>Pokazatelji učinka za Specifični Cilj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6"/>
        <w:gridCol w:w="1189"/>
        <w:gridCol w:w="1081"/>
        <w:gridCol w:w="1017"/>
        <w:gridCol w:w="790"/>
        <w:gridCol w:w="1017"/>
        <w:gridCol w:w="790"/>
        <w:gridCol w:w="1224"/>
        <w:gridCol w:w="804"/>
      </w:tblGrid>
      <w:tr w:rsidR="00A40FED" w:rsidRPr="00A40FED" w14:paraId="5F506CBE" w14:textId="77777777" w:rsidTr="00A40FED">
        <w:tc>
          <w:tcPr>
            <w:tcW w:w="1376" w:type="dxa"/>
            <w:tcBorders>
              <w:bottom w:val="single" w:sz="4" w:space="0" w:color="660066"/>
            </w:tcBorders>
          </w:tcPr>
          <w:p w14:paraId="6C7714EB" w14:textId="55646FDF" w:rsidR="00697912" w:rsidRPr="00A40FED" w:rsidRDefault="00697912" w:rsidP="00697912">
            <w:pPr>
              <w:pStyle w:val="Txttable"/>
              <w:rPr>
                <w:i/>
                <w:sz w:val="18"/>
                <w:szCs w:val="18"/>
              </w:rPr>
            </w:pPr>
            <w:r w:rsidRPr="00A40FED">
              <w:rPr>
                <w:i/>
                <w:sz w:val="18"/>
                <w:szCs w:val="18"/>
              </w:rPr>
              <w:t>Pokazatelj</w:t>
            </w:r>
          </w:p>
        </w:tc>
        <w:tc>
          <w:tcPr>
            <w:tcW w:w="1189" w:type="dxa"/>
            <w:tcBorders>
              <w:bottom w:val="single" w:sz="4" w:space="0" w:color="660066"/>
            </w:tcBorders>
          </w:tcPr>
          <w:p w14:paraId="2F6A756E" w14:textId="0924A112" w:rsidR="00697912" w:rsidRPr="00A40FED" w:rsidRDefault="00697912" w:rsidP="00697912">
            <w:pPr>
              <w:pStyle w:val="Txttable"/>
              <w:rPr>
                <w:i/>
                <w:sz w:val="18"/>
                <w:szCs w:val="18"/>
              </w:rPr>
            </w:pPr>
            <w:r w:rsidRPr="00A40FED">
              <w:rPr>
                <w:i/>
                <w:sz w:val="18"/>
                <w:szCs w:val="18"/>
              </w:rPr>
              <w:t>Opis</w:t>
            </w:r>
          </w:p>
        </w:tc>
        <w:tc>
          <w:tcPr>
            <w:tcW w:w="1081" w:type="dxa"/>
            <w:tcBorders>
              <w:bottom w:val="single" w:sz="4" w:space="0" w:color="660066"/>
            </w:tcBorders>
          </w:tcPr>
          <w:p w14:paraId="2227D2C2" w14:textId="5D43E7F5" w:rsidR="00697912" w:rsidRPr="00A40FED" w:rsidRDefault="00697912" w:rsidP="00697912">
            <w:pPr>
              <w:pStyle w:val="Txttable"/>
              <w:rPr>
                <w:i/>
                <w:sz w:val="18"/>
                <w:szCs w:val="18"/>
              </w:rPr>
            </w:pPr>
            <w:r w:rsidRPr="00A40FED">
              <w:rPr>
                <w:i/>
                <w:sz w:val="18"/>
                <w:szCs w:val="18"/>
              </w:rPr>
              <w:t>Jedinica</w:t>
            </w:r>
          </w:p>
        </w:tc>
        <w:tc>
          <w:tcPr>
            <w:tcW w:w="1017" w:type="dxa"/>
            <w:tcBorders>
              <w:bottom w:val="single" w:sz="4" w:space="0" w:color="660066"/>
            </w:tcBorders>
          </w:tcPr>
          <w:p w14:paraId="6CCD0F20" w14:textId="11269998" w:rsidR="00697912" w:rsidRPr="00A40FED" w:rsidRDefault="00697912" w:rsidP="00697912">
            <w:pPr>
              <w:pStyle w:val="Txttable"/>
              <w:rPr>
                <w:i/>
                <w:sz w:val="18"/>
                <w:szCs w:val="18"/>
              </w:rPr>
            </w:pPr>
            <w:r w:rsidRPr="00A40FED">
              <w:rPr>
                <w:i/>
                <w:sz w:val="18"/>
                <w:szCs w:val="18"/>
              </w:rPr>
              <w:t xml:space="preserve">Početna vrijednost </w:t>
            </w:r>
          </w:p>
        </w:tc>
        <w:tc>
          <w:tcPr>
            <w:tcW w:w="790" w:type="dxa"/>
            <w:tcBorders>
              <w:bottom w:val="single" w:sz="4" w:space="0" w:color="660066"/>
            </w:tcBorders>
          </w:tcPr>
          <w:p w14:paraId="11CA36BD" w14:textId="10DF0BCD" w:rsidR="00697912" w:rsidRPr="00A40FED" w:rsidRDefault="00697912" w:rsidP="00697912">
            <w:pPr>
              <w:pStyle w:val="Txttable"/>
              <w:rPr>
                <w:i/>
                <w:sz w:val="18"/>
                <w:szCs w:val="18"/>
              </w:rPr>
            </w:pPr>
            <w:r w:rsidRPr="00A40FED">
              <w:rPr>
                <w:i/>
                <w:sz w:val="18"/>
                <w:szCs w:val="18"/>
              </w:rPr>
              <w:t>Godina</w:t>
            </w:r>
          </w:p>
        </w:tc>
        <w:tc>
          <w:tcPr>
            <w:tcW w:w="1017" w:type="dxa"/>
            <w:tcBorders>
              <w:bottom w:val="single" w:sz="4" w:space="0" w:color="660066"/>
            </w:tcBorders>
          </w:tcPr>
          <w:p w14:paraId="15A2AABC" w14:textId="739A9DA8" w:rsidR="00697912" w:rsidRPr="00A40FED" w:rsidRDefault="00697912" w:rsidP="00697912">
            <w:pPr>
              <w:pStyle w:val="Txttable"/>
              <w:rPr>
                <w:i/>
                <w:sz w:val="18"/>
                <w:szCs w:val="18"/>
              </w:rPr>
            </w:pPr>
            <w:r w:rsidRPr="00A40FED">
              <w:rPr>
                <w:i/>
                <w:sz w:val="18"/>
                <w:szCs w:val="18"/>
              </w:rPr>
              <w:t>Ciljana vrijednost</w:t>
            </w:r>
          </w:p>
        </w:tc>
        <w:tc>
          <w:tcPr>
            <w:tcW w:w="790" w:type="dxa"/>
            <w:tcBorders>
              <w:bottom w:val="single" w:sz="4" w:space="0" w:color="660066"/>
            </w:tcBorders>
          </w:tcPr>
          <w:p w14:paraId="1C7C9902" w14:textId="4F9805C1" w:rsidR="00697912" w:rsidRPr="00A40FED" w:rsidRDefault="00697912" w:rsidP="00697912">
            <w:pPr>
              <w:pStyle w:val="Txttable"/>
              <w:rPr>
                <w:i/>
                <w:sz w:val="18"/>
                <w:szCs w:val="18"/>
              </w:rPr>
            </w:pPr>
            <w:r w:rsidRPr="00A40FED">
              <w:rPr>
                <w:i/>
                <w:sz w:val="18"/>
                <w:szCs w:val="18"/>
              </w:rPr>
              <w:t>Godina</w:t>
            </w:r>
          </w:p>
        </w:tc>
        <w:tc>
          <w:tcPr>
            <w:tcW w:w="1224" w:type="dxa"/>
            <w:tcBorders>
              <w:bottom w:val="single" w:sz="4" w:space="0" w:color="660066"/>
            </w:tcBorders>
          </w:tcPr>
          <w:p w14:paraId="7306A9BB" w14:textId="2141BAE7" w:rsidR="00697912" w:rsidRPr="00A40FED" w:rsidRDefault="00697912" w:rsidP="00697912">
            <w:pPr>
              <w:pStyle w:val="Txttable"/>
              <w:rPr>
                <w:i/>
                <w:sz w:val="18"/>
                <w:szCs w:val="18"/>
              </w:rPr>
            </w:pPr>
            <w:r w:rsidRPr="00A40FED">
              <w:rPr>
                <w:i/>
                <w:sz w:val="18"/>
                <w:szCs w:val="18"/>
              </w:rPr>
              <w:t>Učestalost praćenja</w:t>
            </w:r>
          </w:p>
        </w:tc>
        <w:tc>
          <w:tcPr>
            <w:tcW w:w="804" w:type="dxa"/>
            <w:tcBorders>
              <w:bottom w:val="single" w:sz="4" w:space="0" w:color="660066"/>
            </w:tcBorders>
          </w:tcPr>
          <w:p w14:paraId="61AA5A20" w14:textId="71ABF47A" w:rsidR="00697912" w:rsidRPr="00A40FED" w:rsidRDefault="00697912" w:rsidP="00697912">
            <w:pPr>
              <w:pStyle w:val="Txttable"/>
              <w:rPr>
                <w:i/>
                <w:sz w:val="18"/>
                <w:szCs w:val="18"/>
              </w:rPr>
            </w:pPr>
            <w:r w:rsidRPr="00A40FED">
              <w:rPr>
                <w:i/>
                <w:sz w:val="18"/>
                <w:szCs w:val="18"/>
              </w:rPr>
              <w:t>Izvor</w:t>
            </w:r>
          </w:p>
        </w:tc>
      </w:tr>
      <w:tr w:rsidR="00A40FED" w:rsidRPr="00A40FED" w14:paraId="417D8C21" w14:textId="77777777" w:rsidTr="00A40FED">
        <w:tc>
          <w:tcPr>
            <w:tcW w:w="1376" w:type="dxa"/>
            <w:tcBorders>
              <w:top w:val="single" w:sz="4" w:space="0" w:color="660066"/>
            </w:tcBorders>
          </w:tcPr>
          <w:p w14:paraId="2B689D2D" w14:textId="6CCECDE0" w:rsidR="00697912" w:rsidRPr="00A40FED" w:rsidRDefault="00697912" w:rsidP="00697912">
            <w:pPr>
              <w:pStyle w:val="Txttable"/>
              <w:rPr>
                <w:sz w:val="18"/>
                <w:szCs w:val="18"/>
              </w:rPr>
            </w:pPr>
            <w:r w:rsidRPr="00A40FED">
              <w:rPr>
                <w:sz w:val="18"/>
                <w:szCs w:val="18"/>
              </w:rPr>
              <w:t>Indeks razvijenosti JLS</w:t>
            </w:r>
          </w:p>
        </w:tc>
        <w:tc>
          <w:tcPr>
            <w:tcW w:w="1189" w:type="dxa"/>
            <w:tcBorders>
              <w:top w:val="single" w:sz="4" w:space="0" w:color="660066"/>
            </w:tcBorders>
          </w:tcPr>
          <w:p w14:paraId="67628D41" w14:textId="54BCF765" w:rsidR="00697912" w:rsidRPr="00A40FED" w:rsidRDefault="00697912" w:rsidP="00697912">
            <w:pPr>
              <w:pStyle w:val="Txttable"/>
              <w:rPr>
                <w:sz w:val="18"/>
                <w:szCs w:val="18"/>
              </w:rPr>
            </w:pPr>
            <w:r w:rsidRPr="00A40FED">
              <w:rPr>
                <w:sz w:val="18"/>
                <w:szCs w:val="18"/>
              </w:rPr>
              <w:t>JLS koje su prešle u višu kategoriju razvijenosti</w:t>
            </w:r>
          </w:p>
        </w:tc>
        <w:tc>
          <w:tcPr>
            <w:tcW w:w="1081" w:type="dxa"/>
            <w:tcBorders>
              <w:top w:val="single" w:sz="4" w:space="0" w:color="660066"/>
            </w:tcBorders>
          </w:tcPr>
          <w:p w14:paraId="4AD1E282" w14:textId="7814469F" w:rsidR="00697912" w:rsidRPr="00A40FED" w:rsidRDefault="00697912" w:rsidP="00697912">
            <w:pPr>
              <w:pStyle w:val="Txttable"/>
              <w:rPr>
                <w:sz w:val="18"/>
                <w:szCs w:val="18"/>
              </w:rPr>
            </w:pPr>
            <w:r w:rsidRPr="00A40FED">
              <w:rPr>
                <w:sz w:val="18"/>
                <w:szCs w:val="18"/>
              </w:rPr>
              <w:t>Broj</w:t>
            </w:r>
          </w:p>
        </w:tc>
        <w:tc>
          <w:tcPr>
            <w:tcW w:w="1017" w:type="dxa"/>
            <w:tcBorders>
              <w:top w:val="single" w:sz="4" w:space="0" w:color="660066"/>
            </w:tcBorders>
          </w:tcPr>
          <w:p w14:paraId="70EB84A4" w14:textId="224D563C" w:rsidR="00697912" w:rsidRPr="00A40FED" w:rsidRDefault="00697912" w:rsidP="00697912">
            <w:pPr>
              <w:pStyle w:val="Txttable"/>
              <w:rPr>
                <w:sz w:val="18"/>
                <w:szCs w:val="18"/>
              </w:rPr>
            </w:pPr>
            <w:r w:rsidRPr="00A40FED">
              <w:rPr>
                <w:sz w:val="18"/>
                <w:szCs w:val="18"/>
              </w:rPr>
              <w:t>N</w:t>
            </w:r>
          </w:p>
        </w:tc>
        <w:tc>
          <w:tcPr>
            <w:tcW w:w="790" w:type="dxa"/>
            <w:tcBorders>
              <w:top w:val="single" w:sz="4" w:space="0" w:color="660066"/>
            </w:tcBorders>
          </w:tcPr>
          <w:p w14:paraId="164C8B9B" w14:textId="3B96B026" w:rsidR="00697912" w:rsidRPr="00A40FED" w:rsidRDefault="00697912" w:rsidP="00697912">
            <w:pPr>
              <w:pStyle w:val="Txttable"/>
              <w:rPr>
                <w:sz w:val="18"/>
                <w:szCs w:val="18"/>
              </w:rPr>
            </w:pPr>
            <w:r w:rsidRPr="00A40FED">
              <w:rPr>
                <w:sz w:val="18"/>
                <w:szCs w:val="18"/>
              </w:rPr>
              <w:t>2018.</w:t>
            </w:r>
          </w:p>
        </w:tc>
        <w:tc>
          <w:tcPr>
            <w:tcW w:w="1017" w:type="dxa"/>
            <w:tcBorders>
              <w:top w:val="single" w:sz="4" w:space="0" w:color="660066"/>
            </w:tcBorders>
          </w:tcPr>
          <w:p w14:paraId="11946EE3" w14:textId="09555734" w:rsidR="00697912" w:rsidRPr="00A40FED" w:rsidRDefault="00697912" w:rsidP="00697912">
            <w:pPr>
              <w:pStyle w:val="Txttable"/>
              <w:rPr>
                <w:sz w:val="18"/>
                <w:szCs w:val="18"/>
              </w:rPr>
            </w:pPr>
            <w:r w:rsidRPr="00A40FED">
              <w:rPr>
                <w:sz w:val="18"/>
                <w:szCs w:val="18"/>
              </w:rPr>
              <w:t>N+3</w:t>
            </w:r>
          </w:p>
        </w:tc>
        <w:tc>
          <w:tcPr>
            <w:tcW w:w="790" w:type="dxa"/>
            <w:tcBorders>
              <w:top w:val="single" w:sz="4" w:space="0" w:color="660066"/>
            </w:tcBorders>
          </w:tcPr>
          <w:p w14:paraId="066EA913" w14:textId="29FF20B6" w:rsidR="00697912" w:rsidRPr="00A40FED" w:rsidRDefault="00697912" w:rsidP="00697912">
            <w:pPr>
              <w:pStyle w:val="Txttable"/>
              <w:rPr>
                <w:sz w:val="18"/>
                <w:szCs w:val="18"/>
              </w:rPr>
            </w:pPr>
            <w:r w:rsidRPr="00A40FED">
              <w:rPr>
                <w:sz w:val="18"/>
                <w:szCs w:val="18"/>
              </w:rPr>
              <w:t>2028.</w:t>
            </w:r>
          </w:p>
        </w:tc>
        <w:tc>
          <w:tcPr>
            <w:tcW w:w="1224" w:type="dxa"/>
            <w:tcBorders>
              <w:top w:val="single" w:sz="4" w:space="0" w:color="660066"/>
            </w:tcBorders>
          </w:tcPr>
          <w:p w14:paraId="5E58F0A1" w14:textId="7DB17694" w:rsidR="00697912" w:rsidRPr="00A40FED" w:rsidRDefault="00697912" w:rsidP="00697912">
            <w:pPr>
              <w:pStyle w:val="Txttable"/>
              <w:rPr>
                <w:sz w:val="18"/>
                <w:szCs w:val="18"/>
              </w:rPr>
            </w:pPr>
            <w:r w:rsidRPr="00A40FED">
              <w:rPr>
                <w:sz w:val="18"/>
                <w:szCs w:val="18"/>
              </w:rPr>
              <w:t>Trogodišnje</w:t>
            </w:r>
          </w:p>
        </w:tc>
        <w:tc>
          <w:tcPr>
            <w:tcW w:w="804" w:type="dxa"/>
            <w:tcBorders>
              <w:top w:val="single" w:sz="4" w:space="0" w:color="660066"/>
            </w:tcBorders>
          </w:tcPr>
          <w:p w14:paraId="15142935" w14:textId="683115DB" w:rsidR="00697912" w:rsidRPr="00A40FED" w:rsidRDefault="00697912" w:rsidP="00697912">
            <w:pPr>
              <w:pStyle w:val="Txttable"/>
              <w:rPr>
                <w:sz w:val="18"/>
                <w:szCs w:val="18"/>
              </w:rPr>
            </w:pPr>
            <w:r w:rsidRPr="00A40FED">
              <w:rPr>
                <w:sz w:val="18"/>
                <w:szCs w:val="18"/>
              </w:rPr>
              <w:t>MRFEU</w:t>
            </w:r>
          </w:p>
        </w:tc>
      </w:tr>
      <w:tr w:rsidR="00A40FED" w:rsidRPr="00A40FED" w14:paraId="3D5069BC" w14:textId="77777777" w:rsidTr="00A40FED">
        <w:tc>
          <w:tcPr>
            <w:tcW w:w="1376" w:type="dxa"/>
          </w:tcPr>
          <w:p w14:paraId="08759879" w14:textId="38F5613A" w:rsidR="00697912" w:rsidRPr="00A40FED" w:rsidRDefault="00A40FED" w:rsidP="00A40FED">
            <w:pPr>
              <w:pStyle w:val="Txttable"/>
              <w:rPr>
                <w:sz w:val="18"/>
                <w:szCs w:val="18"/>
              </w:rPr>
            </w:pPr>
            <w:r w:rsidRPr="00A40FED">
              <w:rPr>
                <w:sz w:val="18"/>
                <w:szCs w:val="18"/>
              </w:rPr>
              <w:t>Depopulacijski trend</w:t>
            </w:r>
          </w:p>
        </w:tc>
        <w:tc>
          <w:tcPr>
            <w:tcW w:w="1189" w:type="dxa"/>
          </w:tcPr>
          <w:p w14:paraId="2266FC34" w14:textId="4350CCC1" w:rsidR="00697912" w:rsidRPr="00A40FED" w:rsidRDefault="00A40FED" w:rsidP="00A40FED">
            <w:pPr>
              <w:pStyle w:val="Txttable"/>
              <w:rPr>
                <w:sz w:val="18"/>
                <w:szCs w:val="18"/>
              </w:rPr>
            </w:pPr>
            <w:r w:rsidRPr="00A40FED">
              <w:rPr>
                <w:sz w:val="18"/>
                <w:szCs w:val="18"/>
              </w:rPr>
              <w:t>Ublažavanje trenda pada broja stanovnika u odnosu na projekcije</w:t>
            </w:r>
          </w:p>
        </w:tc>
        <w:tc>
          <w:tcPr>
            <w:tcW w:w="1081" w:type="dxa"/>
          </w:tcPr>
          <w:p w14:paraId="63E60ABD" w14:textId="09C7FD86" w:rsidR="00697912" w:rsidRPr="00A40FED" w:rsidRDefault="00A40FED" w:rsidP="00697912">
            <w:pPr>
              <w:pStyle w:val="Txttable"/>
              <w:rPr>
                <w:sz w:val="18"/>
                <w:szCs w:val="18"/>
              </w:rPr>
            </w:pPr>
            <w:r w:rsidRPr="00A40FED">
              <w:rPr>
                <w:sz w:val="18"/>
                <w:szCs w:val="18"/>
              </w:rPr>
              <w:t>Broj stanovnika</w:t>
            </w:r>
          </w:p>
        </w:tc>
        <w:tc>
          <w:tcPr>
            <w:tcW w:w="1017" w:type="dxa"/>
          </w:tcPr>
          <w:p w14:paraId="0B36E92D" w14:textId="1B33D9E0" w:rsidR="00697912" w:rsidRPr="00A40FED" w:rsidRDefault="00A40FED" w:rsidP="00697912">
            <w:pPr>
              <w:pStyle w:val="Txttable"/>
              <w:rPr>
                <w:sz w:val="18"/>
                <w:szCs w:val="18"/>
              </w:rPr>
            </w:pPr>
            <w:r w:rsidRPr="00A40FED">
              <w:rPr>
                <w:sz w:val="18"/>
                <w:szCs w:val="18"/>
              </w:rPr>
              <w:t>99.090</w:t>
            </w:r>
            <w:r w:rsidR="00C01A1F">
              <w:rPr>
                <w:sz w:val="18"/>
                <w:szCs w:val="18"/>
              </w:rPr>
              <w:t>*</w:t>
            </w:r>
          </w:p>
        </w:tc>
        <w:tc>
          <w:tcPr>
            <w:tcW w:w="790" w:type="dxa"/>
          </w:tcPr>
          <w:p w14:paraId="549C2822" w14:textId="478D57BE" w:rsidR="00697912" w:rsidRPr="00A40FED" w:rsidRDefault="00A40FED" w:rsidP="00697912">
            <w:pPr>
              <w:pStyle w:val="Txttable"/>
              <w:rPr>
                <w:sz w:val="18"/>
                <w:szCs w:val="18"/>
              </w:rPr>
            </w:pPr>
            <w:r w:rsidRPr="00A40FED">
              <w:rPr>
                <w:sz w:val="18"/>
                <w:szCs w:val="18"/>
              </w:rPr>
              <w:t>2030.</w:t>
            </w:r>
          </w:p>
        </w:tc>
        <w:tc>
          <w:tcPr>
            <w:tcW w:w="1017" w:type="dxa"/>
          </w:tcPr>
          <w:p w14:paraId="05BC7074" w14:textId="146BE1F4" w:rsidR="00697912" w:rsidRPr="00A40FED" w:rsidRDefault="00A40FED" w:rsidP="00697912">
            <w:pPr>
              <w:pStyle w:val="Txttable"/>
              <w:rPr>
                <w:sz w:val="18"/>
                <w:szCs w:val="18"/>
              </w:rPr>
            </w:pPr>
            <w:r w:rsidRPr="00A40FED">
              <w:rPr>
                <w:sz w:val="18"/>
                <w:szCs w:val="18"/>
              </w:rPr>
              <w:t>102.000</w:t>
            </w:r>
          </w:p>
        </w:tc>
        <w:tc>
          <w:tcPr>
            <w:tcW w:w="790" w:type="dxa"/>
          </w:tcPr>
          <w:p w14:paraId="2932CC49" w14:textId="5855B3C7" w:rsidR="00697912" w:rsidRPr="00A40FED" w:rsidRDefault="00A40FED" w:rsidP="00697912">
            <w:pPr>
              <w:pStyle w:val="Txttable"/>
              <w:rPr>
                <w:sz w:val="18"/>
                <w:szCs w:val="18"/>
              </w:rPr>
            </w:pPr>
            <w:r w:rsidRPr="00A40FED">
              <w:rPr>
                <w:sz w:val="18"/>
                <w:szCs w:val="18"/>
              </w:rPr>
              <w:t>2031.</w:t>
            </w:r>
          </w:p>
        </w:tc>
        <w:tc>
          <w:tcPr>
            <w:tcW w:w="1224" w:type="dxa"/>
          </w:tcPr>
          <w:p w14:paraId="1CD3E490" w14:textId="4D140233" w:rsidR="00697912" w:rsidRPr="00A40FED" w:rsidRDefault="00A40FED" w:rsidP="00697912">
            <w:pPr>
              <w:pStyle w:val="Txttable"/>
              <w:rPr>
                <w:sz w:val="18"/>
                <w:szCs w:val="18"/>
              </w:rPr>
            </w:pPr>
            <w:r w:rsidRPr="00A40FED">
              <w:rPr>
                <w:sz w:val="18"/>
                <w:szCs w:val="18"/>
              </w:rPr>
              <w:t>Prema Popisu stanovništva</w:t>
            </w:r>
          </w:p>
        </w:tc>
        <w:tc>
          <w:tcPr>
            <w:tcW w:w="804" w:type="dxa"/>
          </w:tcPr>
          <w:p w14:paraId="07F42C34" w14:textId="6ADEB8AD" w:rsidR="00697912" w:rsidRPr="00A40FED" w:rsidRDefault="00A40FED" w:rsidP="00697912">
            <w:pPr>
              <w:pStyle w:val="Txttable"/>
              <w:rPr>
                <w:sz w:val="18"/>
                <w:szCs w:val="18"/>
              </w:rPr>
            </w:pPr>
            <w:r w:rsidRPr="00A40FED">
              <w:rPr>
                <w:sz w:val="18"/>
                <w:szCs w:val="18"/>
              </w:rPr>
              <w:t>DZS</w:t>
            </w:r>
          </w:p>
        </w:tc>
      </w:tr>
    </w:tbl>
    <w:p w14:paraId="1513559F" w14:textId="77777777" w:rsidR="00697912" w:rsidRDefault="00697912" w:rsidP="00697912"/>
    <w:p w14:paraId="24758E3E" w14:textId="770B4CA3" w:rsidR="00117274" w:rsidRDefault="00117274">
      <w:pPr>
        <w:spacing w:before="0" w:after="0"/>
        <w:jc w:val="left"/>
      </w:pPr>
    </w:p>
    <w:p w14:paraId="5E8A984F" w14:textId="77777777" w:rsidR="00697912" w:rsidRPr="00697912" w:rsidRDefault="00697912" w:rsidP="00697912"/>
    <w:p w14:paraId="57F3955C" w14:textId="0BD168C8" w:rsidR="00781F91" w:rsidRPr="00781F91" w:rsidRDefault="00781F91" w:rsidP="00781F91">
      <w:pPr>
        <w:rPr>
          <w:b/>
          <w:color w:val="943634" w:themeColor="accent2" w:themeShade="BF"/>
        </w:rPr>
      </w:pPr>
      <w:r w:rsidRPr="00781F91">
        <w:rPr>
          <w:b/>
          <w:color w:val="943634" w:themeColor="accent2" w:themeShade="BF"/>
        </w:rPr>
        <w:t xml:space="preserve">Specifični Cilj 2. Velika infrastruktura za </w:t>
      </w:r>
      <w:r w:rsidR="00533475">
        <w:rPr>
          <w:b/>
          <w:color w:val="943634" w:themeColor="accent2" w:themeShade="BF"/>
        </w:rPr>
        <w:t xml:space="preserve">održivi </w:t>
      </w:r>
      <w:r w:rsidRPr="00781F91">
        <w:rPr>
          <w:b/>
          <w:color w:val="943634" w:themeColor="accent2" w:themeShade="BF"/>
        </w:rPr>
        <w:t>razvoj</w:t>
      </w:r>
    </w:p>
    <w:p w14:paraId="36B5D8A4" w14:textId="7A27DDB8" w:rsidR="00781F91" w:rsidRPr="00781F91" w:rsidRDefault="00781F91" w:rsidP="00781F91">
      <w:pPr>
        <w:rPr>
          <w:color w:val="943634" w:themeColor="accent2" w:themeShade="BF"/>
        </w:rPr>
      </w:pPr>
      <w:r w:rsidRPr="00781F91">
        <w:rPr>
          <w:i/>
          <w:color w:val="943634" w:themeColor="accent2" w:themeShade="BF"/>
        </w:rPr>
        <w:t>Cilj</w:t>
      </w:r>
      <w:r w:rsidR="005165ED">
        <w:rPr>
          <w:color w:val="943634" w:themeColor="accent2" w:themeShade="BF"/>
        </w:rPr>
        <w:t>: Ulaganjima u području energetike, prometa,</w:t>
      </w:r>
      <w:r w:rsidRPr="00781F91">
        <w:rPr>
          <w:color w:val="943634" w:themeColor="accent2" w:themeShade="BF"/>
        </w:rPr>
        <w:t xml:space="preserve"> vodnog</w:t>
      </w:r>
      <w:r w:rsidR="005165ED">
        <w:rPr>
          <w:color w:val="943634" w:themeColor="accent2" w:themeShade="BF"/>
        </w:rPr>
        <w:t xml:space="preserve"> i komunalnog</w:t>
      </w:r>
      <w:r w:rsidRPr="00781F91">
        <w:rPr>
          <w:color w:val="943634" w:themeColor="accent2" w:themeShade="BF"/>
        </w:rPr>
        <w:t xml:space="preserve"> gospodarstva stvoriti preduvjete za rast i razvoj VUPKA</w:t>
      </w:r>
      <w:r w:rsidR="00533475">
        <w:rPr>
          <w:color w:val="943634" w:themeColor="accent2" w:themeShade="BF"/>
        </w:rPr>
        <w:t>, kao i zaštitu prirodnih resursa i okoliša.</w:t>
      </w:r>
    </w:p>
    <w:p w14:paraId="515CA023" w14:textId="34E2A1E9" w:rsidR="00781F91" w:rsidRDefault="00781F91" w:rsidP="00781F91">
      <w:pPr>
        <w:rPr>
          <w:b/>
        </w:rPr>
      </w:pPr>
      <w:r>
        <w:t>Prioriteti:</w:t>
      </w:r>
    </w:p>
    <w:p w14:paraId="697832A2" w14:textId="05A0AE02" w:rsidR="00781F91" w:rsidRPr="002C72BF" w:rsidRDefault="00781F91" w:rsidP="00781F91">
      <w:pPr>
        <w:ind w:left="720"/>
        <w:rPr>
          <w:b/>
        </w:rPr>
      </w:pPr>
      <w:r>
        <w:rPr>
          <w:b/>
        </w:rPr>
        <w:t>SC</w:t>
      </w:r>
      <w:r w:rsidRPr="002C72BF">
        <w:rPr>
          <w:b/>
        </w:rPr>
        <w:t>2</w:t>
      </w:r>
      <w:r>
        <w:rPr>
          <w:b/>
        </w:rPr>
        <w:t>.P1</w:t>
      </w:r>
      <w:r w:rsidRPr="002C72BF">
        <w:rPr>
          <w:b/>
        </w:rPr>
        <w:t xml:space="preserve"> </w:t>
      </w:r>
      <w:r w:rsidR="003F1F45">
        <w:rPr>
          <w:b/>
        </w:rPr>
        <w:t>Unap</w:t>
      </w:r>
      <w:r>
        <w:rPr>
          <w:b/>
        </w:rPr>
        <w:t>je</w:t>
      </w:r>
      <w:r w:rsidR="00533475">
        <w:rPr>
          <w:b/>
        </w:rPr>
        <w:t>đenje energetske infrastrukture</w:t>
      </w:r>
    </w:p>
    <w:p w14:paraId="433B5B7A" w14:textId="77777777" w:rsidR="00781F91" w:rsidRDefault="00781F91" w:rsidP="00781F91">
      <w:pPr>
        <w:ind w:left="720"/>
        <w:rPr>
          <w:b/>
        </w:rPr>
      </w:pPr>
      <w:r>
        <w:rPr>
          <w:b/>
        </w:rPr>
        <w:t>SC2.P2 Poboljšanje mobilnosti i pristupačnosti</w:t>
      </w:r>
    </w:p>
    <w:p w14:paraId="7B24D1B2" w14:textId="79DD1665" w:rsidR="00E718BC" w:rsidRPr="009304F2" w:rsidRDefault="00533475" w:rsidP="009304F2">
      <w:pPr>
        <w:ind w:left="720"/>
        <w:rPr>
          <w:b/>
        </w:rPr>
      </w:pPr>
      <w:r>
        <w:rPr>
          <w:b/>
        </w:rPr>
        <w:t xml:space="preserve">SC2.P3 Vodna i </w:t>
      </w:r>
      <w:r w:rsidR="00464F70">
        <w:rPr>
          <w:b/>
        </w:rPr>
        <w:t>komunalna infrastruktura</w:t>
      </w:r>
    </w:p>
    <w:p w14:paraId="70764B56" w14:textId="2B163124" w:rsidR="00E718BC" w:rsidRPr="009304F2" w:rsidRDefault="009304F2" w:rsidP="00E718BC">
      <w:pPr>
        <w:rPr>
          <w:i/>
          <w:color w:val="943634" w:themeColor="accent2" w:themeShade="BF"/>
        </w:rPr>
      </w:pPr>
      <w:r w:rsidRPr="009304F2">
        <w:rPr>
          <w:i/>
          <w:color w:val="943634" w:themeColor="accent2" w:themeShade="BF"/>
        </w:rPr>
        <w:t>Što</w:t>
      </w:r>
    </w:p>
    <w:p w14:paraId="053506B0" w14:textId="55BAAA9D" w:rsidR="00E718BC" w:rsidRDefault="00E718BC" w:rsidP="00E718BC">
      <w:r>
        <w:t xml:space="preserve">Drugo veliko područje djelovanja odnosi se na </w:t>
      </w:r>
      <w:r w:rsidR="00192EA4">
        <w:rPr>
          <w:b/>
          <w:color w:val="943634" w:themeColor="accent2" w:themeShade="BF"/>
        </w:rPr>
        <w:t>veće infrastrukturne zah</w:t>
      </w:r>
      <w:r w:rsidR="00781F91">
        <w:rPr>
          <w:b/>
          <w:color w:val="943634" w:themeColor="accent2" w:themeShade="BF"/>
        </w:rPr>
        <w:t>vate</w:t>
      </w:r>
      <w:r w:rsidRPr="00781F91">
        <w:rPr>
          <w:b/>
          <w:color w:val="943634" w:themeColor="accent2" w:themeShade="BF"/>
        </w:rPr>
        <w:t xml:space="preserve"> </w:t>
      </w:r>
      <w:r>
        <w:t>k</w:t>
      </w:r>
      <w:r w:rsidR="00192EA4">
        <w:t>ojima se stvara</w:t>
      </w:r>
      <w:r w:rsidR="00781F91">
        <w:t>ju preduvjeti za gospodarsku aktivnost i kvalitet</w:t>
      </w:r>
      <w:r w:rsidR="00192EA4">
        <w:t>u</w:t>
      </w:r>
      <w:r w:rsidR="00781F91">
        <w:t xml:space="preserve"> života </w:t>
      </w:r>
      <w:r w:rsidR="009167EC">
        <w:t>i stanovanja. Prvenstveno se ov</w:t>
      </w:r>
      <w:r w:rsidR="00781F91">
        <w:t>d</w:t>
      </w:r>
      <w:r w:rsidR="009167EC">
        <w:t>j</w:t>
      </w:r>
      <w:r w:rsidR="00781F91">
        <w:t xml:space="preserve">e radi o ulaganjima u sektore kao što su </w:t>
      </w:r>
      <w:r w:rsidR="00781F91" w:rsidRPr="00533475">
        <w:rPr>
          <w:b/>
        </w:rPr>
        <w:t>energetika</w:t>
      </w:r>
      <w:r w:rsidR="00781F91">
        <w:t xml:space="preserve"> – u cilju smanjenja energetske intenzivnosti i stvaranja održive kombinacije energetskih izvora</w:t>
      </w:r>
      <w:r w:rsidR="009167EC">
        <w:t>/energetske samoodrživosti</w:t>
      </w:r>
      <w:r w:rsidR="00781F91">
        <w:t xml:space="preserve">, zatim poboljšanje </w:t>
      </w:r>
      <w:r w:rsidR="00781F91" w:rsidRPr="00533475">
        <w:rPr>
          <w:b/>
        </w:rPr>
        <w:t>prometne</w:t>
      </w:r>
      <w:r w:rsidR="00781F91">
        <w:t xml:space="preserve"> </w:t>
      </w:r>
      <w:r w:rsidR="00781F91" w:rsidRPr="00533475">
        <w:rPr>
          <w:b/>
        </w:rPr>
        <w:t>infrastrukture</w:t>
      </w:r>
      <w:r w:rsidR="00781F91">
        <w:t xml:space="preserve"> u cilju bolje dostupnosti</w:t>
      </w:r>
      <w:r w:rsidR="00533475">
        <w:t xml:space="preserve"> i veće učinkovitosti transportnog sektora te </w:t>
      </w:r>
      <w:r w:rsidR="00533475" w:rsidRPr="00533475">
        <w:rPr>
          <w:b/>
        </w:rPr>
        <w:t>vodna i komunalna infrastruktura</w:t>
      </w:r>
      <w:r w:rsidR="00533475">
        <w:t xml:space="preserve"> koja ima za cilj omogućiti bolje upravljanje vodama, otpadnim vodama i krutim otpadom. </w:t>
      </w:r>
    </w:p>
    <w:p w14:paraId="5E4E411D" w14:textId="2BBB07CD" w:rsidR="00E718BC" w:rsidRPr="009304F2" w:rsidRDefault="009304F2" w:rsidP="00E718BC">
      <w:pPr>
        <w:rPr>
          <w:i/>
          <w:color w:val="943634" w:themeColor="accent2" w:themeShade="BF"/>
        </w:rPr>
      </w:pPr>
      <w:r w:rsidRPr="009304F2">
        <w:rPr>
          <w:i/>
          <w:color w:val="943634" w:themeColor="accent2" w:themeShade="BF"/>
        </w:rPr>
        <w:t>Zašto</w:t>
      </w:r>
    </w:p>
    <w:p w14:paraId="72946256" w14:textId="282732AE" w:rsidR="00781F91" w:rsidRDefault="00533475" w:rsidP="00E718BC">
      <w:r>
        <w:lastRenderedPageBreak/>
        <w:t>Ulaganja u veliku infrastrukturu nužan s</w:t>
      </w:r>
      <w:r w:rsidR="00D45BAB">
        <w:t>u</w:t>
      </w:r>
      <w:r>
        <w:t xml:space="preserve"> preduvjet zadržavanja stanovništva na području i jačanja središnjih funkcija gradova K</w:t>
      </w:r>
      <w:r w:rsidR="003F1F45">
        <w:t>arlovac, Ozalj i Duga Resa. Pritom</w:t>
      </w:r>
      <w:r>
        <w:t xml:space="preserve"> se uvažava činjenica da sve tri JLS</w:t>
      </w:r>
      <w:r w:rsidR="00781F91">
        <w:t xml:space="preserve"> imaju </w:t>
      </w:r>
      <w:r>
        <w:t>iste, odnosno slične potrebe kao što su poboljšanje vodnokomunalne infrastrukture (vodovod, odvodnja, zaštita od poplava), uspostava sustava gospodarenja otpadom, povećan</w:t>
      </w:r>
      <w:r w:rsidR="00464F70">
        <w:t>je sigurnosti i učinkovitosti javnog i osobnog prijevoza</w:t>
      </w:r>
      <w:r>
        <w:t xml:space="preserve"> i sl.</w:t>
      </w:r>
      <w:r w:rsidR="00BF3C4F">
        <w:t xml:space="preserve"> </w:t>
      </w:r>
      <w:r w:rsidR="008B6E60">
        <w:t xml:space="preserve">Prioritiziranjem ovakvih velikih infrastrukturnih ulaganja u sklopu </w:t>
      </w:r>
      <w:r w:rsidR="00B55150">
        <w:t>SRVUPKA</w:t>
      </w:r>
      <w:r w:rsidR="008B6E60">
        <w:t xml:space="preserve"> nastoji se adresirati slabost poje</w:t>
      </w:r>
      <w:r w:rsidR="003F1F45">
        <w:t>dinih jedinica lokalne samuprave</w:t>
      </w:r>
      <w:r w:rsidR="008B6E60">
        <w:t xml:space="preserve"> da samostalno rješe financijski zahtjevne infrastrukturne poduhvate. </w:t>
      </w:r>
    </w:p>
    <w:p w14:paraId="5248DEA1" w14:textId="0FFEFB47" w:rsidR="00E718BC" w:rsidRPr="009304F2" w:rsidRDefault="009304F2" w:rsidP="00E718BC">
      <w:pPr>
        <w:rPr>
          <w:i/>
          <w:color w:val="943634" w:themeColor="accent2" w:themeShade="BF"/>
        </w:rPr>
      </w:pPr>
      <w:r w:rsidRPr="009304F2">
        <w:rPr>
          <w:i/>
          <w:color w:val="943634" w:themeColor="accent2" w:themeShade="BF"/>
        </w:rPr>
        <w:t>Kako</w:t>
      </w:r>
    </w:p>
    <w:p w14:paraId="121FA4AC" w14:textId="52B989E5" w:rsidR="000C71B2" w:rsidRDefault="00464F70">
      <w:r>
        <w:t xml:space="preserve">Naglasak </w:t>
      </w:r>
      <w:r w:rsidR="003F1F45">
        <w:t>SRVUPKA</w:t>
      </w:r>
      <w:r>
        <w:t xml:space="preserve"> u ovom području bit će na realizaciji većih infrastrukturnih projekata koji imaju nadlokalni značaj (npr. poboljšanje prometne povezanosti triju jedinica lokalne samouprave, istraživanje geotermalnih potencijala i sl.)</w:t>
      </w:r>
      <w:r w:rsidR="00B0732F">
        <w:t xml:space="preserve"> i/ili su tipološki isti (npr. </w:t>
      </w:r>
      <w:r w:rsidR="00F74B97">
        <w:t>uređenje reciklažnih dvorišta).</w:t>
      </w:r>
    </w:p>
    <w:p w14:paraId="42399CEE" w14:textId="7B9F5458" w:rsidR="00A14A40" w:rsidRPr="00A14A40" w:rsidRDefault="00A14A40" w:rsidP="00A14A40">
      <w:r w:rsidRPr="00A14A40">
        <w:t>Projekti izgradnje sustava vodoopskrbe i odvodnje, izgradnja sortirnica, kompostana, reciklažnih dvorišta, projekti revitalizacije vrelovodne mreže grada Karlovca, istraživanje i iskorištavanje geotermalnih potencijala te kogeneracijsko postrojenje na drvnu biomasu s toplovodom u Ozlju i slično planirat će se izvan područja ekološke mreže, odnosno izvan područja rasprostranjenosti ciljnih stanišnih tipova ili staništa ciljnih vrsta. Utjecaj na okoliš velikih projekata koji se tiču zaštite voda i zaštite od nepovoljnog utjecaja voda, projekata usmjerenih na pripremu dokumentacije i izgradnju/dogradnju poslovnih zona,  već je ocijenjen u ranijim postupcima strateške procjene (II. i IV. izmjene i dopune Prostornog plana Karlovačke župan</w:t>
      </w:r>
      <w:r w:rsidR="003F1F45">
        <w:t>ije, Studija prometnog razvoja K</w:t>
      </w:r>
      <w:r w:rsidRPr="00A14A40">
        <w:t xml:space="preserve">arlovačke županije, </w:t>
      </w:r>
      <w:r w:rsidR="003F1F45">
        <w:t>Županijska razvojna strategija K</w:t>
      </w:r>
      <w:r w:rsidRPr="00A14A40">
        <w:t xml:space="preserve">arlovačke županije 2020+) te su utvrđene mjere ublažavanja. </w:t>
      </w:r>
    </w:p>
    <w:p w14:paraId="37461FD1" w14:textId="77777777" w:rsidR="00A14A40" w:rsidRPr="00A14A40" w:rsidRDefault="00A14A40" w:rsidP="00A14A40">
      <w:r w:rsidRPr="00A14A40">
        <w:t>Pored toga, Karlovačka županija je donijela odluku o izradi VI. Izmjena i dopuna Prostornog plana Karlovačke županije za koju će se provoditi postupak strateške procjene, uključujući i glavnu ocjenu prihvatljivosti za ekološku mrežu te će se utjecaj većih projekata predloženih ovom Strategijom ocijenjivati i u tom postupku.</w:t>
      </w:r>
    </w:p>
    <w:p w14:paraId="183F6819" w14:textId="77777777" w:rsidR="00A14A40" w:rsidRPr="00A14A40" w:rsidRDefault="00A14A40" w:rsidP="00A14A40">
      <w:r w:rsidRPr="00A14A40">
        <w:t>Vezno uz mjere i projekte u okviru SC2.P1, uključujući planiranu revitalizaciju zgrade Donjeg mlina, mogućnost značajnog negativnog utjecaja na ciljeve očuvanja i cjelovitost područja ekološke mreže isključit će se uz obvezu provedbe ocjene prihvatljivosti na razini zahvata, kada će biti poznata detaljnija obilježja načina izvođenja ovog projekta.</w:t>
      </w:r>
    </w:p>
    <w:p w14:paraId="53895262" w14:textId="77777777" w:rsidR="00A14A40" w:rsidRPr="00A14A40" w:rsidRDefault="00A14A40" w:rsidP="00A14A40">
      <w:r w:rsidRPr="00A14A40">
        <w:t>Vezano uz mjere i projekte planirane u okviru SC2.P2 i SC2.P3, mogućnost značajnog negativnog utjecaja na ciljeve očuvanja i cjelovitost područja ekološke mreže isključit će se provedbom ocjene prihvatljivosti za pojedinačne zahvate, kada se utvrdi prostorni smještaj te obilježja zahvata.</w:t>
      </w:r>
    </w:p>
    <w:p w14:paraId="060202EB" w14:textId="77777777" w:rsidR="00117274" w:rsidRDefault="00117274"/>
    <w:p w14:paraId="7BFDBD61" w14:textId="051F99A8" w:rsidR="00A40FED" w:rsidRPr="00A40FED" w:rsidRDefault="00A40FED">
      <w:pPr>
        <w:rPr>
          <w:i/>
          <w:color w:val="943634" w:themeColor="accent2" w:themeShade="BF"/>
        </w:rPr>
      </w:pPr>
      <w:r w:rsidRPr="00A40FED">
        <w:rPr>
          <w:i/>
          <w:color w:val="943634" w:themeColor="accent2" w:themeShade="BF"/>
        </w:rPr>
        <w:t>Pokazat</w:t>
      </w:r>
      <w:r>
        <w:rPr>
          <w:i/>
          <w:color w:val="943634" w:themeColor="accent2" w:themeShade="BF"/>
        </w:rPr>
        <w:t>elji učinka za Specifični Cilj 2</w:t>
      </w:r>
      <w:r w:rsidRPr="00A40FED">
        <w:rPr>
          <w:i/>
          <w:color w:val="943634" w:themeColor="accent2" w:themeShade="BF"/>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6"/>
        <w:gridCol w:w="1189"/>
        <w:gridCol w:w="1081"/>
        <w:gridCol w:w="1017"/>
        <w:gridCol w:w="790"/>
        <w:gridCol w:w="1017"/>
        <w:gridCol w:w="790"/>
        <w:gridCol w:w="1224"/>
        <w:gridCol w:w="839"/>
      </w:tblGrid>
      <w:tr w:rsidR="00C840AB" w:rsidRPr="00C840AB" w14:paraId="7260ABB3" w14:textId="77777777" w:rsidTr="00C840AB">
        <w:tc>
          <w:tcPr>
            <w:tcW w:w="1376" w:type="dxa"/>
            <w:tcBorders>
              <w:bottom w:val="single" w:sz="4" w:space="0" w:color="943634" w:themeColor="accent2" w:themeShade="BF"/>
            </w:tcBorders>
          </w:tcPr>
          <w:p w14:paraId="071CA527" w14:textId="77777777" w:rsidR="00A40FED" w:rsidRPr="00C840AB" w:rsidRDefault="00A40FED" w:rsidP="00A40FED">
            <w:pPr>
              <w:pStyle w:val="Txttable"/>
              <w:rPr>
                <w:i/>
                <w:sz w:val="18"/>
                <w:szCs w:val="18"/>
              </w:rPr>
            </w:pPr>
            <w:r w:rsidRPr="00C840AB">
              <w:rPr>
                <w:i/>
                <w:sz w:val="18"/>
                <w:szCs w:val="18"/>
              </w:rPr>
              <w:t>Pokazatelj</w:t>
            </w:r>
          </w:p>
        </w:tc>
        <w:tc>
          <w:tcPr>
            <w:tcW w:w="1189" w:type="dxa"/>
            <w:tcBorders>
              <w:bottom w:val="single" w:sz="4" w:space="0" w:color="943634" w:themeColor="accent2" w:themeShade="BF"/>
            </w:tcBorders>
          </w:tcPr>
          <w:p w14:paraId="70F87C57" w14:textId="77777777" w:rsidR="00A40FED" w:rsidRPr="00C840AB" w:rsidRDefault="00A40FED" w:rsidP="00A40FED">
            <w:pPr>
              <w:pStyle w:val="Txttable"/>
              <w:rPr>
                <w:i/>
                <w:sz w:val="18"/>
                <w:szCs w:val="18"/>
              </w:rPr>
            </w:pPr>
            <w:r w:rsidRPr="00C840AB">
              <w:rPr>
                <w:i/>
                <w:sz w:val="18"/>
                <w:szCs w:val="18"/>
              </w:rPr>
              <w:t>Opis</w:t>
            </w:r>
          </w:p>
        </w:tc>
        <w:tc>
          <w:tcPr>
            <w:tcW w:w="1081" w:type="dxa"/>
            <w:tcBorders>
              <w:bottom w:val="single" w:sz="4" w:space="0" w:color="943634" w:themeColor="accent2" w:themeShade="BF"/>
            </w:tcBorders>
          </w:tcPr>
          <w:p w14:paraId="07C71822" w14:textId="77777777" w:rsidR="00A40FED" w:rsidRPr="00C840AB" w:rsidRDefault="00A40FED" w:rsidP="00A40FED">
            <w:pPr>
              <w:pStyle w:val="Txttable"/>
              <w:rPr>
                <w:i/>
                <w:sz w:val="18"/>
                <w:szCs w:val="18"/>
              </w:rPr>
            </w:pPr>
            <w:r w:rsidRPr="00C840AB">
              <w:rPr>
                <w:i/>
                <w:sz w:val="18"/>
                <w:szCs w:val="18"/>
              </w:rPr>
              <w:t>Jedinica</w:t>
            </w:r>
          </w:p>
        </w:tc>
        <w:tc>
          <w:tcPr>
            <w:tcW w:w="1017" w:type="dxa"/>
            <w:tcBorders>
              <w:bottom w:val="single" w:sz="4" w:space="0" w:color="943634" w:themeColor="accent2" w:themeShade="BF"/>
            </w:tcBorders>
          </w:tcPr>
          <w:p w14:paraId="7BF59402" w14:textId="77777777" w:rsidR="00A40FED" w:rsidRPr="00C840AB" w:rsidRDefault="00A40FED" w:rsidP="00A40FED">
            <w:pPr>
              <w:pStyle w:val="Txttable"/>
              <w:rPr>
                <w:i/>
                <w:sz w:val="18"/>
                <w:szCs w:val="18"/>
              </w:rPr>
            </w:pPr>
            <w:r w:rsidRPr="00C840AB">
              <w:rPr>
                <w:i/>
                <w:sz w:val="18"/>
                <w:szCs w:val="18"/>
              </w:rPr>
              <w:t xml:space="preserve">Početna vrijednost </w:t>
            </w:r>
          </w:p>
        </w:tc>
        <w:tc>
          <w:tcPr>
            <w:tcW w:w="790" w:type="dxa"/>
            <w:tcBorders>
              <w:bottom w:val="single" w:sz="4" w:space="0" w:color="943634" w:themeColor="accent2" w:themeShade="BF"/>
            </w:tcBorders>
          </w:tcPr>
          <w:p w14:paraId="173C11C2" w14:textId="77777777" w:rsidR="00A40FED" w:rsidRPr="00C840AB" w:rsidRDefault="00A40FED" w:rsidP="00A40FED">
            <w:pPr>
              <w:pStyle w:val="Txttable"/>
              <w:rPr>
                <w:i/>
                <w:sz w:val="18"/>
                <w:szCs w:val="18"/>
              </w:rPr>
            </w:pPr>
            <w:r w:rsidRPr="00C840AB">
              <w:rPr>
                <w:i/>
                <w:sz w:val="18"/>
                <w:szCs w:val="18"/>
              </w:rPr>
              <w:t>Godina</w:t>
            </w:r>
          </w:p>
        </w:tc>
        <w:tc>
          <w:tcPr>
            <w:tcW w:w="1017" w:type="dxa"/>
            <w:tcBorders>
              <w:bottom w:val="single" w:sz="4" w:space="0" w:color="943634" w:themeColor="accent2" w:themeShade="BF"/>
            </w:tcBorders>
          </w:tcPr>
          <w:p w14:paraId="7681EADB" w14:textId="77777777" w:rsidR="00A40FED" w:rsidRPr="00C840AB" w:rsidRDefault="00A40FED" w:rsidP="00A40FED">
            <w:pPr>
              <w:pStyle w:val="Txttable"/>
              <w:rPr>
                <w:i/>
                <w:sz w:val="18"/>
                <w:szCs w:val="18"/>
              </w:rPr>
            </w:pPr>
            <w:r w:rsidRPr="00C840AB">
              <w:rPr>
                <w:i/>
                <w:sz w:val="18"/>
                <w:szCs w:val="18"/>
              </w:rPr>
              <w:t>Ciljana vrijednost</w:t>
            </w:r>
          </w:p>
        </w:tc>
        <w:tc>
          <w:tcPr>
            <w:tcW w:w="790" w:type="dxa"/>
            <w:tcBorders>
              <w:bottom w:val="single" w:sz="4" w:space="0" w:color="943634" w:themeColor="accent2" w:themeShade="BF"/>
            </w:tcBorders>
          </w:tcPr>
          <w:p w14:paraId="711BDA47" w14:textId="77777777" w:rsidR="00A40FED" w:rsidRPr="00C840AB" w:rsidRDefault="00A40FED" w:rsidP="00A40FED">
            <w:pPr>
              <w:pStyle w:val="Txttable"/>
              <w:rPr>
                <w:i/>
                <w:sz w:val="18"/>
                <w:szCs w:val="18"/>
              </w:rPr>
            </w:pPr>
            <w:r w:rsidRPr="00C840AB">
              <w:rPr>
                <w:i/>
                <w:sz w:val="18"/>
                <w:szCs w:val="18"/>
              </w:rPr>
              <w:t>Godina</w:t>
            </w:r>
          </w:p>
        </w:tc>
        <w:tc>
          <w:tcPr>
            <w:tcW w:w="1224" w:type="dxa"/>
            <w:tcBorders>
              <w:bottom w:val="single" w:sz="4" w:space="0" w:color="943634" w:themeColor="accent2" w:themeShade="BF"/>
            </w:tcBorders>
          </w:tcPr>
          <w:p w14:paraId="5491C669" w14:textId="77777777" w:rsidR="00A40FED" w:rsidRPr="00C840AB" w:rsidRDefault="00A40FED" w:rsidP="00A40FED">
            <w:pPr>
              <w:pStyle w:val="Txttable"/>
              <w:rPr>
                <w:i/>
                <w:sz w:val="18"/>
                <w:szCs w:val="18"/>
              </w:rPr>
            </w:pPr>
            <w:r w:rsidRPr="00C840AB">
              <w:rPr>
                <w:i/>
                <w:sz w:val="18"/>
                <w:szCs w:val="18"/>
              </w:rPr>
              <w:t>Učestalost praćenja</w:t>
            </w:r>
          </w:p>
        </w:tc>
        <w:tc>
          <w:tcPr>
            <w:tcW w:w="804" w:type="dxa"/>
            <w:tcBorders>
              <w:bottom w:val="single" w:sz="4" w:space="0" w:color="943634" w:themeColor="accent2" w:themeShade="BF"/>
            </w:tcBorders>
          </w:tcPr>
          <w:p w14:paraId="77758448" w14:textId="77777777" w:rsidR="00A40FED" w:rsidRPr="00C840AB" w:rsidRDefault="00A40FED" w:rsidP="00A40FED">
            <w:pPr>
              <w:pStyle w:val="Txttable"/>
              <w:rPr>
                <w:i/>
                <w:sz w:val="18"/>
                <w:szCs w:val="18"/>
              </w:rPr>
            </w:pPr>
            <w:r w:rsidRPr="00C840AB">
              <w:rPr>
                <w:i/>
                <w:sz w:val="18"/>
                <w:szCs w:val="18"/>
              </w:rPr>
              <w:t>Izvor</w:t>
            </w:r>
          </w:p>
        </w:tc>
      </w:tr>
      <w:tr w:rsidR="00C840AB" w:rsidRPr="00A40FED" w14:paraId="71BB264E" w14:textId="77777777" w:rsidTr="00C840AB">
        <w:tc>
          <w:tcPr>
            <w:tcW w:w="1376" w:type="dxa"/>
            <w:tcBorders>
              <w:top w:val="single" w:sz="4" w:space="0" w:color="943634" w:themeColor="accent2" w:themeShade="BF"/>
            </w:tcBorders>
          </w:tcPr>
          <w:p w14:paraId="01A7E173" w14:textId="75302126" w:rsidR="00A40FED" w:rsidRPr="00A40FED" w:rsidRDefault="00C840AB" w:rsidP="00A40FED">
            <w:pPr>
              <w:pStyle w:val="Txttable"/>
              <w:rPr>
                <w:sz w:val="18"/>
                <w:szCs w:val="18"/>
              </w:rPr>
            </w:pPr>
            <w:r>
              <w:rPr>
                <w:sz w:val="18"/>
                <w:szCs w:val="18"/>
              </w:rPr>
              <w:t>Kvaliteta komunalne infrastruk</w:t>
            </w:r>
            <w:r w:rsidR="00192EA4">
              <w:rPr>
                <w:sz w:val="18"/>
                <w:szCs w:val="18"/>
              </w:rPr>
              <w:t>t</w:t>
            </w:r>
            <w:r>
              <w:rPr>
                <w:sz w:val="18"/>
                <w:szCs w:val="18"/>
              </w:rPr>
              <w:t>ure na području VUPKA</w:t>
            </w:r>
          </w:p>
        </w:tc>
        <w:tc>
          <w:tcPr>
            <w:tcW w:w="1189" w:type="dxa"/>
            <w:tcBorders>
              <w:top w:val="single" w:sz="4" w:space="0" w:color="943634" w:themeColor="accent2" w:themeShade="BF"/>
            </w:tcBorders>
          </w:tcPr>
          <w:p w14:paraId="2080B027" w14:textId="0E1E780F" w:rsidR="00A40FED" w:rsidRPr="00A40FED" w:rsidRDefault="00C840AB" w:rsidP="00A40FED">
            <w:pPr>
              <w:pStyle w:val="Txttable"/>
              <w:rPr>
                <w:sz w:val="18"/>
                <w:szCs w:val="18"/>
              </w:rPr>
            </w:pPr>
            <w:r>
              <w:rPr>
                <w:sz w:val="18"/>
                <w:szCs w:val="18"/>
              </w:rPr>
              <w:t>Povećanje udjela stanovnika priključenih na sustave javne vodoopskrbe i odvodnje</w:t>
            </w:r>
          </w:p>
        </w:tc>
        <w:tc>
          <w:tcPr>
            <w:tcW w:w="1081" w:type="dxa"/>
            <w:tcBorders>
              <w:top w:val="single" w:sz="4" w:space="0" w:color="943634" w:themeColor="accent2" w:themeShade="BF"/>
            </w:tcBorders>
          </w:tcPr>
          <w:p w14:paraId="03F28491" w14:textId="43D4FA5B" w:rsidR="00A40FED" w:rsidRPr="00A40FED" w:rsidRDefault="00C840AB" w:rsidP="00A40FED">
            <w:pPr>
              <w:pStyle w:val="Txttable"/>
              <w:rPr>
                <w:sz w:val="18"/>
                <w:szCs w:val="18"/>
              </w:rPr>
            </w:pPr>
            <w:r>
              <w:rPr>
                <w:sz w:val="18"/>
                <w:szCs w:val="18"/>
              </w:rPr>
              <w:t>%</w:t>
            </w:r>
          </w:p>
        </w:tc>
        <w:tc>
          <w:tcPr>
            <w:tcW w:w="1017" w:type="dxa"/>
            <w:tcBorders>
              <w:top w:val="single" w:sz="4" w:space="0" w:color="943634" w:themeColor="accent2" w:themeShade="BF"/>
            </w:tcBorders>
          </w:tcPr>
          <w:p w14:paraId="09D456BB" w14:textId="77777777" w:rsidR="00A40FED" w:rsidRPr="00A40FED" w:rsidRDefault="00A40FED" w:rsidP="00A40FED">
            <w:pPr>
              <w:pStyle w:val="Txttable"/>
              <w:rPr>
                <w:sz w:val="18"/>
                <w:szCs w:val="18"/>
              </w:rPr>
            </w:pPr>
            <w:r w:rsidRPr="00A40FED">
              <w:rPr>
                <w:sz w:val="18"/>
                <w:szCs w:val="18"/>
              </w:rPr>
              <w:t>N</w:t>
            </w:r>
          </w:p>
        </w:tc>
        <w:tc>
          <w:tcPr>
            <w:tcW w:w="790" w:type="dxa"/>
            <w:tcBorders>
              <w:top w:val="single" w:sz="4" w:space="0" w:color="943634" w:themeColor="accent2" w:themeShade="BF"/>
            </w:tcBorders>
          </w:tcPr>
          <w:p w14:paraId="320FE790" w14:textId="77777777" w:rsidR="00A40FED" w:rsidRPr="00A40FED" w:rsidRDefault="00A40FED" w:rsidP="00A40FED">
            <w:pPr>
              <w:pStyle w:val="Txttable"/>
              <w:rPr>
                <w:sz w:val="18"/>
                <w:szCs w:val="18"/>
              </w:rPr>
            </w:pPr>
            <w:r w:rsidRPr="00A40FED">
              <w:rPr>
                <w:sz w:val="18"/>
                <w:szCs w:val="18"/>
              </w:rPr>
              <w:t>2018.</w:t>
            </w:r>
          </w:p>
        </w:tc>
        <w:tc>
          <w:tcPr>
            <w:tcW w:w="1017" w:type="dxa"/>
            <w:tcBorders>
              <w:top w:val="single" w:sz="4" w:space="0" w:color="943634" w:themeColor="accent2" w:themeShade="BF"/>
            </w:tcBorders>
          </w:tcPr>
          <w:p w14:paraId="2733542C" w14:textId="452A41CE" w:rsidR="00A40FED" w:rsidRPr="00A40FED" w:rsidRDefault="00C840AB" w:rsidP="00A40FED">
            <w:pPr>
              <w:pStyle w:val="Txttable"/>
              <w:rPr>
                <w:sz w:val="18"/>
                <w:szCs w:val="18"/>
              </w:rPr>
            </w:pPr>
            <w:r>
              <w:rPr>
                <w:sz w:val="18"/>
                <w:szCs w:val="18"/>
              </w:rPr>
              <w:t>N+25%</w:t>
            </w:r>
          </w:p>
        </w:tc>
        <w:tc>
          <w:tcPr>
            <w:tcW w:w="790" w:type="dxa"/>
            <w:tcBorders>
              <w:top w:val="single" w:sz="4" w:space="0" w:color="943634" w:themeColor="accent2" w:themeShade="BF"/>
            </w:tcBorders>
          </w:tcPr>
          <w:p w14:paraId="7730D770" w14:textId="77777777" w:rsidR="00A40FED" w:rsidRPr="00A40FED" w:rsidRDefault="00A40FED" w:rsidP="00A40FED">
            <w:pPr>
              <w:pStyle w:val="Txttable"/>
              <w:rPr>
                <w:sz w:val="18"/>
                <w:szCs w:val="18"/>
              </w:rPr>
            </w:pPr>
            <w:r w:rsidRPr="00A40FED">
              <w:rPr>
                <w:sz w:val="18"/>
                <w:szCs w:val="18"/>
              </w:rPr>
              <w:t>2028.</w:t>
            </w:r>
          </w:p>
        </w:tc>
        <w:tc>
          <w:tcPr>
            <w:tcW w:w="1224" w:type="dxa"/>
            <w:tcBorders>
              <w:top w:val="single" w:sz="4" w:space="0" w:color="943634" w:themeColor="accent2" w:themeShade="BF"/>
            </w:tcBorders>
          </w:tcPr>
          <w:p w14:paraId="27C5D5C5" w14:textId="73AD330E" w:rsidR="00A40FED" w:rsidRPr="00A40FED" w:rsidRDefault="00C840AB" w:rsidP="00A40FED">
            <w:pPr>
              <w:pStyle w:val="Txttable"/>
              <w:rPr>
                <w:sz w:val="18"/>
                <w:szCs w:val="18"/>
              </w:rPr>
            </w:pPr>
            <w:r>
              <w:rPr>
                <w:sz w:val="18"/>
                <w:szCs w:val="18"/>
              </w:rPr>
              <w:t>Godišnje</w:t>
            </w:r>
          </w:p>
        </w:tc>
        <w:tc>
          <w:tcPr>
            <w:tcW w:w="804" w:type="dxa"/>
            <w:tcBorders>
              <w:top w:val="single" w:sz="4" w:space="0" w:color="943634" w:themeColor="accent2" w:themeShade="BF"/>
            </w:tcBorders>
          </w:tcPr>
          <w:p w14:paraId="6BA69BFD" w14:textId="6A3BFC15" w:rsidR="00A40FED" w:rsidRPr="00A40FED" w:rsidRDefault="00C840AB" w:rsidP="00A40FED">
            <w:pPr>
              <w:pStyle w:val="Txttable"/>
              <w:rPr>
                <w:sz w:val="18"/>
                <w:szCs w:val="18"/>
              </w:rPr>
            </w:pPr>
            <w:r>
              <w:rPr>
                <w:sz w:val="18"/>
                <w:szCs w:val="18"/>
              </w:rPr>
              <w:t>JLS</w:t>
            </w:r>
          </w:p>
        </w:tc>
      </w:tr>
      <w:tr w:rsidR="00C840AB" w:rsidRPr="00A40FED" w14:paraId="06E0DFFE" w14:textId="77777777" w:rsidTr="00C840AB">
        <w:tc>
          <w:tcPr>
            <w:tcW w:w="1376" w:type="dxa"/>
          </w:tcPr>
          <w:p w14:paraId="33B95FAB" w14:textId="4B3D3AA4" w:rsidR="00A40FED" w:rsidRPr="00A40FED" w:rsidRDefault="00C840AB" w:rsidP="00A40FED">
            <w:pPr>
              <w:pStyle w:val="Txttable"/>
              <w:rPr>
                <w:sz w:val="18"/>
                <w:szCs w:val="18"/>
              </w:rPr>
            </w:pPr>
            <w:r>
              <w:rPr>
                <w:sz w:val="18"/>
                <w:szCs w:val="18"/>
              </w:rPr>
              <w:t>Energetske uštede u toplinskoj mreži</w:t>
            </w:r>
          </w:p>
        </w:tc>
        <w:tc>
          <w:tcPr>
            <w:tcW w:w="1189" w:type="dxa"/>
          </w:tcPr>
          <w:p w14:paraId="6997FB29" w14:textId="11B12A17" w:rsidR="00A40FED" w:rsidRPr="00A40FED" w:rsidRDefault="00C840AB" w:rsidP="00A40FED">
            <w:pPr>
              <w:pStyle w:val="Txttable"/>
              <w:rPr>
                <w:sz w:val="18"/>
                <w:szCs w:val="18"/>
              </w:rPr>
            </w:pPr>
            <w:r>
              <w:rPr>
                <w:sz w:val="18"/>
                <w:szCs w:val="18"/>
              </w:rPr>
              <w:t>Smanjenje energetskih gubitaka u toplinarskom sustavu Grada Karlovca</w:t>
            </w:r>
          </w:p>
        </w:tc>
        <w:tc>
          <w:tcPr>
            <w:tcW w:w="1081" w:type="dxa"/>
          </w:tcPr>
          <w:p w14:paraId="068B3E26" w14:textId="5DFCED05" w:rsidR="00A40FED" w:rsidRPr="00A40FED" w:rsidRDefault="00C840AB" w:rsidP="00A40FED">
            <w:pPr>
              <w:pStyle w:val="Txttable"/>
              <w:rPr>
                <w:sz w:val="18"/>
                <w:szCs w:val="18"/>
              </w:rPr>
            </w:pPr>
            <w:r>
              <w:rPr>
                <w:sz w:val="18"/>
                <w:szCs w:val="18"/>
              </w:rPr>
              <w:t>%</w:t>
            </w:r>
          </w:p>
        </w:tc>
        <w:tc>
          <w:tcPr>
            <w:tcW w:w="1017" w:type="dxa"/>
          </w:tcPr>
          <w:p w14:paraId="26DBDAA6" w14:textId="50722523" w:rsidR="00A40FED" w:rsidRPr="00A40FED" w:rsidRDefault="00C840AB" w:rsidP="00A40FED">
            <w:pPr>
              <w:pStyle w:val="Txttable"/>
              <w:rPr>
                <w:sz w:val="18"/>
                <w:szCs w:val="18"/>
              </w:rPr>
            </w:pPr>
            <w:r>
              <w:rPr>
                <w:sz w:val="18"/>
                <w:szCs w:val="18"/>
              </w:rPr>
              <w:t>N</w:t>
            </w:r>
          </w:p>
        </w:tc>
        <w:tc>
          <w:tcPr>
            <w:tcW w:w="790" w:type="dxa"/>
          </w:tcPr>
          <w:p w14:paraId="5B5FD789" w14:textId="2CC720A5" w:rsidR="00A40FED" w:rsidRPr="00A40FED" w:rsidRDefault="00C840AB" w:rsidP="00A40FED">
            <w:pPr>
              <w:pStyle w:val="Txttable"/>
              <w:rPr>
                <w:sz w:val="18"/>
                <w:szCs w:val="18"/>
              </w:rPr>
            </w:pPr>
            <w:r>
              <w:rPr>
                <w:sz w:val="18"/>
                <w:szCs w:val="18"/>
              </w:rPr>
              <w:t>2018.</w:t>
            </w:r>
          </w:p>
        </w:tc>
        <w:tc>
          <w:tcPr>
            <w:tcW w:w="1017" w:type="dxa"/>
          </w:tcPr>
          <w:p w14:paraId="06DC9CAF" w14:textId="0B5B4EEA" w:rsidR="00A40FED" w:rsidRPr="00A40FED" w:rsidRDefault="00C840AB" w:rsidP="00A40FED">
            <w:pPr>
              <w:pStyle w:val="Txttable"/>
              <w:rPr>
                <w:sz w:val="18"/>
                <w:szCs w:val="18"/>
              </w:rPr>
            </w:pPr>
            <w:r>
              <w:rPr>
                <w:sz w:val="18"/>
                <w:szCs w:val="18"/>
              </w:rPr>
              <w:t>N-x%</w:t>
            </w:r>
          </w:p>
        </w:tc>
        <w:tc>
          <w:tcPr>
            <w:tcW w:w="790" w:type="dxa"/>
          </w:tcPr>
          <w:p w14:paraId="587386FE" w14:textId="195347A6" w:rsidR="00A40FED" w:rsidRPr="00A40FED" w:rsidRDefault="00C840AB" w:rsidP="00A40FED">
            <w:pPr>
              <w:pStyle w:val="Txttable"/>
              <w:rPr>
                <w:sz w:val="18"/>
                <w:szCs w:val="18"/>
              </w:rPr>
            </w:pPr>
            <w:r>
              <w:rPr>
                <w:sz w:val="18"/>
                <w:szCs w:val="18"/>
              </w:rPr>
              <w:t>2023.</w:t>
            </w:r>
          </w:p>
        </w:tc>
        <w:tc>
          <w:tcPr>
            <w:tcW w:w="1224" w:type="dxa"/>
          </w:tcPr>
          <w:p w14:paraId="630E988F" w14:textId="19D072E5" w:rsidR="00A40FED" w:rsidRPr="00A40FED" w:rsidRDefault="00C840AB" w:rsidP="00A40FED">
            <w:pPr>
              <w:pStyle w:val="Txttable"/>
              <w:rPr>
                <w:sz w:val="18"/>
                <w:szCs w:val="18"/>
              </w:rPr>
            </w:pPr>
            <w:r>
              <w:rPr>
                <w:sz w:val="18"/>
                <w:szCs w:val="18"/>
              </w:rPr>
              <w:t>Po dovršetku projekta</w:t>
            </w:r>
          </w:p>
        </w:tc>
        <w:tc>
          <w:tcPr>
            <w:tcW w:w="804" w:type="dxa"/>
          </w:tcPr>
          <w:p w14:paraId="41FFA16E" w14:textId="0AE2F8DC" w:rsidR="00A40FED" w:rsidRPr="00A40FED" w:rsidRDefault="00C840AB" w:rsidP="00C840AB">
            <w:pPr>
              <w:pStyle w:val="Txttable"/>
              <w:rPr>
                <w:sz w:val="18"/>
                <w:szCs w:val="18"/>
              </w:rPr>
            </w:pPr>
            <w:r>
              <w:rPr>
                <w:sz w:val="18"/>
                <w:szCs w:val="18"/>
              </w:rPr>
              <w:t>Gradska toplana Karlovac</w:t>
            </w:r>
          </w:p>
        </w:tc>
      </w:tr>
    </w:tbl>
    <w:p w14:paraId="17F9C889" w14:textId="77777777" w:rsidR="00962463" w:rsidRDefault="00962463" w:rsidP="00962463">
      <w:pPr>
        <w:rPr>
          <w:i/>
          <w:noProof/>
        </w:rPr>
      </w:pPr>
    </w:p>
    <w:p w14:paraId="0B37BB6D" w14:textId="23B56522" w:rsidR="00E718BC" w:rsidRPr="00464F70" w:rsidRDefault="00E718BC" w:rsidP="00E718BC">
      <w:pPr>
        <w:rPr>
          <w:b/>
          <w:color w:val="31849B" w:themeColor="accent5" w:themeShade="BF"/>
        </w:rPr>
      </w:pPr>
      <w:r w:rsidRPr="00464F70">
        <w:rPr>
          <w:b/>
          <w:color w:val="31849B" w:themeColor="accent5" w:themeShade="BF"/>
        </w:rPr>
        <w:t>S</w:t>
      </w:r>
      <w:r w:rsidR="00464F70" w:rsidRPr="00464F70">
        <w:rPr>
          <w:b/>
          <w:color w:val="31849B" w:themeColor="accent5" w:themeShade="BF"/>
        </w:rPr>
        <w:t xml:space="preserve">pecifični </w:t>
      </w:r>
      <w:r w:rsidRPr="00464F70">
        <w:rPr>
          <w:b/>
          <w:color w:val="31849B" w:themeColor="accent5" w:themeShade="BF"/>
        </w:rPr>
        <w:t>C</w:t>
      </w:r>
      <w:r w:rsidR="00464F70" w:rsidRPr="00464F70">
        <w:rPr>
          <w:b/>
          <w:color w:val="31849B" w:themeColor="accent5" w:themeShade="BF"/>
        </w:rPr>
        <w:t>ilj</w:t>
      </w:r>
      <w:r w:rsidRPr="00464F70">
        <w:rPr>
          <w:b/>
          <w:color w:val="31849B" w:themeColor="accent5" w:themeShade="BF"/>
        </w:rPr>
        <w:t xml:space="preserve"> 3. Konkurentno i moderno gospodarstvo VUPKA </w:t>
      </w:r>
    </w:p>
    <w:p w14:paraId="741E0D80" w14:textId="1AEC0228" w:rsidR="00E718BC" w:rsidRPr="00464F70" w:rsidRDefault="00E718BC" w:rsidP="00E718BC">
      <w:pPr>
        <w:rPr>
          <w:color w:val="31849B" w:themeColor="accent5" w:themeShade="BF"/>
        </w:rPr>
      </w:pPr>
      <w:r w:rsidRPr="00464F70">
        <w:rPr>
          <w:i/>
          <w:color w:val="31849B" w:themeColor="accent5" w:themeShade="BF"/>
        </w:rPr>
        <w:t>Cilj</w:t>
      </w:r>
      <w:r w:rsidRPr="00464F70">
        <w:rPr>
          <w:color w:val="31849B" w:themeColor="accent5" w:themeShade="BF"/>
        </w:rPr>
        <w:t xml:space="preserve">: </w:t>
      </w:r>
      <w:r w:rsidR="005165ED">
        <w:rPr>
          <w:color w:val="31849B" w:themeColor="accent5" w:themeShade="BF"/>
        </w:rPr>
        <w:t xml:space="preserve">Stvaranje </w:t>
      </w:r>
      <w:r w:rsidR="00192EA4">
        <w:rPr>
          <w:color w:val="31849B" w:themeColor="accent5" w:themeShade="BF"/>
        </w:rPr>
        <w:t>novih prilika za ljude, unapr</w:t>
      </w:r>
      <w:r w:rsidR="005165ED">
        <w:rPr>
          <w:color w:val="31849B" w:themeColor="accent5" w:themeShade="BF"/>
        </w:rPr>
        <w:t>jeđenje obrazovanja i vještina te u</w:t>
      </w:r>
      <w:r w:rsidRPr="00464F70">
        <w:rPr>
          <w:color w:val="31849B" w:themeColor="accent5" w:themeShade="BF"/>
        </w:rPr>
        <w:t>činkovitije korištenj</w:t>
      </w:r>
      <w:r w:rsidR="00005379">
        <w:rPr>
          <w:color w:val="31849B" w:themeColor="accent5" w:themeShade="BF"/>
        </w:rPr>
        <w:t>e resursne osnove gospodarstva uz</w:t>
      </w:r>
      <w:r w:rsidRPr="00464F70">
        <w:rPr>
          <w:color w:val="31849B" w:themeColor="accent5" w:themeShade="BF"/>
        </w:rPr>
        <w:t xml:space="preserve"> održ</w:t>
      </w:r>
      <w:r w:rsidR="005165ED">
        <w:rPr>
          <w:color w:val="31849B" w:themeColor="accent5" w:themeShade="BF"/>
        </w:rPr>
        <w:t>ivi razvoj modernih tehnologija.</w:t>
      </w:r>
    </w:p>
    <w:p w14:paraId="372C16BE" w14:textId="77777777" w:rsidR="00E718BC" w:rsidRDefault="00E718BC" w:rsidP="00E718BC">
      <w:r>
        <w:t>Prioriteti:</w:t>
      </w:r>
    </w:p>
    <w:p w14:paraId="317151D6" w14:textId="77777777" w:rsidR="00E718BC" w:rsidRDefault="00E718BC" w:rsidP="00E718BC">
      <w:pPr>
        <w:ind w:left="720"/>
        <w:rPr>
          <w:b/>
        </w:rPr>
      </w:pPr>
      <w:r>
        <w:rPr>
          <w:b/>
        </w:rPr>
        <w:t>SC3.</w:t>
      </w:r>
      <w:r w:rsidRPr="009D5C80">
        <w:rPr>
          <w:b/>
        </w:rPr>
        <w:t xml:space="preserve">P1 </w:t>
      </w:r>
      <w:r>
        <w:rPr>
          <w:b/>
        </w:rPr>
        <w:t>Podrška malom i srednjem poduzetništvu</w:t>
      </w:r>
    </w:p>
    <w:p w14:paraId="0A9E2DBD" w14:textId="747E3820" w:rsidR="00E718BC" w:rsidRDefault="00E718BC" w:rsidP="00306DA1">
      <w:pPr>
        <w:ind w:left="720"/>
        <w:rPr>
          <w:b/>
        </w:rPr>
      </w:pPr>
      <w:r>
        <w:rPr>
          <w:b/>
        </w:rPr>
        <w:t xml:space="preserve">SC3.P2 </w:t>
      </w:r>
      <w:r w:rsidRPr="009D5C80">
        <w:rPr>
          <w:b/>
        </w:rPr>
        <w:t>Ra</w:t>
      </w:r>
      <w:r w:rsidR="00306DA1">
        <w:rPr>
          <w:b/>
        </w:rPr>
        <w:t xml:space="preserve">zvoj vještina, </w:t>
      </w:r>
      <w:r w:rsidR="00234A0B">
        <w:rPr>
          <w:b/>
        </w:rPr>
        <w:t>znanja i kapaciteta</w:t>
      </w:r>
      <w:r w:rsidR="00306DA1">
        <w:rPr>
          <w:b/>
        </w:rPr>
        <w:t xml:space="preserve"> </w:t>
      </w:r>
      <w:r w:rsidRPr="009D5C80">
        <w:rPr>
          <w:b/>
        </w:rPr>
        <w:t xml:space="preserve">za </w:t>
      </w:r>
      <w:r w:rsidR="00B34B02">
        <w:rPr>
          <w:b/>
        </w:rPr>
        <w:t>moderno gospodarstvo</w:t>
      </w:r>
    </w:p>
    <w:p w14:paraId="0823337B" w14:textId="497AAA48" w:rsidR="00147989" w:rsidRPr="00306DA1" w:rsidRDefault="00147989" w:rsidP="00306DA1">
      <w:pPr>
        <w:ind w:left="720"/>
        <w:rPr>
          <w:b/>
        </w:rPr>
      </w:pPr>
      <w:r>
        <w:rPr>
          <w:b/>
        </w:rPr>
        <w:t>SC3. P3 Razvoj održive bio-ekonomije</w:t>
      </w:r>
    </w:p>
    <w:p w14:paraId="714D632E" w14:textId="7D11F5D4" w:rsidR="00E718BC" w:rsidRPr="009304F2" w:rsidRDefault="009304F2" w:rsidP="00E718BC">
      <w:pPr>
        <w:rPr>
          <w:i/>
          <w:color w:val="31849B" w:themeColor="accent5" w:themeShade="BF"/>
        </w:rPr>
      </w:pPr>
      <w:r w:rsidRPr="009304F2">
        <w:rPr>
          <w:i/>
          <w:color w:val="31849B" w:themeColor="accent5" w:themeShade="BF"/>
        </w:rPr>
        <w:t>Što</w:t>
      </w:r>
    </w:p>
    <w:p w14:paraId="40E2CC67" w14:textId="1657DE91" w:rsidR="00E718BC" w:rsidRDefault="00E718BC" w:rsidP="00E718BC">
      <w:r>
        <w:t>Osiguravanje</w:t>
      </w:r>
      <w:r w:rsidRPr="007E41D9">
        <w:t xml:space="preserve"> minima</w:t>
      </w:r>
      <w:r>
        <w:t>lne društvene, prometne i komu</w:t>
      </w:r>
      <w:r w:rsidRPr="007E41D9">
        <w:t xml:space="preserve">nalne infrastrukture osnovni je preduvjet dostupnosti rada i osobnog napretka, ključnih </w:t>
      </w:r>
      <w:r>
        <w:t>čimbenika odluke o mjestu sta</w:t>
      </w:r>
      <w:r w:rsidRPr="007E41D9">
        <w:t xml:space="preserve">novanja. </w:t>
      </w:r>
      <w:r>
        <w:t xml:space="preserve">Međutim, za jačanje razvojne uloge koju gradovi trebaju imati za svoje okruženje, </w:t>
      </w:r>
      <w:r w:rsidR="00464F70">
        <w:t xml:space="preserve">važni su usmjereni i planski napori prema </w:t>
      </w:r>
      <w:r w:rsidR="00464F70" w:rsidRPr="00464F70">
        <w:rPr>
          <w:b/>
          <w:color w:val="31849B" w:themeColor="accent5" w:themeShade="BF"/>
        </w:rPr>
        <w:t>razvoju konkurentnog i modernog gospodarstva</w:t>
      </w:r>
      <w:r w:rsidR="00464F70">
        <w:t xml:space="preserve">, što predstavlja treće veliko područje djelovanja </w:t>
      </w:r>
      <w:r w:rsidR="00B55150">
        <w:t>SRVUPKA</w:t>
      </w:r>
      <w:r w:rsidR="00464F70">
        <w:t>.</w:t>
      </w:r>
    </w:p>
    <w:p w14:paraId="00F591A9" w14:textId="60ECF45E" w:rsidR="00464F70" w:rsidRPr="009304F2" w:rsidRDefault="009304F2" w:rsidP="00E718BC">
      <w:pPr>
        <w:rPr>
          <w:i/>
          <w:color w:val="31849B" w:themeColor="accent5" w:themeShade="BF"/>
        </w:rPr>
      </w:pPr>
      <w:r w:rsidRPr="009304F2">
        <w:rPr>
          <w:i/>
          <w:color w:val="31849B" w:themeColor="accent5" w:themeShade="BF"/>
        </w:rPr>
        <w:t>Zašto</w:t>
      </w:r>
    </w:p>
    <w:p w14:paraId="418A4BE0" w14:textId="1432D406" w:rsidR="00B41C60" w:rsidRPr="002212E8" w:rsidRDefault="00032D42" w:rsidP="00E718BC">
      <w:r w:rsidRPr="00E23A3C">
        <w:t>Brz i prostorno neusmjerav</w:t>
      </w:r>
      <w:r>
        <w:t>an prijelaz iz agrarnog u indu</w:t>
      </w:r>
      <w:r w:rsidRPr="00E23A3C">
        <w:t xml:space="preserve">strijsko društvo temeljni je činitelj demografskog i gospodarskog zaostajanja </w:t>
      </w:r>
      <w:r>
        <w:t xml:space="preserve">pojedinih regija Hrvatske, a ovaj proces, </w:t>
      </w:r>
      <w:r w:rsidR="00187300">
        <w:t>koji je svoj vrhunac doživio</w:t>
      </w:r>
      <w:r>
        <w:t xml:space="preserve"> t</w:t>
      </w:r>
      <w:r w:rsidRPr="00E23A3C">
        <w:t xml:space="preserve">ijekom 1960-ih </w:t>
      </w:r>
      <w:r w:rsidR="00187300">
        <w:t>i 1970-ih ugrozio je</w:t>
      </w:r>
      <w:r>
        <w:t xml:space="preserve"> </w:t>
      </w:r>
      <w:r w:rsidR="00187300">
        <w:t>ne samo ruralne prostore</w:t>
      </w:r>
      <w:r w:rsidRPr="00E23A3C">
        <w:t xml:space="preserve"> izvan neposrednog okruženja gradova </w:t>
      </w:r>
      <w:r w:rsidR="00187300">
        <w:t xml:space="preserve">nego je i </w:t>
      </w:r>
      <w:r>
        <w:t>stanovništvo manjih gra</w:t>
      </w:r>
      <w:r w:rsidRPr="00E23A3C">
        <w:t xml:space="preserve">dova </w:t>
      </w:r>
      <w:r>
        <w:t>migrira</w:t>
      </w:r>
      <w:r w:rsidR="00187300">
        <w:t>lo</w:t>
      </w:r>
      <w:r w:rsidRPr="00E23A3C">
        <w:t xml:space="preserve"> prema velikim</w:t>
      </w:r>
      <w:r>
        <w:t xml:space="preserve"> gradovima ili prema inozemstvu</w:t>
      </w:r>
      <w:r w:rsidR="00055C3B">
        <w:t xml:space="preserve">. Sagledavajući problematiku s nacionalne razine, može se utvrditi da razvoj </w:t>
      </w:r>
      <w:r>
        <w:t>mali</w:t>
      </w:r>
      <w:r w:rsidR="00055C3B">
        <w:t>h</w:t>
      </w:r>
      <w:r>
        <w:t xml:space="preserve"> i srednji</w:t>
      </w:r>
      <w:r w:rsidR="00055C3B">
        <w:t>h gradova (</w:t>
      </w:r>
      <w:r>
        <w:t>poput gradova VUPKA</w:t>
      </w:r>
      <w:r w:rsidR="00055C3B">
        <w:t>)</w:t>
      </w:r>
      <w:r>
        <w:t xml:space="preserve">, </w:t>
      </w:r>
      <w:r w:rsidR="00055C3B">
        <w:t xml:space="preserve">nije uspio balansirati ove trendove </w:t>
      </w:r>
      <w:r w:rsidR="00306DA1">
        <w:t xml:space="preserve">u dovoljnoj mjeri </w:t>
      </w:r>
      <w:r w:rsidR="00055C3B">
        <w:t xml:space="preserve">i evidentna je potreba za </w:t>
      </w:r>
      <w:r w:rsidR="00306DA1">
        <w:t xml:space="preserve">kontinuiranim unaprjeđenjem uvjeta </w:t>
      </w:r>
      <w:r w:rsidR="00306DA1" w:rsidRPr="002212E8">
        <w:t>za širenje propulzivnih razvojnih gospodarskih aktivnosti</w:t>
      </w:r>
      <w:r w:rsidR="00F74B97">
        <w:t>.</w:t>
      </w:r>
      <w:r w:rsidR="00306DA1">
        <w:t xml:space="preserve"> Dinamičan gospodarski razvoj, jačanje djelatnosti više tehnološke razine i izgradnja ljudskih kapaciteta preduvjeti su </w:t>
      </w:r>
      <w:r w:rsidR="00306DA1" w:rsidRPr="007E41D9">
        <w:t xml:space="preserve">konkurentnosti, održivosti i </w:t>
      </w:r>
      <w:r w:rsidR="00306DA1">
        <w:t>više razine standarda življenja na području VUPKA</w:t>
      </w:r>
      <w:r w:rsidR="00C751D1">
        <w:t>, a samim time i ublažavanja katastrofalne demografske situacije Republike Hrvatske</w:t>
      </w:r>
      <w:r w:rsidR="008B6E60">
        <w:t xml:space="preserve">. </w:t>
      </w:r>
      <w:r w:rsidR="003F1F45">
        <w:t>Povrh toga</w:t>
      </w:r>
      <w:r w:rsidR="008B6E60">
        <w:t xml:space="preserve"> valja naglasiti da se u tom smislu ovaj cilj naslanja na prepoznate snage područja kao što </w:t>
      </w:r>
      <w:r w:rsidR="003F1F45">
        <w:t>je</w:t>
      </w:r>
      <w:r w:rsidR="008B6E60">
        <w:t xml:space="preserve"> kvalificirana radna snaga</w:t>
      </w:r>
      <w:r w:rsidR="00306DA1">
        <w:t>.</w:t>
      </w:r>
    </w:p>
    <w:p w14:paraId="28C72EDA" w14:textId="0996C33B" w:rsidR="000C71B2" w:rsidRPr="009304F2" w:rsidRDefault="009304F2" w:rsidP="00464F70">
      <w:pPr>
        <w:rPr>
          <w:i/>
          <w:color w:val="31849B" w:themeColor="accent5" w:themeShade="BF"/>
        </w:rPr>
      </w:pPr>
      <w:r w:rsidRPr="009304F2">
        <w:rPr>
          <w:i/>
          <w:color w:val="31849B" w:themeColor="accent5" w:themeShade="BF"/>
        </w:rPr>
        <w:t>Kako</w:t>
      </w:r>
    </w:p>
    <w:p w14:paraId="16369A49" w14:textId="142373D4" w:rsidR="00117274" w:rsidRDefault="007E5A38" w:rsidP="004E152B">
      <w:r>
        <w:t>Ulaganja u cilju konkurentnog i dinamičnog regionalnog gospodarstva podrazumijevaju kombinacije 'hard' i 'soft' ulaganja koja</w:t>
      </w:r>
      <w:r w:rsidR="003F1F45">
        <w:t>,</w:t>
      </w:r>
      <w:r>
        <w:t xml:space="preserve"> kao prvo</w:t>
      </w:r>
      <w:r w:rsidR="003F1F45">
        <w:t>,</w:t>
      </w:r>
      <w:r>
        <w:t xml:space="preserve"> jačaju ljudske kapacite</w:t>
      </w:r>
      <w:r w:rsidR="003F1F45">
        <w:t>te i tržište rada kao preduvjete</w:t>
      </w:r>
      <w:r>
        <w:t xml:space="preserve"> moderno</w:t>
      </w:r>
      <w:r w:rsidR="003F1F45">
        <w:t>g</w:t>
      </w:r>
      <w:r>
        <w:t xml:space="preserve"> i konkurentno</w:t>
      </w:r>
      <w:r w:rsidR="003F1F45">
        <w:t>g gospodarstva</w:t>
      </w:r>
      <w:r>
        <w:t xml:space="preserve"> (učinkovitost srednjoškolskog, struko</w:t>
      </w:r>
      <w:r w:rsidR="00005379">
        <w:t>vnog i visokoškolsko</w:t>
      </w:r>
      <w:r w:rsidR="00BD5F6A">
        <w:t>g</w:t>
      </w:r>
      <w:r w:rsidR="00005379">
        <w:t xml:space="preserve"> obrazovanja</w:t>
      </w:r>
      <w:r>
        <w:t>,</w:t>
      </w:r>
      <w:r w:rsidR="0008072B">
        <w:t xml:space="preserve"> obrazova</w:t>
      </w:r>
      <w:r w:rsidR="00192EA4">
        <w:t>nje odraslih) te koja</w:t>
      </w:r>
      <w:r w:rsidR="003F1F45">
        <w:t>, kao drugo,</w:t>
      </w:r>
      <w:r w:rsidR="00192EA4">
        <w:t xml:space="preserve"> unapr</w:t>
      </w:r>
      <w:r w:rsidR="0008072B">
        <w:t xml:space="preserve">jeđuju produktivnost i dodanu vrijednost lokalnih ekonomskih aktivnosti. </w:t>
      </w:r>
      <w:r w:rsidR="00C01A1F">
        <w:t>Povećanje dodane vrijednosti</w:t>
      </w:r>
      <w:r w:rsidR="0008072B">
        <w:t xml:space="preserve"> podrazumijeva različite mjere </w:t>
      </w:r>
      <w:r w:rsidR="00C01A1F">
        <w:t>koje jačaju</w:t>
      </w:r>
      <w:r w:rsidR="0008072B">
        <w:t xml:space="preserve">  </w:t>
      </w:r>
      <w:r w:rsidRPr="00F12E66">
        <w:t>istraživa</w:t>
      </w:r>
      <w:r w:rsidR="00C01A1F">
        <w:t>čke i inovacijske</w:t>
      </w:r>
      <w:r w:rsidR="0008072B">
        <w:t xml:space="preserve"> sposobnosti, </w:t>
      </w:r>
      <w:r w:rsidR="00C01A1F">
        <w:t xml:space="preserve">primjenu naprednih tehnologija </w:t>
      </w:r>
      <w:r w:rsidR="0008072B">
        <w:t xml:space="preserve">te generalni razvoj </w:t>
      </w:r>
      <w:r w:rsidR="00C01A1F">
        <w:t>i rast konkurentnosti MSP-ova</w:t>
      </w:r>
      <w:r w:rsidR="0008072B">
        <w:t>.</w:t>
      </w:r>
      <w:r w:rsidR="00147989">
        <w:t xml:space="preserve"> Također, uzimajući u obzir resursnu osnovu </w:t>
      </w:r>
      <w:r w:rsidR="00BD23FD">
        <w:t xml:space="preserve">i važnost ruralnih područja VUPKA za sveukupnu vitalnost života na području, </w:t>
      </w:r>
      <w:r w:rsidR="00B34B02">
        <w:t>određene mjere</w:t>
      </w:r>
      <w:r w:rsidR="00BD23FD">
        <w:t xml:space="preserve"> usmjeren</w:t>
      </w:r>
      <w:r w:rsidR="00B34B02">
        <w:t>e</w:t>
      </w:r>
      <w:r w:rsidR="00BD23FD">
        <w:t xml:space="preserve"> </w:t>
      </w:r>
      <w:r w:rsidR="00B34B02">
        <w:t>su</w:t>
      </w:r>
      <w:r w:rsidR="00BD23FD">
        <w:t xml:space="preserve"> na razvoj održive bio-ekonomije</w:t>
      </w:r>
      <w:r w:rsidR="00B34B02">
        <w:t>, pri čemu će n</w:t>
      </w:r>
      <w:r w:rsidR="00BD23FD">
        <w:t>aglas</w:t>
      </w:r>
      <w:r w:rsidR="00B34B02">
        <w:t xml:space="preserve">ak </w:t>
      </w:r>
      <w:r w:rsidR="00B55150">
        <w:t>SRVUPKA</w:t>
      </w:r>
      <w:r w:rsidR="00B34B02">
        <w:t xml:space="preserve"> u ovom sektoru biti </w:t>
      </w:r>
      <w:r w:rsidR="00BD23FD">
        <w:t xml:space="preserve">na </w:t>
      </w:r>
      <w:r w:rsidR="00147989">
        <w:t>poljoprivre</w:t>
      </w:r>
      <w:r w:rsidR="00BD23FD">
        <w:t>d</w:t>
      </w:r>
      <w:r w:rsidR="00147989">
        <w:t>noj proizvodnji u funkciji ruralnog turizma</w:t>
      </w:r>
      <w:r w:rsidR="00BD23FD">
        <w:t xml:space="preserve"> </w:t>
      </w:r>
      <w:r w:rsidR="00C01A1F">
        <w:t>te jačanju</w:t>
      </w:r>
      <w:r w:rsidR="009372AB">
        <w:t xml:space="preserve"> urbano-ruralnih veza</w:t>
      </w:r>
      <w:r w:rsidR="00234A01">
        <w:t>, odnosno stvaranja tržišta za lokalnu proizvodnju.</w:t>
      </w:r>
    </w:p>
    <w:p w14:paraId="47182DC9" w14:textId="77777777" w:rsidR="00A14A40" w:rsidRDefault="00A14A40" w:rsidP="00A14A40">
      <w:r w:rsidRPr="008A7A5A">
        <w:t>Razvoj turističke infrastrukture i riječni pristup turističkim rutama i seoskim domaćinstvima, kao i nove turističke atrakcije i tematske rute bazirane na prirodnom i kulturnom nasljeđu, uključujući izgradnju sustava riječnih pristaništa na rijeci Kupi, uređenje kupališta na rijekama VUPKA, izradu tematskih ruta i drugo</w:t>
      </w:r>
      <w:r>
        <w:t>,</w:t>
      </w:r>
      <w:r w:rsidRPr="008A7A5A">
        <w:t xml:space="preserve"> planirat će se na način da se ne uklanja obalna vegetacija, da se ne grade građevine na obali i u koritu rijeke koje bi mogle utjecati na osjetljive stanišne tipove te da se broj plovila i ljudi ograniči na prihvatljivu mjeru.  Za sve projekte koj</w:t>
      </w:r>
      <w:r>
        <w:t>i</w:t>
      </w:r>
      <w:r w:rsidRPr="008A7A5A">
        <w:t xml:space="preserve"> se eventualno budu planirali unutar nekog od područja ekološke mreže ili se ocijeni da bi mogli imati značajan negativan utjecaj na ciljne </w:t>
      </w:r>
      <w:r w:rsidRPr="008A7A5A">
        <w:lastRenderedPageBreak/>
        <w:t>vrste i staništa ekološke mreže u kojemu se izvode, obvezno će se provoditi postupak ocjene prihvatljivosti za ekološku mrežu.</w:t>
      </w:r>
    </w:p>
    <w:p w14:paraId="05A14BA5" w14:textId="77777777" w:rsidR="00A14A40" w:rsidRDefault="00A14A40" w:rsidP="00A14A40">
      <w:r w:rsidRPr="008A7A5A">
        <w:t>Vezano uz mjere i projekte planirane u okviru SC</w:t>
      </w:r>
      <w:r>
        <w:t>3</w:t>
      </w:r>
      <w:r w:rsidRPr="008A7A5A">
        <w:t>.P</w:t>
      </w:r>
      <w:r>
        <w:t>1, SC3.P2</w:t>
      </w:r>
      <w:r w:rsidRPr="008A7A5A">
        <w:t xml:space="preserve"> i SC</w:t>
      </w:r>
      <w:r>
        <w:t>3</w:t>
      </w:r>
      <w:r w:rsidRPr="008A7A5A">
        <w:t>.P3, mogućnost značajnog negativnog utjecaja na ciljeve očuvanja i cjelovitost područja ekološke mreže isključit će se uz obvezu provedbe ocjene prihvatljivosti za pojedinačne zahvate, kada se utvrdi prostorni smještaj te obilježja zahvata.</w:t>
      </w:r>
    </w:p>
    <w:p w14:paraId="3E43B8E0" w14:textId="77777777" w:rsidR="00A14A40" w:rsidRDefault="00A14A40" w:rsidP="004E152B"/>
    <w:p w14:paraId="64B6D0E2" w14:textId="61AE64A8" w:rsidR="00697912" w:rsidRPr="00A40FED" w:rsidRDefault="00A40FED" w:rsidP="004E152B">
      <w:pPr>
        <w:rPr>
          <w:i/>
          <w:color w:val="31849B" w:themeColor="accent5" w:themeShade="BF"/>
        </w:rPr>
      </w:pPr>
      <w:r w:rsidRPr="00A40FED">
        <w:rPr>
          <w:i/>
          <w:color w:val="31849B" w:themeColor="accent5" w:themeShade="BF"/>
        </w:rPr>
        <w:t>Pokazat</w:t>
      </w:r>
      <w:r>
        <w:rPr>
          <w:i/>
          <w:color w:val="31849B" w:themeColor="accent5" w:themeShade="BF"/>
        </w:rPr>
        <w:t>elji učinka za Specifični Cilj 3</w:t>
      </w:r>
      <w:r w:rsidRPr="00A40FED">
        <w:rPr>
          <w:i/>
          <w:color w:val="31849B" w:themeColor="accent5" w:themeShade="BF"/>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3"/>
        <w:gridCol w:w="1333"/>
        <w:gridCol w:w="833"/>
        <w:gridCol w:w="952"/>
        <w:gridCol w:w="787"/>
        <w:gridCol w:w="952"/>
        <w:gridCol w:w="787"/>
        <w:gridCol w:w="1075"/>
        <w:gridCol w:w="1292"/>
      </w:tblGrid>
      <w:tr w:rsidR="005A7313" w:rsidRPr="00A40FED" w14:paraId="7A54627C" w14:textId="77777777" w:rsidTr="00D26096">
        <w:tc>
          <w:tcPr>
            <w:tcW w:w="1333" w:type="dxa"/>
            <w:tcBorders>
              <w:bottom w:val="single" w:sz="4" w:space="0" w:color="31849B" w:themeColor="accent5" w:themeShade="BF"/>
            </w:tcBorders>
          </w:tcPr>
          <w:p w14:paraId="56B481AB" w14:textId="77777777" w:rsidR="00697912" w:rsidRPr="00A40FED" w:rsidRDefault="00697912" w:rsidP="00697912">
            <w:pPr>
              <w:pStyle w:val="Txttable"/>
              <w:rPr>
                <w:i/>
                <w:sz w:val="18"/>
                <w:szCs w:val="18"/>
              </w:rPr>
            </w:pPr>
            <w:r w:rsidRPr="00A40FED">
              <w:rPr>
                <w:i/>
                <w:sz w:val="18"/>
                <w:szCs w:val="18"/>
              </w:rPr>
              <w:t>Pokazatelj</w:t>
            </w:r>
          </w:p>
        </w:tc>
        <w:tc>
          <w:tcPr>
            <w:tcW w:w="1259" w:type="dxa"/>
            <w:tcBorders>
              <w:bottom w:val="single" w:sz="4" w:space="0" w:color="31849B" w:themeColor="accent5" w:themeShade="BF"/>
            </w:tcBorders>
          </w:tcPr>
          <w:p w14:paraId="65DF6006" w14:textId="77777777" w:rsidR="00697912" w:rsidRPr="00A40FED" w:rsidRDefault="00697912" w:rsidP="00697912">
            <w:pPr>
              <w:pStyle w:val="Txttable"/>
              <w:rPr>
                <w:i/>
                <w:sz w:val="18"/>
                <w:szCs w:val="18"/>
              </w:rPr>
            </w:pPr>
            <w:r w:rsidRPr="00A40FED">
              <w:rPr>
                <w:i/>
                <w:sz w:val="18"/>
                <w:szCs w:val="18"/>
              </w:rPr>
              <w:t>Opis</w:t>
            </w:r>
          </w:p>
        </w:tc>
        <w:tc>
          <w:tcPr>
            <w:tcW w:w="837" w:type="dxa"/>
            <w:tcBorders>
              <w:bottom w:val="single" w:sz="4" w:space="0" w:color="31849B" w:themeColor="accent5" w:themeShade="BF"/>
            </w:tcBorders>
          </w:tcPr>
          <w:p w14:paraId="4573BD64" w14:textId="77777777" w:rsidR="00697912" w:rsidRPr="00A40FED" w:rsidRDefault="00697912" w:rsidP="00697912">
            <w:pPr>
              <w:pStyle w:val="Txttable"/>
              <w:rPr>
                <w:i/>
                <w:sz w:val="18"/>
                <w:szCs w:val="18"/>
              </w:rPr>
            </w:pPr>
            <w:r w:rsidRPr="00A40FED">
              <w:rPr>
                <w:i/>
                <w:sz w:val="18"/>
                <w:szCs w:val="18"/>
              </w:rPr>
              <w:t>Jedinica</w:t>
            </w:r>
          </w:p>
        </w:tc>
        <w:tc>
          <w:tcPr>
            <w:tcW w:w="954" w:type="dxa"/>
            <w:tcBorders>
              <w:bottom w:val="single" w:sz="4" w:space="0" w:color="31849B" w:themeColor="accent5" w:themeShade="BF"/>
            </w:tcBorders>
          </w:tcPr>
          <w:p w14:paraId="04357ECC" w14:textId="77777777" w:rsidR="00697912" w:rsidRPr="00A40FED" w:rsidRDefault="00697912" w:rsidP="00697912">
            <w:pPr>
              <w:pStyle w:val="Txttable"/>
              <w:rPr>
                <w:i/>
                <w:sz w:val="18"/>
                <w:szCs w:val="18"/>
              </w:rPr>
            </w:pPr>
            <w:r w:rsidRPr="00A40FED">
              <w:rPr>
                <w:i/>
                <w:sz w:val="18"/>
                <w:szCs w:val="18"/>
              </w:rPr>
              <w:t xml:space="preserve">Početna vrijednost </w:t>
            </w:r>
          </w:p>
        </w:tc>
        <w:tc>
          <w:tcPr>
            <w:tcW w:w="792" w:type="dxa"/>
            <w:tcBorders>
              <w:bottom w:val="single" w:sz="4" w:space="0" w:color="31849B" w:themeColor="accent5" w:themeShade="BF"/>
            </w:tcBorders>
          </w:tcPr>
          <w:p w14:paraId="134E06F1" w14:textId="77777777" w:rsidR="00697912" w:rsidRPr="00A40FED" w:rsidRDefault="00697912" w:rsidP="00697912">
            <w:pPr>
              <w:pStyle w:val="Txttable"/>
              <w:rPr>
                <w:i/>
                <w:sz w:val="18"/>
                <w:szCs w:val="18"/>
              </w:rPr>
            </w:pPr>
            <w:r w:rsidRPr="00A40FED">
              <w:rPr>
                <w:i/>
                <w:sz w:val="18"/>
                <w:szCs w:val="18"/>
              </w:rPr>
              <w:t>Godina</w:t>
            </w:r>
          </w:p>
        </w:tc>
        <w:tc>
          <w:tcPr>
            <w:tcW w:w="954" w:type="dxa"/>
            <w:tcBorders>
              <w:bottom w:val="single" w:sz="4" w:space="0" w:color="31849B" w:themeColor="accent5" w:themeShade="BF"/>
            </w:tcBorders>
          </w:tcPr>
          <w:p w14:paraId="336D132F" w14:textId="77777777" w:rsidR="00697912" w:rsidRPr="00A40FED" w:rsidRDefault="00697912" w:rsidP="00697912">
            <w:pPr>
              <w:pStyle w:val="Txttable"/>
              <w:rPr>
                <w:i/>
                <w:sz w:val="18"/>
                <w:szCs w:val="18"/>
              </w:rPr>
            </w:pPr>
            <w:r w:rsidRPr="00A40FED">
              <w:rPr>
                <w:i/>
                <w:sz w:val="18"/>
                <w:szCs w:val="18"/>
              </w:rPr>
              <w:t>Ciljana vrijednost</w:t>
            </w:r>
          </w:p>
        </w:tc>
        <w:tc>
          <w:tcPr>
            <w:tcW w:w="792" w:type="dxa"/>
            <w:tcBorders>
              <w:bottom w:val="single" w:sz="4" w:space="0" w:color="31849B" w:themeColor="accent5" w:themeShade="BF"/>
            </w:tcBorders>
          </w:tcPr>
          <w:p w14:paraId="7A85BE6C" w14:textId="77777777" w:rsidR="00697912" w:rsidRPr="00A40FED" w:rsidRDefault="00697912" w:rsidP="00697912">
            <w:pPr>
              <w:pStyle w:val="Txttable"/>
              <w:rPr>
                <w:i/>
                <w:sz w:val="18"/>
                <w:szCs w:val="18"/>
              </w:rPr>
            </w:pPr>
            <w:r w:rsidRPr="00A40FED">
              <w:rPr>
                <w:i/>
                <w:sz w:val="18"/>
                <w:szCs w:val="18"/>
              </w:rPr>
              <w:t>Godina</w:t>
            </w:r>
          </w:p>
        </w:tc>
        <w:tc>
          <w:tcPr>
            <w:tcW w:w="1075" w:type="dxa"/>
            <w:tcBorders>
              <w:bottom w:val="single" w:sz="4" w:space="0" w:color="31849B" w:themeColor="accent5" w:themeShade="BF"/>
            </w:tcBorders>
          </w:tcPr>
          <w:p w14:paraId="77E738F5" w14:textId="77777777" w:rsidR="00697912" w:rsidRPr="00A40FED" w:rsidRDefault="00697912" w:rsidP="00697912">
            <w:pPr>
              <w:pStyle w:val="Txttable"/>
              <w:rPr>
                <w:i/>
                <w:sz w:val="18"/>
                <w:szCs w:val="18"/>
              </w:rPr>
            </w:pPr>
            <w:r w:rsidRPr="00A40FED">
              <w:rPr>
                <w:i/>
                <w:sz w:val="18"/>
                <w:szCs w:val="18"/>
              </w:rPr>
              <w:t>Učestalost praćenja</w:t>
            </w:r>
          </w:p>
        </w:tc>
        <w:tc>
          <w:tcPr>
            <w:tcW w:w="1292" w:type="dxa"/>
            <w:tcBorders>
              <w:bottom w:val="single" w:sz="4" w:space="0" w:color="31849B" w:themeColor="accent5" w:themeShade="BF"/>
            </w:tcBorders>
          </w:tcPr>
          <w:p w14:paraId="7C80F56D" w14:textId="77777777" w:rsidR="00697912" w:rsidRPr="00A40FED" w:rsidRDefault="00697912" w:rsidP="00697912">
            <w:pPr>
              <w:pStyle w:val="Txttable"/>
              <w:rPr>
                <w:i/>
                <w:sz w:val="18"/>
                <w:szCs w:val="18"/>
              </w:rPr>
            </w:pPr>
            <w:r w:rsidRPr="00A40FED">
              <w:rPr>
                <w:i/>
                <w:sz w:val="18"/>
                <w:szCs w:val="18"/>
              </w:rPr>
              <w:t>Izvor</w:t>
            </w:r>
          </w:p>
        </w:tc>
      </w:tr>
      <w:tr w:rsidR="005A7313" w:rsidRPr="00A40FED" w14:paraId="4BDA6B26" w14:textId="77777777" w:rsidTr="00D26096">
        <w:tc>
          <w:tcPr>
            <w:tcW w:w="1333" w:type="dxa"/>
            <w:tcBorders>
              <w:top w:val="single" w:sz="4" w:space="0" w:color="31849B" w:themeColor="accent5" w:themeShade="BF"/>
            </w:tcBorders>
          </w:tcPr>
          <w:p w14:paraId="1253340C" w14:textId="36E67A6C" w:rsidR="00697912" w:rsidRPr="00A40FED" w:rsidRDefault="00697912" w:rsidP="005A7313">
            <w:pPr>
              <w:pStyle w:val="Txttable"/>
              <w:rPr>
                <w:sz w:val="18"/>
                <w:szCs w:val="18"/>
              </w:rPr>
            </w:pPr>
            <w:r w:rsidRPr="00A40FED">
              <w:rPr>
                <w:sz w:val="18"/>
                <w:szCs w:val="18"/>
              </w:rPr>
              <w:t>Stanovnici sa završenim tercijarnim obrazovanjem</w:t>
            </w:r>
            <w:r w:rsidR="005A7313" w:rsidRPr="00A40FED">
              <w:rPr>
                <w:sz w:val="18"/>
                <w:szCs w:val="18"/>
              </w:rPr>
              <w:t xml:space="preserve"> </w:t>
            </w:r>
            <w:r w:rsidR="00B12EA9" w:rsidRPr="00A40FED">
              <w:rPr>
                <w:sz w:val="18"/>
                <w:szCs w:val="18"/>
              </w:rPr>
              <w:t>u Karlovačkoj županiji</w:t>
            </w:r>
          </w:p>
        </w:tc>
        <w:tc>
          <w:tcPr>
            <w:tcW w:w="1259" w:type="dxa"/>
            <w:tcBorders>
              <w:top w:val="single" w:sz="4" w:space="0" w:color="31849B" w:themeColor="accent5" w:themeShade="BF"/>
            </w:tcBorders>
          </w:tcPr>
          <w:p w14:paraId="1D0073B9" w14:textId="5A3CF9C9" w:rsidR="00697912" w:rsidRPr="00A40FED" w:rsidRDefault="00697912" w:rsidP="005A7313">
            <w:pPr>
              <w:pStyle w:val="Txttable"/>
              <w:rPr>
                <w:sz w:val="18"/>
                <w:szCs w:val="18"/>
              </w:rPr>
            </w:pPr>
            <w:r w:rsidRPr="00A40FED">
              <w:rPr>
                <w:sz w:val="18"/>
                <w:szCs w:val="18"/>
              </w:rPr>
              <w:t xml:space="preserve">Povećanje </w:t>
            </w:r>
            <w:r w:rsidR="005A7313" w:rsidRPr="00A40FED">
              <w:rPr>
                <w:sz w:val="18"/>
                <w:szCs w:val="18"/>
              </w:rPr>
              <w:t>broja stanovnika sa završenim tercijarnim obrazovanjem (VŠS, VSS)</w:t>
            </w:r>
          </w:p>
        </w:tc>
        <w:tc>
          <w:tcPr>
            <w:tcW w:w="837" w:type="dxa"/>
            <w:tcBorders>
              <w:top w:val="single" w:sz="4" w:space="0" w:color="31849B" w:themeColor="accent5" w:themeShade="BF"/>
            </w:tcBorders>
          </w:tcPr>
          <w:p w14:paraId="35643EFF" w14:textId="77777777" w:rsidR="00697912" w:rsidRPr="00A40FED" w:rsidRDefault="00697912" w:rsidP="00697912">
            <w:pPr>
              <w:pStyle w:val="Txttable"/>
              <w:rPr>
                <w:sz w:val="18"/>
                <w:szCs w:val="18"/>
              </w:rPr>
            </w:pPr>
            <w:r w:rsidRPr="00A40FED">
              <w:rPr>
                <w:sz w:val="18"/>
                <w:szCs w:val="18"/>
              </w:rPr>
              <w:t>Broj</w:t>
            </w:r>
          </w:p>
        </w:tc>
        <w:tc>
          <w:tcPr>
            <w:tcW w:w="954" w:type="dxa"/>
            <w:tcBorders>
              <w:top w:val="single" w:sz="4" w:space="0" w:color="31849B" w:themeColor="accent5" w:themeShade="BF"/>
            </w:tcBorders>
          </w:tcPr>
          <w:p w14:paraId="61D19EB7" w14:textId="77777777" w:rsidR="00697912" w:rsidRPr="00A40FED" w:rsidRDefault="00697912" w:rsidP="00697912">
            <w:pPr>
              <w:pStyle w:val="Txttable"/>
              <w:rPr>
                <w:sz w:val="18"/>
                <w:szCs w:val="18"/>
              </w:rPr>
            </w:pPr>
            <w:r w:rsidRPr="00A40FED">
              <w:rPr>
                <w:sz w:val="18"/>
                <w:szCs w:val="18"/>
              </w:rPr>
              <w:t>N</w:t>
            </w:r>
          </w:p>
        </w:tc>
        <w:tc>
          <w:tcPr>
            <w:tcW w:w="792" w:type="dxa"/>
            <w:tcBorders>
              <w:top w:val="single" w:sz="4" w:space="0" w:color="31849B" w:themeColor="accent5" w:themeShade="BF"/>
            </w:tcBorders>
          </w:tcPr>
          <w:p w14:paraId="41C2C9C4" w14:textId="3829C663" w:rsidR="00697912" w:rsidRPr="00A40FED" w:rsidRDefault="005A7313" w:rsidP="00697912">
            <w:pPr>
              <w:pStyle w:val="Txttable"/>
              <w:rPr>
                <w:sz w:val="18"/>
                <w:szCs w:val="18"/>
              </w:rPr>
            </w:pPr>
            <w:r w:rsidRPr="00A40FED">
              <w:rPr>
                <w:sz w:val="18"/>
                <w:szCs w:val="18"/>
              </w:rPr>
              <w:t>2016.</w:t>
            </w:r>
          </w:p>
        </w:tc>
        <w:tc>
          <w:tcPr>
            <w:tcW w:w="954" w:type="dxa"/>
            <w:tcBorders>
              <w:top w:val="single" w:sz="4" w:space="0" w:color="31849B" w:themeColor="accent5" w:themeShade="BF"/>
            </w:tcBorders>
          </w:tcPr>
          <w:p w14:paraId="68C344A2" w14:textId="3709DDB8" w:rsidR="00697912" w:rsidRPr="00A40FED" w:rsidRDefault="005A7313" w:rsidP="00697912">
            <w:pPr>
              <w:pStyle w:val="Txttable"/>
              <w:rPr>
                <w:sz w:val="18"/>
                <w:szCs w:val="18"/>
              </w:rPr>
            </w:pPr>
            <w:r w:rsidRPr="00A40FED">
              <w:rPr>
                <w:sz w:val="18"/>
                <w:szCs w:val="18"/>
              </w:rPr>
              <w:t>N+10%</w:t>
            </w:r>
          </w:p>
        </w:tc>
        <w:tc>
          <w:tcPr>
            <w:tcW w:w="792" w:type="dxa"/>
            <w:tcBorders>
              <w:top w:val="single" w:sz="4" w:space="0" w:color="31849B" w:themeColor="accent5" w:themeShade="BF"/>
            </w:tcBorders>
          </w:tcPr>
          <w:p w14:paraId="262CF24A" w14:textId="5B2787D9" w:rsidR="00697912" w:rsidRPr="00A40FED" w:rsidRDefault="005A7313" w:rsidP="00697912">
            <w:pPr>
              <w:pStyle w:val="Txttable"/>
              <w:rPr>
                <w:sz w:val="18"/>
                <w:szCs w:val="18"/>
              </w:rPr>
            </w:pPr>
            <w:r w:rsidRPr="00A40FED">
              <w:rPr>
                <w:sz w:val="18"/>
                <w:szCs w:val="18"/>
              </w:rPr>
              <w:t>2027.</w:t>
            </w:r>
          </w:p>
        </w:tc>
        <w:tc>
          <w:tcPr>
            <w:tcW w:w="1075" w:type="dxa"/>
            <w:tcBorders>
              <w:top w:val="single" w:sz="4" w:space="0" w:color="31849B" w:themeColor="accent5" w:themeShade="BF"/>
            </w:tcBorders>
          </w:tcPr>
          <w:p w14:paraId="2557C8E4" w14:textId="51A68ED6" w:rsidR="00697912" w:rsidRPr="00A40FED" w:rsidRDefault="005A7313" w:rsidP="00697912">
            <w:pPr>
              <w:pStyle w:val="Txttable"/>
              <w:rPr>
                <w:sz w:val="18"/>
                <w:szCs w:val="18"/>
              </w:rPr>
            </w:pPr>
            <w:r w:rsidRPr="00A40FED">
              <w:rPr>
                <w:sz w:val="18"/>
                <w:szCs w:val="18"/>
              </w:rPr>
              <w:t>Godišnje</w:t>
            </w:r>
          </w:p>
        </w:tc>
        <w:tc>
          <w:tcPr>
            <w:tcW w:w="1292" w:type="dxa"/>
            <w:tcBorders>
              <w:top w:val="single" w:sz="4" w:space="0" w:color="31849B" w:themeColor="accent5" w:themeShade="BF"/>
            </w:tcBorders>
          </w:tcPr>
          <w:p w14:paraId="33C29BA9" w14:textId="323826EA" w:rsidR="00697912" w:rsidRPr="00A40FED" w:rsidRDefault="005A7313" w:rsidP="00697912">
            <w:pPr>
              <w:pStyle w:val="Txttable"/>
              <w:rPr>
                <w:sz w:val="18"/>
                <w:szCs w:val="18"/>
              </w:rPr>
            </w:pPr>
            <w:r w:rsidRPr="00A40FED">
              <w:rPr>
                <w:sz w:val="18"/>
                <w:szCs w:val="18"/>
              </w:rPr>
              <w:t>DZS</w:t>
            </w:r>
          </w:p>
        </w:tc>
      </w:tr>
      <w:tr w:rsidR="005A7313" w:rsidRPr="00A40FED" w14:paraId="1B11EE0C" w14:textId="77777777" w:rsidTr="00D26096">
        <w:tc>
          <w:tcPr>
            <w:tcW w:w="1333" w:type="dxa"/>
          </w:tcPr>
          <w:p w14:paraId="154D78F5" w14:textId="3259B7A1" w:rsidR="00697912" w:rsidRPr="00A40FED" w:rsidRDefault="005A7313" w:rsidP="00697912">
            <w:pPr>
              <w:pStyle w:val="Txttable"/>
              <w:rPr>
                <w:sz w:val="18"/>
                <w:szCs w:val="18"/>
              </w:rPr>
            </w:pPr>
            <w:r w:rsidRPr="00A40FED">
              <w:rPr>
                <w:sz w:val="18"/>
                <w:szCs w:val="18"/>
              </w:rPr>
              <w:t>Indeks konkurentnosti</w:t>
            </w:r>
            <w:r w:rsidR="00B12EA9" w:rsidRPr="00A40FED">
              <w:rPr>
                <w:sz w:val="18"/>
                <w:szCs w:val="18"/>
              </w:rPr>
              <w:t xml:space="preserve"> Karlovačke županije</w:t>
            </w:r>
          </w:p>
        </w:tc>
        <w:tc>
          <w:tcPr>
            <w:tcW w:w="1259" w:type="dxa"/>
          </w:tcPr>
          <w:p w14:paraId="582614E9" w14:textId="500003F0" w:rsidR="00697912" w:rsidRPr="00A40FED" w:rsidRDefault="005A7313" w:rsidP="00697912">
            <w:pPr>
              <w:pStyle w:val="Txttable"/>
              <w:rPr>
                <w:sz w:val="18"/>
                <w:szCs w:val="18"/>
              </w:rPr>
            </w:pPr>
            <w:r w:rsidRPr="00A40FED">
              <w:rPr>
                <w:sz w:val="18"/>
                <w:szCs w:val="18"/>
              </w:rPr>
              <w:t>Unaprijeđeni regionalni indeks kon</w:t>
            </w:r>
            <w:r w:rsidR="00192EA4">
              <w:rPr>
                <w:sz w:val="18"/>
                <w:szCs w:val="18"/>
              </w:rPr>
              <w:t>k</w:t>
            </w:r>
            <w:r w:rsidRPr="00A40FED">
              <w:rPr>
                <w:sz w:val="18"/>
                <w:szCs w:val="18"/>
              </w:rPr>
              <w:t>urentnosti Karlovač</w:t>
            </w:r>
            <w:r w:rsidR="00192EA4">
              <w:rPr>
                <w:sz w:val="18"/>
                <w:szCs w:val="18"/>
              </w:rPr>
              <w:t>k</w:t>
            </w:r>
            <w:r w:rsidRPr="00A40FED">
              <w:rPr>
                <w:sz w:val="18"/>
                <w:szCs w:val="18"/>
              </w:rPr>
              <w:t>e županije (rang)</w:t>
            </w:r>
          </w:p>
        </w:tc>
        <w:tc>
          <w:tcPr>
            <w:tcW w:w="837" w:type="dxa"/>
          </w:tcPr>
          <w:p w14:paraId="47FD1A8B" w14:textId="4DAC929A" w:rsidR="00697912" w:rsidRPr="00A40FED" w:rsidRDefault="005A7313" w:rsidP="00697912">
            <w:pPr>
              <w:pStyle w:val="Txttable"/>
              <w:rPr>
                <w:sz w:val="18"/>
                <w:szCs w:val="18"/>
              </w:rPr>
            </w:pPr>
            <w:r w:rsidRPr="00A40FED">
              <w:rPr>
                <w:sz w:val="18"/>
                <w:szCs w:val="18"/>
              </w:rPr>
              <w:t>Rang</w:t>
            </w:r>
          </w:p>
        </w:tc>
        <w:tc>
          <w:tcPr>
            <w:tcW w:w="954" w:type="dxa"/>
          </w:tcPr>
          <w:p w14:paraId="53F00F8D" w14:textId="2249792F" w:rsidR="00697912" w:rsidRPr="00A40FED" w:rsidRDefault="005A7313" w:rsidP="00697912">
            <w:pPr>
              <w:pStyle w:val="Txttable"/>
              <w:rPr>
                <w:sz w:val="18"/>
                <w:szCs w:val="18"/>
              </w:rPr>
            </w:pPr>
            <w:r w:rsidRPr="00A40FED">
              <w:rPr>
                <w:sz w:val="18"/>
                <w:szCs w:val="18"/>
              </w:rPr>
              <w:t>13.</w:t>
            </w:r>
          </w:p>
        </w:tc>
        <w:tc>
          <w:tcPr>
            <w:tcW w:w="792" w:type="dxa"/>
          </w:tcPr>
          <w:p w14:paraId="3B9171E2" w14:textId="77BABE09" w:rsidR="00697912" w:rsidRPr="00A40FED" w:rsidRDefault="005A7313" w:rsidP="00697912">
            <w:pPr>
              <w:pStyle w:val="Txttable"/>
              <w:rPr>
                <w:sz w:val="18"/>
                <w:szCs w:val="18"/>
              </w:rPr>
            </w:pPr>
            <w:r w:rsidRPr="00A40FED">
              <w:rPr>
                <w:sz w:val="18"/>
                <w:szCs w:val="18"/>
              </w:rPr>
              <w:t>2013.</w:t>
            </w:r>
          </w:p>
        </w:tc>
        <w:tc>
          <w:tcPr>
            <w:tcW w:w="954" w:type="dxa"/>
          </w:tcPr>
          <w:p w14:paraId="55CAC6E3" w14:textId="521967CA" w:rsidR="00697912" w:rsidRPr="00A40FED" w:rsidRDefault="005A7313" w:rsidP="00697912">
            <w:pPr>
              <w:pStyle w:val="Txttable"/>
              <w:rPr>
                <w:sz w:val="18"/>
                <w:szCs w:val="18"/>
              </w:rPr>
            </w:pPr>
            <w:r w:rsidRPr="00A40FED">
              <w:rPr>
                <w:sz w:val="18"/>
                <w:szCs w:val="18"/>
              </w:rPr>
              <w:t>10.</w:t>
            </w:r>
          </w:p>
        </w:tc>
        <w:tc>
          <w:tcPr>
            <w:tcW w:w="792" w:type="dxa"/>
          </w:tcPr>
          <w:p w14:paraId="5F3CDFDC" w14:textId="33AF886D" w:rsidR="00697912" w:rsidRPr="00A40FED" w:rsidRDefault="005A7313" w:rsidP="00697912">
            <w:pPr>
              <w:pStyle w:val="Txttable"/>
              <w:rPr>
                <w:sz w:val="18"/>
                <w:szCs w:val="18"/>
              </w:rPr>
            </w:pPr>
            <w:r w:rsidRPr="00A40FED">
              <w:rPr>
                <w:sz w:val="18"/>
                <w:szCs w:val="18"/>
              </w:rPr>
              <w:t>2027.</w:t>
            </w:r>
          </w:p>
        </w:tc>
        <w:tc>
          <w:tcPr>
            <w:tcW w:w="1075" w:type="dxa"/>
          </w:tcPr>
          <w:p w14:paraId="3D64DC41" w14:textId="466AF1EC" w:rsidR="00697912" w:rsidRPr="00A40FED" w:rsidRDefault="005A7313" w:rsidP="00697912">
            <w:pPr>
              <w:pStyle w:val="Txttable"/>
              <w:rPr>
                <w:sz w:val="18"/>
                <w:szCs w:val="18"/>
              </w:rPr>
            </w:pPr>
            <w:r w:rsidRPr="00A40FED">
              <w:rPr>
                <w:sz w:val="18"/>
                <w:szCs w:val="18"/>
              </w:rPr>
              <w:t>Trogodišnje</w:t>
            </w:r>
          </w:p>
        </w:tc>
        <w:tc>
          <w:tcPr>
            <w:tcW w:w="1292" w:type="dxa"/>
          </w:tcPr>
          <w:p w14:paraId="61628194" w14:textId="0FCFC540" w:rsidR="00697912" w:rsidRPr="00A40FED" w:rsidRDefault="005A7313" w:rsidP="00697912">
            <w:pPr>
              <w:pStyle w:val="Txttable"/>
              <w:rPr>
                <w:sz w:val="18"/>
                <w:szCs w:val="18"/>
              </w:rPr>
            </w:pPr>
            <w:r w:rsidRPr="00A40FED">
              <w:rPr>
                <w:sz w:val="18"/>
                <w:szCs w:val="18"/>
              </w:rPr>
              <w:t>Nacionalno vijeće za konkurentnost</w:t>
            </w:r>
          </w:p>
        </w:tc>
      </w:tr>
      <w:tr w:rsidR="00B12EA9" w:rsidRPr="00A40FED" w14:paraId="0D06872D" w14:textId="77777777" w:rsidTr="00D26096">
        <w:tc>
          <w:tcPr>
            <w:tcW w:w="1333" w:type="dxa"/>
          </w:tcPr>
          <w:p w14:paraId="0AE84CF5" w14:textId="42F36065" w:rsidR="00B12EA9" w:rsidRPr="00A40FED" w:rsidRDefault="00B12EA9" w:rsidP="00697912">
            <w:pPr>
              <w:pStyle w:val="Txttable"/>
              <w:rPr>
                <w:sz w:val="18"/>
                <w:szCs w:val="18"/>
              </w:rPr>
            </w:pPr>
            <w:r w:rsidRPr="00A40FED">
              <w:rPr>
                <w:sz w:val="18"/>
                <w:szCs w:val="18"/>
              </w:rPr>
              <w:t>BDP per capita Karlovačke županije</w:t>
            </w:r>
          </w:p>
        </w:tc>
        <w:tc>
          <w:tcPr>
            <w:tcW w:w="1259" w:type="dxa"/>
          </w:tcPr>
          <w:p w14:paraId="0CDD06C8" w14:textId="22E8195F" w:rsidR="00B12EA9" w:rsidRPr="00A40FED" w:rsidRDefault="00B12EA9" w:rsidP="00B12EA9">
            <w:pPr>
              <w:pStyle w:val="Txttable"/>
              <w:rPr>
                <w:sz w:val="18"/>
                <w:szCs w:val="18"/>
              </w:rPr>
            </w:pPr>
            <w:r w:rsidRPr="00A40FED">
              <w:rPr>
                <w:sz w:val="18"/>
                <w:szCs w:val="18"/>
              </w:rPr>
              <w:t xml:space="preserve">Povećanje bruto dodane vrijednosti po glavi stanovnika, na razini županije </w:t>
            </w:r>
          </w:p>
        </w:tc>
        <w:tc>
          <w:tcPr>
            <w:tcW w:w="837" w:type="dxa"/>
          </w:tcPr>
          <w:p w14:paraId="1659EDD7" w14:textId="54811E38" w:rsidR="00B12EA9" w:rsidRPr="00A40FED" w:rsidRDefault="00B12EA9" w:rsidP="00697912">
            <w:pPr>
              <w:pStyle w:val="Txttable"/>
              <w:rPr>
                <w:sz w:val="18"/>
                <w:szCs w:val="18"/>
              </w:rPr>
            </w:pPr>
            <w:r w:rsidRPr="00A40FED">
              <w:rPr>
                <w:sz w:val="18"/>
                <w:szCs w:val="18"/>
              </w:rPr>
              <w:t>Broj, HRK</w:t>
            </w:r>
          </w:p>
        </w:tc>
        <w:tc>
          <w:tcPr>
            <w:tcW w:w="954" w:type="dxa"/>
          </w:tcPr>
          <w:p w14:paraId="13061A04" w14:textId="3D22097C" w:rsidR="00B12EA9" w:rsidRPr="00A40FED" w:rsidRDefault="00B12EA9" w:rsidP="00697912">
            <w:pPr>
              <w:pStyle w:val="Txttable"/>
              <w:rPr>
                <w:sz w:val="18"/>
                <w:szCs w:val="18"/>
              </w:rPr>
            </w:pPr>
            <w:r w:rsidRPr="00A40FED">
              <w:rPr>
                <w:sz w:val="18"/>
                <w:szCs w:val="18"/>
              </w:rPr>
              <w:t>60.932 HRK</w:t>
            </w:r>
          </w:p>
        </w:tc>
        <w:tc>
          <w:tcPr>
            <w:tcW w:w="792" w:type="dxa"/>
          </w:tcPr>
          <w:p w14:paraId="6C20B4D0" w14:textId="757D11F5" w:rsidR="00B12EA9" w:rsidRPr="00A40FED" w:rsidRDefault="00B12EA9" w:rsidP="00697912">
            <w:pPr>
              <w:pStyle w:val="Txttable"/>
              <w:rPr>
                <w:sz w:val="18"/>
                <w:szCs w:val="18"/>
              </w:rPr>
            </w:pPr>
            <w:r w:rsidRPr="00A40FED">
              <w:rPr>
                <w:sz w:val="18"/>
                <w:szCs w:val="18"/>
              </w:rPr>
              <w:t>2015.</w:t>
            </w:r>
          </w:p>
        </w:tc>
        <w:tc>
          <w:tcPr>
            <w:tcW w:w="954" w:type="dxa"/>
          </w:tcPr>
          <w:p w14:paraId="3DC57398" w14:textId="6BD3E8CF" w:rsidR="00B12EA9" w:rsidRPr="00A40FED" w:rsidRDefault="00B12EA9" w:rsidP="00697912">
            <w:pPr>
              <w:pStyle w:val="Txttable"/>
              <w:rPr>
                <w:sz w:val="18"/>
                <w:szCs w:val="18"/>
              </w:rPr>
            </w:pPr>
            <w:r w:rsidRPr="00A40FED">
              <w:rPr>
                <w:sz w:val="18"/>
                <w:szCs w:val="18"/>
              </w:rPr>
              <w:t>62.300</w:t>
            </w:r>
          </w:p>
        </w:tc>
        <w:tc>
          <w:tcPr>
            <w:tcW w:w="792" w:type="dxa"/>
          </w:tcPr>
          <w:p w14:paraId="5AF05493" w14:textId="3B9739D9" w:rsidR="00B12EA9" w:rsidRPr="00A40FED" w:rsidRDefault="00B12EA9" w:rsidP="00697912">
            <w:pPr>
              <w:pStyle w:val="Txttable"/>
              <w:rPr>
                <w:sz w:val="18"/>
                <w:szCs w:val="18"/>
              </w:rPr>
            </w:pPr>
            <w:r w:rsidRPr="00A40FED">
              <w:rPr>
                <w:sz w:val="18"/>
                <w:szCs w:val="18"/>
              </w:rPr>
              <w:t>2027.</w:t>
            </w:r>
          </w:p>
        </w:tc>
        <w:tc>
          <w:tcPr>
            <w:tcW w:w="1075" w:type="dxa"/>
          </w:tcPr>
          <w:p w14:paraId="50E97ABF" w14:textId="3392FBFF" w:rsidR="00B12EA9" w:rsidRPr="00A40FED" w:rsidRDefault="00B12EA9" w:rsidP="00697912">
            <w:pPr>
              <w:pStyle w:val="Txttable"/>
              <w:rPr>
                <w:sz w:val="18"/>
                <w:szCs w:val="18"/>
              </w:rPr>
            </w:pPr>
            <w:r w:rsidRPr="00A40FED">
              <w:rPr>
                <w:sz w:val="18"/>
                <w:szCs w:val="18"/>
              </w:rPr>
              <w:t>Trogodišnje</w:t>
            </w:r>
          </w:p>
        </w:tc>
        <w:tc>
          <w:tcPr>
            <w:tcW w:w="1292" w:type="dxa"/>
          </w:tcPr>
          <w:p w14:paraId="2816C815" w14:textId="5A26C8B5" w:rsidR="00B12EA9" w:rsidRPr="00A40FED" w:rsidRDefault="00B12EA9" w:rsidP="00697912">
            <w:pPr>
              <w:pStyle w:val="Txttable"/>
              <w:rPr>
                <w:sz w:val="18"/>
                <w:szCs w:val="18"/>
              </w:rPr>
            </w:pPr>
            <w:r w:rsidRPr="00A40FED">
              <w:rPr>
                <w:sz w:val="18"/>
                <w:szCs w:val="18"/>
              </w:rPr>
              <w:t>HGK</w:t>
            </w:r>
          </w:p>
        </w:tc>
      </w:tr>
    </w:tbl>
    <w:p w14:paraId="048B63F8" w14:textId="77777777" w:rsidR="00665629" w:rsidRDefault="00665629" w:rsidP="00D26096">
      <w:pPr>
        <w:sectPr w:rsidR="00665629" w:rsidSect="00D404BE">
          <w:headerReference w:type="even" r:id="rId37"/>
          <w:headerReference w:type="default" r:id="rId38"/>
          <w:footerReference w:type="even" r:id="rId39"/>
          <w:footerReference w:type="default" r:id="rId40"/>
          <w:headerReference w:type="first" r:id="rId41"/>
          <w:footerReference w:type="first" r:id="rId42"/>
          <w:pgSz w:w="11906" w:h="16838"/>
          <w:pgMar w:top="1191" w:right="1361" w:bottom="851" w:left="1417" w:header="567" w:footer="397" w:gutter="0"/>
          <w:cols w:space="708"/>
          <w:titlePg/>
          <w:docGrid w:linePitch="360"/>
        </w:sectPr>
      </w:pPr>
    </w:p>
    <w:p w14:paraId="071DE172" w14:textId="1565FC43" w:rsidR="00665629" w:rsidRDefault="00665629" w:rsidP="00D26096"/>
    <w:p w14:paraId="1A262154" w14:textId="75CCD55E" w:rsidR="002D0A9B" w:rsidRDefault="00665629" w:rsidP="00665629">
      <w:pPr>
        <w:pStyle w:val="Heading2"/>
      </w:pPr>
      <w:bookmarkStart w:id="99" w:name="_Toc437390601"/>
      <w:r>
        <w:t>Razvoj</w:t>
      </w:r>
      <w:r w:rsidR="006D16DB">
        <w:t>n</w:t>
      </w:r>
      <w:r>
        <w:t>i prioriteti i mjere</w:t>
      </w:r>
      <w:bookmarkEnd w:id="99"/>
    </w:p>
    <w:p w14:paraId="556555F5" w14:textId="74AD4B70" w:rsidR="0069409A" w:rsidRPr="0069409A" w:rsidRDefault="008E2FDA" w:rsidP="008E2FDA">
      <w:pPr>
        <w:pStyle w:val="Caption"/>
      </w:pPr>
      <w:bookmarkStart w:id="100" w:name="_Toc437387460"/>
      <w:r>
        <w:t xml:space="preserve">Slika </w:t>
      </w:r>
      <w:r>
        <w:fldChar w:fldCharType="begin"/>
      </w:r>
      <w:r>
        <w:instrText xml:space="preserve"> SEQ Slika \* ARABIC </w:instrText>
      </w:r>
      <w:r>
        <w:fldChar w:fldCharType="separate"/>
      </w:r>
      <w:r w:rsidR="001358A9">
        <w:rPr>
          <w:noProof/>
        </w:rPr>
        <w:t>4</w:t>
      </w:r>
      <w:r>
        <w:fldChar w:fldCharType="end"/>
      </w:r>
      <w:r>
        <w:t xml:space="preserve">. </w:t>
      </w:r>
      <w:r w:rsidR="0069409A">
        <w:t>Grafički prikaz strateških ciljeva, prioriteta i mjera</w:t>
      </w:r>
      <w:r>
        <w:t xml:space="preserve"> </w:t>
      </w:r>
      <w:r w:rsidR="00B55150">
        <w:t>SRVUPKA</w:t>
      </w:r>
      <w:bookmarkEnd w:id="100"/>
    </w:p>
    <w:p w14:paraId="2858189A" w14:textId="3F729CFB" w:rsidR="00697912" w:rsidRDefault="00665629" w:rsidP="00665629">
      <w:r>
        <w:rPr>
          <w:noProof/>
          <w:lang w:val="en-US"/>
        </w:rPr>
        <w:drawing>
          <wp:inline distT="0" distB="0" distL="0" distR="0" wp14:anchorId="025C45B7" wp14:editId="6DDDF55A">
            <wp:extent cx="9368790" cy="4783455"/>
            <wp:effectExtent l="0" t="0" r="0" b="0"/>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3A9E2AD0" w14:textId="77777777" w:rsidR="00665629" w:rsidRDefault="00665629" w:rsidP="00665629">
      <w:pPr>
        <w:sectPr w:rsidR="00665629" w:rsidSect="00665629">
          <w:pgSz w:w="16838" w:h="11906" w:orient="landscape"/>
          <w:pgMar w:top="1417" w:right="1417" w:bottom="1417" w:left="1134" w:header="708" w:footer="708" w:gutter="0"/>
          <w:cols w:space="708"/>
          <w:docGrid w:linePitch="360"/>
        </w:sectPr>
      </w:pPr>
    </w:p>
    <w:p w14:paraId="17A3A2C2" w14:textId="2F1F3A66" w:rsidR="00D218EE" w:rsidRPr="00F7324C" w:rsidRDefault="00D218EE" w:rsidP="00D218EE">
      <w:pPr>
        <w:rPr>
          <w:color w:val="660066"/>
        </w:rPr>
      </w:pPr>
      <w:r w:rsidRPr="00F7324C">
        <w:rPr>
          <w:color w:val="660066"/>
        </w:rPr>
        <w:lastRenderedPageBreak/>
        <w:t xml:space="preserve">Kroz prioritete prvog strateškog cilja, </w:t>
      </w:r>
      <w:r w:rsidR="00B55150">
        <w:rPr>
          <w:color w:val="660066"/>
        </w:rPr>
        <w:t>SRVUPKA</w:t>
      </w:r>
      <w:r w:rsidRPr="00F7324C">
        <w:rPr>
          <w:color w:val="660066"/>
        </w:rPr>
        <w:t xml:space="preserve"> teži unaprijediti fizičke, gospodarske i socijalne strukture centralnih naselja VUPKA kao poželjnih mjesta stanovanja i rada, odnosno ojačati njihove središnje funkcije kako bi ova prostorno-funkcionalna cjelina koju čine tri grada ojačala svoj gravitacijski utjecaj i postala nositelj razvoja šire regije.</w:t>
      </w:r>
      <w:r w:rsidR="002E32D1" w:rsidRPr="00F7324C">
        <w:rPr>
          <w:color w:val="660066"/>
        </w:rPr>
        <w:t xml:space="preserve"> Ostvarenje cilja zamišljeno je kroz dva prioriteta.</w:t>
      </w:r>
    </w:p>
    <w:tbl>
      <w:tblPr>
        <w:tblStyle w:val="TableGrid"/>
        <w:tblW w:w="9180" w:type="dxa"/>
        <w:tblLook w:val="04A0" w:firstRow="1" w:lastRow="0" w:firstColumn="1" w:lastColumn="0" w:noHBand="0" w:noVBand="1"/>
      </w:tblPr>
      <w:tblGrid>
        <w:gridCol w:w="9180"/>
      </w:tblGrid>
      <w:tr w:rsidR="000A2A56" w:rsidRPr="0016658B" w14:paraId="3809B632" w14:textId="77777777" w:rsidTr="000A2A56">
        <w:tc>
          <w:tcPr>
            <w:tcW w:w="9180" w:type="dxa"/>
            <w:shd w:val="clear" w:color="auto" w:fill="E5DFEC" w:themeFill="accent4" w:themeFillTint="33"/>
          </w:tcPr>
          <w:p w14:paraId="695D36BC" w14:textId="77777777" w:rsidR="000A2A56" w:rsidRPr="0016658B" w:rsidRDefault="000A2A56" w:rsidP="000A2A56">
            <w:pPr>
              <w:pStyle w:val="tabletxt"/>
              <w:rPr>
                <w:sz w:val="22"/>
                <w:szCs w:val="22"/>
              </w:rPr>
            </w:pPr>
            <w:r w:rsidRPr="0016658B">
              <w:rPr>
                <w:b/>
                <w:color w:val="5F497A" w:themeColor="accent4" w:themeShade="BF"/>
                <w:sz w:val="22"/>
                <w:szCs w:val="22"/>
              </w:rPr>
              <w:t>SC1. P1 Obnova urbanih gradskih jezgri</w:t>
            </w:r>
          </w:p>
        </w:tc>
      </w:tr>
    </w:tbl>
    <w:p w14:paraId="12B68F6F" w14:textId="5C69910C" w:rsidR="003A39D5" w:rsidRDefault="00516236" w:rsidP="00D218EE">
      <w:r w:rsidRPr="00516236">
        <w:rPr>
          <w:b/>
          <w:color w:val="660066"/>
        </w:rPr>
        <w:t>SC1. P1 Obnova urban</w:t>
      </w:r>
      <w:r w:rsidR="005A2707">
        <w:rPr>
          <w:b/>
          <w:color w:val="660066"/>
        </w:rPr>
        <w:t>ih</w:t>
      </w:r>
      <w:r w:rsidRPr="00516236">
        <w:rPr>
          <w:b/>
          <w:color w:val="660066"/>
        </w:rPr>
        <w:t xml:space="preserve"> gradskih jezgr</w:t>
      </w:r>
      <w:r w:rsidRPr="00516236">
        <w:rPr>
          <w:color w:val="660066"/>
        </w:rPr>
        <w:t>i</w:t>
      </w:r>
      <w:r>
        <w:t xml:space="preserve"> - ima </w:t>
      </w:r>
      <w:r w:rsidR="003F1F45">
        <w:t>jasan</w:t>
      </w:r>
      <w:r>
        <w:t xml:space="preserve"> </w:t>
      </w:r>
      <w:r w:rsidRPr="000A2A56">
        <w:rPr>
          <w:b/>
        </w:rPr>
        <w:t>prostorni fokus</w:t>
      </w:r>
      <w:r>
        <w:t xml:space="preserve">; radi se </w:t>
      </w:r>
      <w:r w:rsidR="003F1F45">
        <w:t>pretežito</w:t>
      </w:r>
      <w:r>
        <w:t xml:space="preserve"> o investicijama </w:t>
      </w:r>
      <w:r w:rsidR="00D028F6">
        <w:t xml:space="preserve">u </w:t>
      </w:r>
      <w:r w:rsidR="00C97A23">
        <w:t xml:space="preserve">javne prostore </w:t>
      </w:r>
      <w:r w:rsidR="00D028F6">
        <w:t>zaštićenih urbanih jezgri i njihove kontaktne zone –</w:t>
      </w:r>
      <w:r w:rsidR="003F1F45">
        <w:t xml:space="preserve"> </w:t>
      </w:r>
      <w:r w:rsidR="00DB4EC1">
        <w:t>urbano povijesna cijelina Karlovac i ulica Rakovac</w:t>
      </w:r>
      <w:r w:rsidR="00192EA4">
        <w:t>, zaštićena urbana c</w:t>
      </w:r>
      <w:r w:rsidR="00D028F6">
        <w:t>jelina Duge Rese te centar grada Ozlja koji nije zaštićen kao cjelin</w:t>
      </w:r>
      <w:r w:rsidR="003A39D5">
        <w:t>a u naciona</w:t>
      </w:r>
      <w:r w:rsidR="00B34B02">
        <w:t xml:space="preserve">lnom registru, ali morfološki, </w:t>
      </w:r>
      <w:r w:rsidR="003A39D5">
        <w:t xml:space="preserve">estetski </w:t>
      </w:r>
      <w:r w:rsidR="00B34B02">
        <w:t xml:space="preserve">i funkcionalno </w:t>
      </w:r>
      <w:r w:rsidR="003A39D5">
        <w:t xml:space="preserve">predstavlja urbani identitet grada. </w:t>
      </w:r>
    </w:p>
    <w:p w14:paraId="5AC9FC94" w14:textId="4A64F86A" w:rsidR="00ED72AB" w:rsidRDefault="003A39D5" w:rsidP="00D218EE">
      <w:r>
        <w:t>Cilj ovog prioriteta je podizanje kvalitete</w:t>
      </w:r>
      <w:r w:rsidR="00516236">
        <w:t xml:space="preserve"> urbanog života</w:t>
      </w:r>
      <w:r>
        <w:t>, atraktivnosti gradskog ambijenta</w:t>
      </w:r>
      <w:r w:rsidRPr="003A39D5">
        <w:t xml:space="preserve"> </w:t>
      </w:r>
      <w:r w:rsidR="003F1F45">
        <w:t xml:space="preserve">te </w:t>
      </w:r>
      <w:r>
        <w:t>kulturnog</w:t>
      </w:r>
      <w:r w:rsidR="00552C96">
        <w:t xml:space="preserve"> i urbanističkog</w:t>
      </w:r>
      <w:r>
        <w:t xml:space="preserve"> identiteta </w:t>
      </w:r>
      <w:r w:rsidR="00552C96">
        <w:t xml:space="preserve">gradova </w:t>
      </w:r>
      <w:r>
        <w:t>u korist građana i posjetitelja VUPKA. Ekonomski efekti se pojavljuju u obliku povećanja</w:t>
      </w:r>
      <w:r w:rsidR="00D028F6">
        <w:t xml:space="preserve"> vrijednosti nekretnina</w:t>
      </w:r>
      <w:r>
        <w:t xml:space="preserve"> (a time i stimuliranja privatnih investicija) te privlačenja </w:t>
      </w:r>
      <w:r w:rsidR="00ED72AB">
        <w:t xml:space="preserve">posjetitelja/turista. </w:t>
      </w:r>
    </w:p>
    <w:p w14:paraId="51511E5B" w14:textId="77777777" w:rsidR="00503229" w:rsidRDefault="00ED72AB" w:rsidP="00D218EE">
      <w:r>
        <w:t>Ovaj prioritet provodi se kroz jednu mjeru</w:t>
      </w:r>
      <w:r w:rsidR="005A2707">
        <w:t xml:space="preserve"> i jedan veliki projekt. </w:t>
      </w:r>
    </w:p>
    <w:p w14:paraId="679F6538" w14:textId="1E9AD4E0" w:rsidR="000A2A56" w:rsidRDefault="005A2707" w:rsidP="00D218EE">
      <w:r>
        <w:t>Mjera</w:t>
      </w:r>
      <w:r w:rsidR="00A32D44">
        <w:t xml:space="preserve"> </w:t>
      </w:r>
      <w:r w:rsidR="00A32D44" w:rsidRPr="000A2A56">
        <w:rPr>
          <w:b/>
          <w:color w:val="660066"/>
        </w:rPr>
        <w:t>SC1.P1.1 Uređenje javnih prostora i komunalna infrastruktura</w:t>
      </w:r>
      <w:r w:rsidR="00A32D44" w:rsidRPr="007D007B">
        <w:rPr>
          <w:color w:val="660066"/>
        </w:rPr>
        <w:t xml:space="preserve"> </w:t>
      </w:r>
      <w:r w:rsidR="00ED72AB">
        <w:t xml:space="preserve">obuhvaća tipološki slične projekte čiji su nositelji isključivo JLS-ovi, s obzirom </w:t>
      </w:r>
      <w:r w:rsidR="003F1F45">
        <w:t xml:space="preserve">na to </w:t>
      </w:r>
      <w:r w:rsidR="00ED72AB">
        <w:t xml:space="preserve">da se radi o ulaganjima u opća javna dobra koja u pravilu neće ostvarivati dobit te su kao takva primjerena za sufinanciranje iz EU fondova.  </w:t>
      </w:r>
      <w:r w:rsidR="007D007B">
        <w:t>Radi se o ulaganjima kao što su npr. uređenje urbanog zelenila, parkova, šetnica, javnih i reprezentativnih pješačkih površina, urbane skulpture</w:t>
      </w:r>
      <w:r w:rsidR="00997158">
        <w:t xml:space="preserve"> i oprema</w:t>
      </w:r>
      <w:r w:rsidR="007D007B">
        <w:t>, turistička signalizacija</w:t>
      </w:r>
      <w:r w:rsidR="00997158">
        <w:t>, označavanje objekata od značaja i sl., uključu</w:t>
      </w:r>
      <w:r w:rsidR="000A2A56">
        <w:t>jući po potrebi</w:t>
      </w:r>
      <w:r w:rsidR="00ED72AB">
        <w:t xml:space="preserve"> </w:t>
      </w:r>
      <w:r w:rsidR="00997158">
        <w:t>sve pripremne i prateće aktivnosti (kao npr. izrada urbanističko-arhitektonskih/dizajnerskih rješenja, brendiranje, promocija i marketing itd.)</w:t>
      </w:r>
      <w:r>
        <w:t xml:space="preserve">. </w:t>
      </w:r>
    </w:p>
    <w:p w14:paraId="7E494926" w14:textId="1F18CA2C" w:rsidR="000A2A56" w:rsidRPr="00D2205E" w:rsidRDefault="00601188" w:rsidP="00D218EE">
      <w:r>
        <w:t xml:space="preserve">Veliki, strateški projekt koji </w:t>
      </w:r>
      <w:r w:rsidR="003F1F45">
        <w:t xml:space="preserve">je </w:t>
      </w:r>
      <w:r>
        <w:t xml:space="preserve">dio SC1. P1 jest </w:t>
      </w:r>
      <w:r w:rsidRPr="00D2205E">
        <w:rPr>
          <w:b/>
          <w:color w:val="660066"/>
        </w:rPr>
        <w:t>brow</w:t>
      </w:r>
      <w:r w:rsidR="00192EA4">
        <w:rPr>
          <w:b/>
          <w:color w:val="660066"/>
        </w:rPr>
        <w:t>n</w:t>
      </w:r>
      <w:r w:rsidRPr="00D2205E">
        <w:rPr>
          <w:b/>
          <w:color w:val="660066"/>
        </w:rPr>
        <w:t>field lokacija bivše vojarne Luščić</w:t>
      </w:r>
      <w:r w:rsidR="00D2205E">
        <w:rPr>
          <w:color w:val="660066"/>
        </w:rPr>
        <w:t xml:space="preserve"> </w:t>
      </w:r>
      <w:r w:rsidR="00D2205E" w:rsidRPr="00D2205E">
        <w:t xml:space="preserve">vlasništvo nad kojom je u vrijeme pisanja ovog dokumenta </w:t>
      </w:r>
      <w:r w:rsidR="00D2205E">
        <w:t xml:space="preserve">prebačeno na lokalnu samoupravu, odnosno Grad Karlovac. Iako se radi o lokaciji koja </w:t>
      </w:r>
      <w:r w:rsidR="001037B2">
        <w:t>nije</w:t>
      </w:r>
      <w:r w:rsidR="00D2205E">
        <w:t xml:space="preserve"> dio užeg centra grada, u urbanističko planskom smislu </w:t>
      </w:r>
      <w:r w:rsidR="001037B2">
        <w:t>je izuzetno vrijedan gradski resurs</w:t>
      </w:r>
      <w:r w:rsidR="0006205F">
        <w:t xml:space="preserve"> čije uređenje tek treba definirati</w:t>
      </w:r>
      <w:r w:rsidR="00D2205E">
        <w:t xml:space="preserve"> </w:t>
      </w:r>
      <w:r w:rsidR="0006205F">
        <w:t>kroz prostorne analize</w:t>
      </w:r>
      <w:r w:rsidR="00D2205E" w:rsidRPr="00D2205E">
        <w:t xml:space="preserve"> </w:t>
      </w:r>
      <w:r w:rsidR="0006205F">
        <w:t xml:space="preserve">i detaljni urbanistički plan. </w:t>
      </w:r>
      <w:r w:rsidR="00662EFC">
        <w:t>Lokacija je GUP-om Grada Karlovca predviđena</w:t>
      </w:r>
      <w:r w:rsidR="007E2D89">
        <w:t xml:space="preserve"> za mješovitu, pretežno stambeno</w:t>
      </w:r>
      <w:r w:rsidR="00662EFC">
        <w:t xml:space="preserve">-javnu namjenu, veličine cca 17 ha i nalazi </w:t>
      </w:r>
      <w:r w:rsidR="007E2D89">
        <w:t xml:space="preserve">se </w:t>
      </w:r>
      <w:r w:rsidR="00662EFC">
        <w:t>na rubu kontaktne zone šireg centra grada</w:t>
      </w:r>
      <w:r w:rsidR="004C1C71">
        <w:t>, a trenutno je u tijeku provedba urbanističko arhitektonskog natječaja</w:t>
      </w:r>
      <w:r w:rsidR="00662EFC">
        <w:t>.</w:t>
      </w:r>
      <w:r w:rsidR="001037B2">
        <w:t xml:space="preserve"> Treba naglasiti da se kroz ovaj dugoročan projekt otvara mogućnost razvoja standarda </w:t>
      </w:r>
      <w:r w:rsidR="001037B2" w:rsidRPr="001037B2">
        <w:rPr>
          <w:b/>
        </w:rPr>
        <w:t>stanovanja</w:t>
      </w:r>
      <w:r w:rsidR="001037B2">
        <w:t>, što je jedna od najvažnijih središnjih funkcija urbanog područja i tema koja je od presudne važnosti za demografski opstanak područja.</w:t>
      </w:r>
    </w:p>
    <w:p w14:paraId="04232F45" w14:textId="27F44D63" w:rsidR="00516236" w:rsidRDefault="005A2707" w:rsidP="00D218EE">
      <w:r w:rsidRPr="0075496A">
        <w:rPr>
          <w:i/>
        </w:rPr>
        <w:t xml:space="preserve">Primjeri projekata </w:t>
      </w:r>
      <w:r w:rsidR="00601188" w:rsidRPr="0075496A">
        <w:rPr>
          <w:i/>
        </w:rPr>
        <w:t>SC1. P1</w:t>
      </w:r>
      <w:r w:rsidR="00601188">
        <w:t xml:space="preserve"> </w:t>
      </w:r>
      <w:r>
        <w:t xml:space="preserve">iz inicijalne baze </w:t>
      </w:r>
      <w:r w:rsidR="00B55150">
        <w:t>SRVUPKA</w:t>
      </w:r>
      <w:r>
        <w:t xml:space="preserve"> koji su spremni za provedbu odnosno mogu biti spremni </w:t>
      </w:r>
      <w:r w:rsidR="007E2D89">
        <w:t>za provedbu do sredine naredne</w:t>
      </w:r>
      <w:r>
        <w:t xml:space="preserve"> 2020. godine (kategorije I i II):</w:t>
      </w:r>
    </w:p>
    <w:p w14:paraId="323EBF8D" w14:textId="77777777" w:rsidR="000A2A56" w:rsidRPr="008E2FDA" w:rsidRDefault="000A2A56" w:rsidP="00F950C3">
      <w:pPr>
        <w:pStyle w:val="tabletxt"/>
        <w:numPr>
          <w:ilvl w:val="0"/>
          <w:numId w:val="9"/>
        </w:numPr>
        <w:ind w:left="357" w:hanging="357"/>
        <w:rPr>
          <w:sz w:val="20"/>
        </w:rPr>
      </w:pPr>
      <w:r w:rsidRPr="008E2FDA">
        <w:rPr>
          <w:sz w:val="20"/>
        </w:rPr>
        <w:t xml:space="preserve">Obnova komunalne infrastrukture u povijesnoj urbanističkoj cjelini Zvijezdi </w:t>
      </w:r>
    </w:p>
    <w:p w14:paraId="2C474CFB" w14:textId="77777777" w:rsidR="000A2A56" w:rsidRPr="008E2FDA" w:rsidRDefault="000A2A56" w:rsidP="00F950C3">
      <w:pPr>
        <w:pStyle w:val="tabletxt"/>
        <w:numPr>
          <w:ilvl w:val="0"/>
          <w:numId w:val="9"/>
        </w:numPr>
        <w:ind w:left="357" w:hanging="357"/>
        <w:rPr>
          <w:sz w:val="20"/>
        </w:rPr>
      </w:pPr>
      <w:r w:rsidRPr="008E2FDA">
        <w:rPr>
          <w:sz w:val="20"/>
        </w:rPr>
        <w:t>Uređenje Trga Bana Josipa Jelačića u Zvijezdi</w:t>
      </w:r>
    </w:p>
    <w:p w14:paraId="4C4723AE" w14:textId="6030B9A1" w:rsidR="00601188" w:rsidRPr="008E2FDA" w:rsidRDefault="00601188" w:rsidP="00F950C3">
      <w:pPr>
        <w:pStyle w:val="tabletxt"/>
        <w:numPr>
          <w:ilvl w:val="0"/>
          <w:numId w:val="9"/>
        </w:numPr>
        <w:ind w:left="357" w:hanging="357"/>
        <w:rPr>
          <w:sz w:val="20"/>
        </w:rPr>
      </w:pPr>
      <w:r w:rsidRPr="008E2FDA">
        <w:rPr>
          <w:sz w:val="20"/>
        </w:rPr>
        <w:t>Šetnice u centru Ozlja i Duge Rese</w:t>
      </w:r>
    </w:p>
    <w:p w14:paraId="484E3326" w14:textId="57A14228" w:rsidR="00601188" w:rsidRPr="008E2FDA" w:rsidRDefault="00601188" w:rsidP="00F950C3">
      <w:pPr>
        <w:pStyle w:val="tabletxt"/>
        <w:numPr>
          <w:ilvl w:val="0"/>
          <w:numId w:val="9"/>
        </w:numPr>
        <w:ind w:left="357" w:hanging="357"/>
        <w:rPr>
          <w:sz w:val="20"/>
        </w:rPr>
      </w:pPr>
      <w:r w:rsidRPr="008E2FDA">
        <w:rPr>
          <w:sz w:val="20"/>
        </w:rPr>
        <w:t>Obnova parka kod stare Hidrocentrale (Ozalj) i parka dr. F. Tuđmana (Duga Resa)</w:t>
      </w:r>
    </w:p>
    <w:p w14:paraId="45F922B6" w14:textId="3E4F933A" w:rsidR="000A2A56" w:rsidRDefault="0075496A" w:rsidP="00D218EE">
      <w:r w:rsidRPr="0075496A">
        <w:rPr>
          <w:i/>
        </w:rPr>
        <w:t>Pokazatelji ishoda SC1.P1</w:t>
      </w:r>
      <w:r>
        <w:t>:</w:t>
      </w:r>
    </w:p>
    <w:p w14:paraId="0DCFE64D" w14:textId="1F30763D" w:rsidR="0075496A" w:rsidRDefault="00EE3365" w:rsidP="00F950C3">
      <w:pPr>
        <w:pStyle w:val="ListParagraph"/>
        <w:numPr>
          <w:ilvl w:val="0"/>
          <w:numId w:val="12"/>
        </w:numPr>
      </w:pPr>
      <w:r>
        <w:t>Povećanje vrijednosti</w:t>
      </w:r>
      <w:r w:rsidR="003A4616">
        <w:t xml:space="preserve"> nekretnina u gradskim jezgrama</w:t>
      </w:r>
      <w:r w:rsidR="003A4616">
        <w:rPr>
          <w:rStyle w:val="FootnoteReference"/>
        </w:rPr>
        <w:footnoteReference w:id="30"/>
      </w:r>
      <w:r w:rsidR="00CE4C46">
        <w:t xml:space="preserve"> </w:t>
      </w:r>
    </w:p>
    <w:p w14:paraId="17B0E68C" w14:textId="1424E853" w:rsidR="0075496A" w:rsidRDefault="0075496A" w:rsidP="00F950C3">
      <w:pPr>
        <w:pStyle w:val="ListParagraph"/>
        <w:numPr>
          <w:ilvl w:val="0"/>
          <w:numId w:val="12"/>
        </w:numPr>
      </w:pPr>
      <w:r>
        <w:t>Površine obnovljenih prostora</w:t>
      </w:r>
      <w:r w:rsidR="00CE4C46">
        <w:t xml:space="preserve"> u gradskim jezgrama</w:t>
      </w:r>
    </w:p>
    <w:p w14:paraId="403BEE9D" w14:textId="6627B607" w:rsidR="00552C96" w:rsidRDefault="00552C96" w:rsidP="00F950C3">
      <w:pPr>
        <w:pStyle w:val="ListParagraph"/>
        <w:numPr>
          <w:ilvl w:val="0"/>
          <w:numId w:val="12"/>
        </w:numPr>
      </w:pPr>
      <w:r>
        <w:lastRenderedPageBreak/>
        <w:t>Površina obnovljenih brownfield lokacija</w:t>
      </w:r>
    </w:p>
    <w:p w14:paraId="105F97CF" w14:textId="77777777" w:rsidR="0075496A" w:rsidRDefault="0075496A" w:rsidP="00D218EE"/>
    <w:tbl>
      <w:tblPr>
        <w:tblStyle w:val="TableGrid"/>
        <w:tblW w:w="9180" w:type="dxa"/>
        <w:tblLook w:val="04A0" w:firstRow="1" w:lastRow="0" w:firstColumn="1" w:lastColumn="0" w:noHBand="0" w:noVBand="1"/>
      </w:tblPr>
      <w:tblGrid>
        <w:gridCol w:w="9180"/>
      </w:tblGrid>
      <w:tr w:rsidR="00662EFC" w:rsidRPr="0016658B" w14:paraId="56B4A442" w14:textId="77777777" w:rsidTr="00662EFC">
        <w:tc>
          <w:tcPr>
            <w:tcW w:w="9180" w:type="dxa"/>
            <w:shd w:val="clear" w:color="auto" w:fill="E5DFEC" w:themeFill="accent4" w:themeFillTint="33"/>
          </w:tcPr>
          <w:p w14:paraId="3848AA28" w14:textId="1E590735" w:rsidR="00662EFC" w:rsidRPr="0016658B" w:rsidRDefault="00662EFC" w:rsidP="00662EFC">
            <w:pPr>
              <w:pStyle w:val="tabletxt"/>
              <w:rPr>
                <w:sz w:val="22"/>
                <w:szCs w:val="22"/>
              </w:rPr>
            </w:pPr>
            <w:r w:rsidRPr="0016658B">
              <w:rPr>
                <w:b/>
                <w:color w:val="5F497A" w:themeColor="accent4" w:themeShade="BF"/>
                <w:sz w:val="22"/>
                <w:szCs w:val="22"/>
              </w:rPr>
              <w:t>SC1. P2 Razvoj sadržaja za revitalizaciju gospodarskog i društvenog života</w:t>
            </w:r>
          </w:p>
        </w:tc>
      </w:tr>
    </w:tbl>
    <w:p w14:paraId="6303D125" w14:textId="6249886F" w:rsidR="00662EFC" w:rsidRDefault="0075496A" w:rsidP="00D218EE">
      <w:r>
        <w:t xml:space="preserve">Ovaj prioritet postavljen je sektorski široko, </w:t>
      </w:r>
      <w:r w:rsidR="00815F54">
        <w:t xml:space="preserve">s obzirom </w:t>
      </w:r>
      <w:r w:rsidR="007E2D89">
        <w:t xml:space="preserve">na </w:t>
      </w:r>
      <w:r w:rsidR="00815F54">
        <w:t>široki dijapazon intervencija koje su potrebne za razvoj središnjih funkcija gradova, što je glavni cilj prioriteta.  Za razliku od prethodnog, u ovom prioritetu izgledna je, štoviše i neophodna, koordinacija i sudjelovanje različitih dionika</w:t>
      </w:r>
      <w:r w:rsidR="0005780D">
        <w:t xml:space="preserve"> iz privatnog, javnog i civilnog sektora</w:t>
      </w:r>
      <w:r w:rsidR="003A4616">
        <w:t>, mahom</w:t>
      </w:r>
      <w:r w:rsidR="00815F54">
        <w:t xml:space="preserve"> </w:t>
      </w:r>
      <w:r w:rsidR="003A4616">
        <w:t xml:space="preserve">s područja društvenih djelatnosti. </w:t>
      </w:r>
      <w:r w:rsidR="006E54EA">
        <w:t>Cilj prioriteta jest kreirati sadržaje koji će pozitivno utjecati na ostanak postojećih i privlačenje novih stanovnika, odnosno generalni prosperitet područja.</w:t>
      </w:r>
    </w:p>
    <w:p w14:paraId="0007237D" w14:textId="4D4E0E52" w:rsidR="00503229" w:rsidRDefault="00503229" w:rsidP="00665629">
      <w:r>
        <w:t>Ovaj prioritet provodi se kroz tri srodne, odnosno komplementarne mjere</w:t>
      </w:r>
      <w:r w:rsidR="00720F62">
        <w:t>, pri čemu prva ima značajniju infrastrukturnu komponentu (ulaganja u materijalnu imovinu), dok su druge dvije osmišljene kao 'soft' mjere usmjerene na određeni tip korisnika</w:t>
      </w:r>
      <w:r>
        <w:t xml:space="preserve">. </w:t>
      </w:r>
    </w:p>
    <w:p w14:paraId="7D60C10E" w14:textId="22B69179" w:rsidR="00503229" w:rsidRDefault="009E3862" w:rsidP="00665629">
      <w:r w:rsidRPr="00503229">
        <w:rPr>
          <w:b/>
          <w:color w:val="660066"/>
        </w:rPr>
        <w:t>Mjera</w:t>
      </w:r>
      <w:r w:rsidR="000A6768">
        <w:rPr>
          <w:b/>
          <w:color w:val="660066"/>
        </w:rPr>
        <w:t xml:space="preserve"> SC1 P</w:t>
      </w:r>
      <w:r w:rsidR="003A4616" w:rsidRPr="00503229">
        <w:rPr>
          <w:b/>
          <w:color w:val="660066"/>
        </w:rPr>
        <w:t>2.1 Kulturna baština kao resurs za razvoj turizma i društvenog života</w:t>
      </w:r>
      <w:r w:rsidR="003A4616">
        <w:t xml:space="preserve"> </w:t>
      </w:r>
      <w:r>
        <w:t xml:space="preserve">je idejno srodna prethodnom prioritetu, utoliko što </w:t>
      </w:r>
      <w:r w:rsidR="00D218EE">
        <w:t xml:space="preserve">naglasak stavlja na </w:t>
      </w:r>
      <w:r w:rsidR="00D218EE" w:rsidRPr="00503229">
        <w:t>(re)aktiviranje postojećih resurs</w:t>
      </w:r>
      <w:r w:rsidRPr="00503229">
        <w:t>a u prostoru</w:t>
      </w:r>
      <w:r w:rsidR="00503229">
        <w:t xml:space="preserve">, odnosno </w:t>
      </w:r>
      <w:r w:rsidR="00503229" w:rsidRPr="00503229">
        <w:t>teži oplemeniti</w:t>
      </w:r>
      <w:r w:rsidR="00503229">
        <w:t xml:space="preserve"> kulturnu baštinu </w:t>
      </w:r>
      <w:r w:rsidR="00FA6519">
        <w:t>(zaštićene kulturne objekte)</w:t>
      </w:r>
      <w:r w:rsidR="00503229">
        <w:t xml:space="preserve"> novim, za društveni i gospodarski razvoj vrijednim sadržajima. </w:t>
      </w:r>
      <w:r w:rsidR="007E2D89">
        <w:t>Pritom</w:t>
      </w:r>
      <w:r w:rsidR="00FA6519">
        <w:t>, kada govorimo o novim sadržajima usmjerenima na gospodarski razvoj, oni će se dominantno ticati poveznica kulturne baštine sa sektorom turizma, dok društveni sadržaji mogu podrazumijevati širu lepezu primjerenih funkcija, kao npr. k</w:t>
      </w:r>
      <w:r w:rsidR="000A6768">
        <w:t>ultura i umjetnost, sportske aktivnosti, društveni život zajednice, sadržaji za mlade i sl.</w:t>
      </w:r>
      <w:r w:rsidR="004300EF">
        <w:t xml:space="preserve"> Nadalje, iako ova mjera dominantno naglasak stavlja na kulturnu baštinu (zaštićene kulturne objekte), ona obuhvaća i projekte koji se tiču i onoga što nije kulturna baština u užem smislu, ali jest važan dio kulturnog identiteta područja – to su rijeke Kupa, Mrežnica, Korana i Dobra koje predstavljaju važan prirodni resurs za razvoj turizma i pratećih djelatnosti na području VUPKA.</w:t>
      </w:r>
    </w:p>
    <w:p w14:paraId="7995D31A" w14:textId="50F79C22" w:rsidR="001D6BD7" w:rsidRDefault="000A6768" w:rsidP="00665629">
      <w:r w:rsidRPr="001D6BD7">
        <w:rPr>
          <w:b/>
          <w:color w:val="660066"/>
        </w:rPr>
        <w:t>Mjera SC1 P2.2 Programi društvenog razvoja</w:t>
      </w:r>
      <w:r w:rsidR="001D6BD7">
        <w:t xml:space="preserve"> obuhvaća “soft” mjere kao što su potpore, subvencije, olakšice i financiranje aktivnosti u kulturi, sportu, organizacijama mladih, predškolskom i osnovnoškolskom odgoju i obrazovanju</w:t>
      </w:r>
      <w:r w:rsidR="00BA6403">
        <w:t xml:space="preserve"> te mala ulaganja u infrastrukturu</w:t>
      </w:r>
      <w:r w:rsidR="001D6BD7">
        <w:t>. Ovakvi programi mogu se provoditi horizontalno</w:t>
      </w:r>
      <w:r w:rsidR="00157C64">
        <w:t>, odnosno sektorski</w:t>
      </w:r>
      <w:r w:rsidR="001D6BD7">
        <w:t xml:space="preserve"> (kao projekti ili sheme usmjerene na jednu ili više skupina ciljanih korisnika, npr. mladi)</w:t>
      </w:r>
      <w:r w:rsidR="00157C64">
        <w:t>, kao individualni projekti dizajnirani u odnosu na neku veću materijalnu investiciju (npr. financiranje aktivnosti korisnika novoobnovljenog kulturnog objekta)  ili kao skupovi srodnih projekata (npr. uređenje dječjih igrališta po mjesnim odborima</w:t>
      </w:r>
      <w:r w:rsidR="00BA6403">
        <w:t>, proširenje dječjih vrtića, uređenje sportskih igrališta i sl.</w:t>
      </w:r>
      <w:r w:rsidR="00157C64">
        <w:t>).</w:t>
      </w:r>
      <w:r w:rsidR="00BA6403">
        <w:t xml:space="preserve"> U kontekstu ESI fondova, ovakav pristup zaht</w:t>
      </w:r>
      <w:r w:rsidR="007E2D89">
        <w:t>i</w:t>
      </w:r>
      <w:r w:rsidR="00BA6403">
        <w:t>jeva koordinirano ERDF-ESF financiranje.</w:t>
      </w:r>
    </w:p>
    <w:p w14:paraId="5945DC2E" w14:textId="4E6081FF" w:rsidR="00157C64" w:rsidRDefault="00157C64" w:rsidP="00665629">
      <w:r w:rsidRPr="000E5EAC">
        <w:rPr>
          <w:b/>
          <w:color w:val="660066"/>
        </w:rPr>
        <w:t>Mjera SC1 P2.3 Programi društvene kohezije</w:t>
      </w:r>
      <w:r>
        <w:t xml:space="preserve"> je tipološki </w:t>
      </w:r>
      <w:r w:rsidR="000E5EAC">
        <w:t>slična</w:t>
      </w:r>
      <w:r>
        <w:t xml:space="preserve"> prethodnoj, s time što je naglasak na aktivnostima socijalne kohezije i društvene solidarnosti</w:t>
      </w:r>
      <w:r w:rsidR="000E5EAC">
        <w:t>, zdravlja i sigurnosti</w:t>
      </w:r>
      <w:r w:rsidR="007E2D89">
        <w:t>. Tipične cilj</w:t>
      </w:r>
      <w:r>
        <w:t xml:space="preserve">ne skupine ove </w:t>
      </w:r>
      <w:r w:rsidR="007E2D89">
        <w:t>M</w:t>
      </w:r>
      <w:r>
        <w:t xml:space="preserve">jere su starije osobe i marginalizirane skupine </w:t>
      </w:r>
      <w:r w:rsidR="000E5EAC">
        <w:t>i osobe u riziku od isključenosti (osobe s invaliditetom, nacionalne manjine, imigranti, siromašni, itd.)</w:t>
      </w:r>
      <w:r w:rsidR="007E2D89">
        <w:t>. Ova se Mjera,</w:t>
      </w:r>
      <w:r w:rsidR="006731DA">
        <w:t xml:space="preserve"> kao i Mjera SC1 P2.2, </w:t>
      </w:r>
      <w:r w:rsidR="007E2D89">
        <w:t>može provoditi sektorski</w:t>
      </w:r>
      <w:r w:rsidR="006731DA">
        <w:t xml:space="preserve"> kao individualan projekt ili kao skup srodnih projekata</w:t>
      </w:r>
      <w:r w:rsidR="00BA6403">
        <w:t xml:space="preserve"> te također može sadržavati infrastrukturnu komponentu (”ERDF financiranje”)</w:t>
      </w:r>
      <w:r w:rsidR="006731DA">
        <w:t>.</w:t>
      </w:r>
    </w:p>
    <w:p w14:paraId="29D98A3B" w14:textId="178B6623" w:rsidR="00665629" w:rsidRDefault="00503229" w:rsidP="009B39BE">
      <w:r>
        <w:t>Kako je evide</w:t>
      </w:r>
      <w:r w:rsidR="000A6768">
        <w:t>n</w:t>
      </w:r>
      <w:r>
        <w:t xml:space="preserve">tno iz gornjeg opisa, </w:t>
      </w:r>
      <w:r w:rsidR="000A6768">
        <w:t xml:space="preserve">sve tri mjere ovog prioriteta su komplementarne i doprinose zajedničkim ciljevima. Dapače, treba naglasiti da </w:t>
      </w:r>
      <w:r w:rsidR="000A6768" w:rsidRPr="000A6768">
        <w:rPr>
          <w:b/>
        </w:rPr>
        <w:t>je izvjesno i poželjno integrirano financiranje projekata</w:t>
      </w:r>
      <w:r w:rsidR="000A6768">
        <w:t xml:space="preserve"> </w:t>
      </w:r>
      <w:r w:rsidR="000A6768" w:rsidRPr="00F8450E">
        <w:rPr>
          <w:b/>
        </w:rPr>
        <w:t>iz više od jedne mjere</w:t>
      </w:r>
      <w:r w:rsidR="000A6768">
        <w:t xml:space="preserve"> (naprimjer: obnavljanje </w:t>
      </w:r>
      <w:r w:rsidR="000A6768" w:rsidRPr="000A6768">
        <w:t>zaštićenog kulturnog objekta sportska dvorana Mladost u Karlovcu</w:t>
      </w:r>
      <w:r w:rsidR="001D6BD7">
        <w:t xml:space="preserve"> (P2.1</w:t>
      </w:r>
      <w:r w:rsidR="000A6768">
        <w:t>) uz financiranje</w:t>
      </w:r>
      <w:r w:rsidR="001D6BD7">
        <w:t xml:space="preserve"> djelatnosti sportskih udruga (</w:t>
      </w:r>
      <w:r w:rsidR="000A6768">
        <w:t>P2.2)</w:t>
      </w:r>
      <w:r w:rsidR="000E5EAC">
        <w:t xml:space="preserve"> ili obnova doma za starije i shema razvoja novih socijalnih usluga</w:t>
      </w:r>
      <w:r w:rsidR="000A6768">
        <w:t xml:space="preserve">). Nadalje, u pojedinim </w:t>
      </w:r>
      <w:r w:rsidR="00212A11">
        <w:t xml:space="preserve">slučajevima – kod objekata lociranih u starim gradskim jezgrama - moguće su </w:t>
      </w:r>
      <w:r w:rsidR="00F7324C">
        <w:t xml:space="preserve">i preporučljive </w:t>
      </w:r>
      <w:r w:rsidR="00212A11">
        <w:t>poveznice (integrirano financiranje) s prethodnim prioritetom (naprimjer obnova objekta iz</w:t>
      </w:r>
      <w:r w:rsidR="001D6BD7">
        <w:t xml:space="preserve"> P2.1 i uređenje </w:t>
      </w:r>
      <w:r w:rsidR="00F7324C">
        <w:t>okolnog javnog prostora</w:t>
      </w:r>
      <w:r w:rsidR="001D6BD7">
        <w:t xml:space="preserve"> iz P1.1).</w:t>
      </w:r>
    </w:p>
    <w:p w14:paraId="53BC912C" w14:textId="42B57248" w:rsidR="001D6BD7" w:rsidRDefault="001D6BD7" w:rsidP="001D6BD7">
      <w:r w:rsidRPr="0075496A">
        <w:rPr>
          <w:i/>
        </w:rPr>
        <w:lastRenderedPageBreak/>
        <w:t>Primjeri projekata SC1. P</w:t>
      </w:r>
      <w:r w:rsidR="000E5EAC">
        <w:rPr>
          <w:i/>
        </w:rPr>
        <w:t>2</w:t>
      </w:r>
      <w:r>
        <w:t xml:space="preserve"> iz inicijalne baze </w:t>
      </w:r>
      <w:r w:rsidR="00B55150">
        <w:t>SRVUPKA</w:t>
      </w:r>
      <w:r>
        <w:t xml:space="preserve"> koji su spremni za provedbu odnosno mogu biti spremni </w:t>
      </w:r>
      <w:r w:rsidR="007E2D89">
        <w:t xml:space="preserve">za provedbu do sredine </w:t>
      </w:r>
      <w:r>
        <w:t>2020. godine (kategorije I i II):</w:t>
      </w:r>
    </w:p>
    <w:p w14:paraId="7F41532B" w14:textId="4B552F28" w:rsidR="009B39BE" w:rsidRPr="008E2FDA" w:rsidRDefault="009B39BE" w:rsidP="00F950C3">
      <w:pPr>
        <w:pStyle w:val="tabletxt"/>
        <w:numPr>
          <w:ilvl w:val="0"/>
          <w:numId w:val="9"/>
        </w:numPr>
        <w:jc w:val="left"/>
        <w:rPr>
          <w:sz w:val="20"/>
        </w:rPr>
      </w:pPr>
      <w:r w:rsidRPr="008E2FDA">
        <w:rPr>
          <w:sz w:val="20"/>
        </w:rPr>
        <w:t>Integrirani projekt Karlovački likovni trokut - Josip Vaništa – Slava Raškaj – Miroslav Šutej (Centar za posjetitelje/ interpretacijski centar Slava Raškaj u Ozlju, zgrada KAMOD-a u karlovačkoj Zvijezdi, Parkovni paviljon Miroslav Šutej u Dugoj Resi)</w:t>
      </w:r>
    </w:p>
    <w:p w14:paraId="08208A37" w14:textId="77777777" w:rsidR="009B39BE" w:rsidRPr="008E2FDA" w:rsidRDefault="009B39BE" w:rsidP="00F950C3">
      <w:pPr>
        <w:pStyle w:val="tabletxt"/>
        <w:numPr>
          <w:ilvl w:val="0"/>
          <w:numId w:val="9"/>
        </w:numPr>
        <w:jc w:val="left"/>
        <w:rPr>
          <w:sz w:val="20"/>
        </w:rPr>
      </w:pPr>
      <w:r w:rsidRPr="008E2FDA">
        <w:rPr>
          <w:sz w:val="20"/>
        </w:rPr>
        <w:t>Sanacija Lončareve kuće u Zvijezdi</w:t>
      </w:r>
    </w:p>
    <w:p w14:paraId="6363218A" w14:textId="77777777" w:rsidR="009B39BE" w:rsidRPr="008E2FDA" w:rsidRDefault="009B39BE" w:rsidP="00F950C3">
      <w:pPr>
        <w:pStyle w:val="tabletxt"/>
        <w:numPr>
          <w:ilvl w:val="0"/>
          <w:numId w:val="9"/>
        </w:numPr>
        <w:jc w:val="left"/>
        <w:rPr>
          <w:sz w:val="20"/>
        </w:rPr>
      </w:pPr>
      <w:r w:rsidRPr="008E2FDA">
        <w:rPr>
          <w:sz w:val="20"/>
        </w:rPr>
        <w:t>Uređenje kina Edison i prilaz starom gradu Dubovcu</w:t>
      </w:r>
    </w:p>
    <w:p w14:paraId="6D0AA8DC" w14:textId="77777777" w:rsidR="009B39BE" w:rsidRPr="008E2FDA" w:rsidRDefault="009B39BE" w:rsidP="00F950C3">
      <w:pPr>
        <w:pStyle w:val="tabletxt"/>
        <w:numPr>
          <w:ilvl w:val="0"/>
          <w:numId w:val="9"/>
        </w:numPr>
        <w:jc w:val="left"/>
        <w:rPr>
          <w:sz w:val="20"/>
        </w:rPr>
      </w:pPr>
      <w:r w:rsidRPr="008E2FDA">
        <w:rPr>
          <w:sz w:val="20"/>
        </w:rPr>
        <w:t>Obnova zaštićenog kulturnog objekta sportska dvorana Mladost u Karlovcu</w:t>
      </w:r>
    </w:p>
    <w:p w14:paraId="4CFCF82E" w14:textId="77777777" w:rsidR="009B39BE" w:rsidRPr="008E2FDA" w:rsidRDefault="009B39BE" w:rsidP="00F950C3">
      <w:pPr>
        <w:pStyle w:val="tabletxt"/>
        <w:numPr>
          <w:ilvl w:val="0"/>
          <w:numId w:val="9"/>
        </w:numPr>
        <w:jc w:val="left"/>
        <w:rPr>
          <w:sz w:val="20"/>
        </w:rPr>
      </w:pPr>
      <w:r w:rsidRPr="008E2FDA">
        <w:rPr>
          <w:sz w:val="20"/>
        </w:rPr>
        <w:t>Rekonstrukcija i dogradnja Hrvatskog doma u Karlovcu</w:t>
      </w:r>
    </w:p>
    <w:p w14:paraId="34CE3697" w14:textId="6610FF71" w:rsidR="009B39BE" w:rsidRPr="008E2FDA" w:rsidRDefault="009B39BE" w:rsidP="00F950C3">
      <w:pPr>
        <w:pStyle w:val="tabletxt"/>
        <w:numPr>
          <w:ilvl w:val="0"/>
          <w:numId w:val="9"/>
        </w:numPr>
        <w:jc w:val="left"/>
        <w:rPr>
          <w:sz w:val="20"/>
        </w:rPr>
      </w:pPr>
      <w:r w:rsidRPr="008E2FDA">
        <w:rPr>
          <w:sz w:val="20"/>
        </w:rPr>
        <w:t>Sportsko kulturni centar Mostanje</w:t>
      </w:r>
    </w:p>
    <w:p w14:paraId="6BD3D747" w14:textId="42466610" w:rsidR="009B39BE" w:rsidRPr="008E2FDA" w:rsidRDefault="009B39BE" w:rsidP="00F950C3">
      <w:pPr>
        <w:pStyle w:val="tabletxt"/>
        <w:numPr>
          <w:ilvl w:val="0"/>
          <w:numId w:val="9"/>
        </w:numPr>
        <w:jc w:val="left"/>
        <w:rPr>
          <w:sz w:val="20"/>
        </w:rPr>
      </w:pPr>
      <w:r w:rsidRPr="008E2FDA">
        <w:rPr>
          <w:sz w:val="20"/>
        </w:rPr>
        <w:t>Uređenje kuće ”Migan” u</w:t>
      </w:r>
      <w:r w:rsidR="006731DA" w:rsidRPr="008E2FDA">
        <w:rPr>
          <w:sz w:val="20"/>
        </w:rPr>
        <w:t>z šetnicu i pristup Kaptolu u</w:t>
      </w:r>
      <w:r w:rsidRPr="008E2FDA">
        <w:rPr>
          <w:sz w:val="20"/>
        </w:rPr>
        <w:t xml:space="preserve"> Ozlju</w:t>
      </w:r>
    </w:p>
    <w:p w14:paraId="38F6B1E2" w14:textId="77777777" w:rsidR="009B39BE" w:rsidRPr="008E2FDA" w:rsidRDefault="009B39BE" w:rsidP="00F950C3">
      <w:pPr>
        <w:pStyle w:val="tabletxt"/>
        <w:numPr>
          <w:ilvl w:val="0"/>
          <w:numId w:val="9"/>
        </w:numPr>
        <w:jc w:val="left"/>
        <w:rPr>
          <w:sz w:val="20"/>
        </w:rPr>
      </w:pPr>
      <w:r w:rsidRPr="008E2FDA">
        <w:rPr>
          <w:sz w:val="20"/>
        </w:rPr>
        <w:t>Tehno park HE Ozalj i uređenje parka kod stare hidrocentrale te šetnice u centru grada</w:t>
      </w:r>
    </w:p>
    <w:p w14:paraId="6B1304F0" w14:textId="77777777" w:rsidR="009B39BE" w:rsidRPr="008E2FDA" w:rsidRDefault="009B39BE" w:rsidP="00F950C3">
      <w:pPr>
        <w:pStyle w:val="tabletxt"/>
        <w:numPr>
          <w:ilvl w:val="0"/>
          <w:numId w:val="9"/>
        </w:numPr>
        <w:jc w:val="left"/>
        <w:rPr>
          <w:sz w:val="20"/>
        </w:rPr>
      </w:pPr>
      <w:r w:rsidRPr="008E2FDA">
        <w:rPr>
          <w:sz w:val="20"/>
        </w:rPr>
        <w:t>Nastavak izgradnje etno sela Trg</w:t>
      </w:r>
    </w:p>
    <w:p w14:paraId="53B16339" w14:textId="77777777" w:rsidR="009B39BE" w:rsidRPr="008E2FDA" w:rsidRDefault="009B39BE" w:rsidP="00F950C3">
      <w:pPr>
        <w:pStyle w:val="tabletxt"/>
        <w:numPr>
          <w:ilvl w:val="0"/>
          <w:numId w:val="9"/>
        </w:numPr>
        <w:jc w:val="left"/>
        <w:rPr>
          <w:sz w:val="20"/>
        </w:rPr>
      </w:pPr>
      <w:r w:rsidRPr="008E2FDA">
        <w:rPr>
          <w:sz w:val="20"/>
        </w:rPr>
        <w:t>Uređenje gradskih kupališta u Karlovcu, Ozlju i Dugoj Resi</w:t>
      </w:r>
    </w:p>
    <w:p w14:paraId="7FBE6C3A" w14:textId="6B913032" w:rsidR="001D6BD7" w:rsidRPr="008E2FDA" w:rsidRDefault="009B39BE" w:rsidP="00F950C3">
      <w:pPr>
        <w:pStyle w:val="tabletxt"/>
        <w:numPr>
          <w:ilvl w:val="0"/>
          <w:numId w:val="9"/>
        </w:numPr>
        <w:jc w:val="left"/>
        <w:rPr>
          <w:sz w:val="20"/>
        </w:rPr>
      </w:pPr>
      <w:r w:rsidRPr="008E2FDA">
        <w:rPr>
          <w:sz w:val="20"/>
        </w:rPr>
        <w:t>Krovni projekt: Vrtni grad Duga Resa (Obnova parka dr. F. Tuđmana, Parkovni paviljon Miroslav Šutej, Centar izviđača i mladih umjetnika, Virtualni muzej tekstila ”Putevima pamuka”)</w:t>
      </w:r>
    </w:p>
    <w:p w14:paraId="474AECAC" w14:textId="77777777" w:rsidR="001D6BD7" w:rsidRDefault="001D6BD7" w:rsidP="001D6BD7">
      <w:r w:rsidRPr="0075496A">
        <w:rPr>
          <w:i/>
        </w:rPr>
        <w:t>Pokazatelji ishoda SC1.P1</w:t>
      </w:r>
      <w:r>
        <w:t>:</w:t>
      </w:r>
    </w:p>
    <w:p w14:paraId="3F84A217" w14:textId="30B9DB25" w:rsidR="009B39BE" w:rsidRDefault="00EE3365" w:rsidP="00F950C3">
      <w:pPr>
        <w:pStyle w:val="ListParagraph"/>
        <w:numPr>
          <w:ilvl w:val="0"/>
          <w:numId w:val="12"/>
        </w:numPr>
      </w:pPr>
      <w:r>
        <w:t>Povećanje broja</w:t>
      </w:r>
      <w:r w:rsidR="009B39BE">
        <w:t xml:space="preserve"> posjetitelja na području VUPKA</w:t>
      </w:r>
    </w:p>
    <w:p w14:paraId="3673917F" w14:textId="39DA1B35" w:rsidR="0016658B" w:rsidRDefault="0016658B" w:rsidP="00F950C3">
      <w:pPr>
        <w:pStyle w:val="ListParagraph"/>
        <w:numPr>
          <w:ilvl w:val="0"/>
          <w:numId w:val="12"/>
        </w:numPr>
      </w:pPr>
      <w:r>
        <w:t xml:space="preserve">Broj </w:t>
      </w:r>
      <w:r w:rsidR="00DA0F41">
        <w:t xml:space="preserve">projekata i broj </w:t>
      </w:r>
      <w:r>
        <w:t>osoba/institucija obuhvaćenih programima društvenog razvoja</w:t>
      </w:r>
    </w:p>
    <w:p w14:paraId="787825E2" w14:textId="7F528DA7" w:rsidR="0016658B" w:rsidRDefault="0016658B" w:rsidP="00F950C3">
      <w:pPr>
        <w:pStyle w:val="ListParagraph"/>
        <w:numPr>
          <w:ilvl w:val="0"/>
          <w:numId w:val="12"/>
        </w:numPr>
      </w:pPr>
      <w:r>
        <w:t xml:space="preserve">Broj </w:t>
      </w:r>
      <w:r w:rsidR="00DA0F41">
        <w:t xml:space="preserve">projekata i broj </w:t>
      </w:r>
      <w:r>
        <w:t>osoba/institucija obuhvaćenih programima društvene kohezije</w:t>
      </w:r>
    </w:p>
    <w:p w14:paraId="6F9F1317" w14:textId="77777777" w:rsidR="00716775" w:rsidRDefault="00716775">
      <w:pPr>
        <w:rPr>
          <w:b/>
          <w:noProof/>
        </w:rPr>
      </w:pPr>
    </w:p>
    <w:p w14:paraId="4B66511D" w14:textId="543EBD5B" w:rsidR="00F7324C" w:rsidRPr="00F7324C" w:rsidRDefault="00F7324C">
      <w:pPr>
        <w:rPr>
          <w:noProof/>
          <w:color w:val="943634" w:themeColor="accent2" w:themeShade="BF"/>
        </w:rPr>
      </w:pPr>
      <w:r w:rsidRPr="00F7324C">
        <w:rPr>
          <w:noProof/>
          <w:color w:val="943634" w:themeColor="accent2" w:themeShade="BF"/>
        </w:rPr>
        <w:t>Kroz prioritete drugog strateškog cilja</w:t>
      </w:r>
      <w:r>
        <w:rPr>
          <w:noProof/>
          <w:color w:val="943634" w:themeColor="accent2" w:themeShade="BF"/>
        </w:rPr>
        <w:t xml:space="preserve"> namjeravaju se ostvariti preduvjeti za gospodarsku aktivnost i kvalitetan životni okoliš stanovnika VUPKA</w:t>
      </w:r>
      <w:r w:rsidR="00141615">
        <w:rPr>
          <w:noProof/>
          <w:color w:val="943634" w:themeColor="accent2" w:themeShade="BF"/>
        </w:rPr>
        <w:t xml:space="preserve"> ulaganjem u </w:t>
      </w:r>
      <w:r w:rsidR="00B34B02">
        <w:rPr>
          <w:noProof/>
          <w:color w:val="943634" w:themeColor="accent2" w:themeShade="BF"/>
        </w:rPr>
        <w:t>energetsku, vodnu i prometnu</w:t>
      </w:r>
      <w:r w:rsidR="00141615">
        <w:rPr>
          <w:noProof/>
          <w:color w:val="943634" w:themeColor="accent2" w:themeShade="BF"/>
        </w:rPr>
        <w:t xml:space="preserve"> infrastrukturu</w:t>
      </w:r>
      <w:r>
        <w:rPr>
          <w:noProof/>
          <w:color w:val="943634" w:themeColor="accent2" w:themeShade="BF"/>
        </w:rPr>
        <w:t>.</w:t>
      </w:r>
    </w:p>
    <w:tbl>
      <w:tblPr>
        <w:tblStyle w:val="TableGrid"/>
        <w:tblW w:w="9288" w:type="dxa"/>
        <w:tblLook w:val="04A0" w:firstRow="1" w:lastRow="0" w:firstColumn="1" w:lastColumn="0" w:noHBand="0" w:noVBand="1"/>
      </w:tblPr>
      <w:tblGrid>
        <w:gridCol w:w="9288"/>
      </w:tblGrid>
      <w:tr w:rsidR="00D26096" w:rsidRPr="0016658B" w14:paraId="6F417093" w14:textId="77777777" w:rsidTr="0016658B">
        <w:tc>
          <w:tcPr>
            <w:tcW w:w="9288" w:type="dxa"/>
            <w:shd w:val="clear" w:color="auto" w:fill="F2DBDB" w:themeFill="accent2" w:themeFillTint="33"/>
          </w:tcPr>
          <w:p w14:paraId="4AB079E7" w14:textId="5AF48647" w:rsidR="00D26096" w:rsidRPr="0016658B" w:rsidRDefault="00F7324C" w:rsidP="00F7324C">
            <w:pPr>
              <w:rPr>
                <w:b/>
                <w:color w:val="C0504D" w:themeColor="accent2"/>
              </w:rPr>
            </w:pPr>
            <w:r>
              <w:rPr>
                <w:b/>
                <w:noProof/>
                <w:color w:val="C0504D" w:themeColor="accent2"/>
              </w:rPr>
              <w:t>SC</w:t>
            </w:r>
            <w:r w:rsidR="00D26096" w:rsidRPr="0016658B">
              <w:rPr>
                <w:b/>
                <w:noProof/>
                <w:color w:val="C0504D" w:themeColor="accent2"/>
              </w:rPr>
              <w:t xml:space="preserve">2. </w:t>
            </w:r>
            <w:r w:rsidR="007E2D89">
              <w:rPr>
                <w:b/>
                <w:noProof/>
                <w:color w:val="C0504D" w:themeColor="accent2"/>
              </w:rPr>
              <w:t>P1 Unap</w:t>
            </w:r>
            <w:r>
              <w:rPr>
                <w:b/>
                <w:noProof/>
                <w:color w:val="C0504D" w:themeColor="accent2"/>
              </w:rPr>
              <w:t>jeđenje energetske infrastrukture</w:t>
            </w:r>
          </w:p>
        </w:tc>
      </w:tr>
    </w:tbl>
    <w:p w14:paraId="432F6692" w14:textId="5D3D33F5" w:rsidR="00BE00A1" w:rsidRDefault="007E2D89" w:rsidP="00F7324C">
      <w:r>
        <w:rPr>
          <w:b/>
          <w:color w:val="943634" w:themeColor="accent2" w:themeShade="BF"/>
        </w:rPr>
        <w:t>SC2. P1 Unapr</w:t>
      </w:r>
      <w:r w:rsidR="00F7324C" w:rsidRPr="00F7324C">
        <w:rPr>
          <w:b/>
          <w:color w:val="943634" w:themeColor="accent2" w:themeShade="BF"/>
        </w:rPr>
        <w:t>eđenje energetske infrastruk</w:t>
      </w:r>
      <w:r w:rsidR="00192EA4">
        <w:rPr>
          <w:b/>
          <w:color w:val="943634" w:themeColor="accent2" w:themeShade="BF"/>
        </w:rPr>
        <w:t>t</w:t>
      </w:r>
      <w:r w:rsidR="00F7324C" w:rsidRPr="00F7324C">
        <w:rPr>
          <w:b/>
          <w:color w:val="943634" w:themeColor="accent2" w:themeShade="BF"/>
        </w:rPr>
        <w:t>ure</w:t>
      </w:r>
      <w:r w:rsidR="00BE00A1">
        <w:t xml:space="preserve"> ima za cilj smanjenje</w:t>
      </w:r>
      <w:r w:rsidR="00F7324C">
        <w:t xml:space="preserve"> energetske intenzivnosti i stvaranja održive kombinacije energetskih izvora, odnosno razvoja energetske samoodrživosti</w:t>
      </w:r>
      <w:r w:rsidR="00BE00A1">
        <w:t>.</w:t>
      </w:r>
      <w:r w:rsidR="00E632D2">
        <w:t xml:space="preserve"> Prioritet se provodi kroz dvije mjere, pri čemu se prva odnosi na veće, individualne projekte, a druga na skupove srodnih, manjih projekata. </w:t>
      </w:r>
    </w:p>
    <w:p w14:paraId="04CC9FCF" w14:textId="4F23E052" w:rsidR="00213927" w:rsidRDefault="00213927" w:rsidP="00F7324C">
      <w:r>
        <w:t>Kombiniranje pojedinačno manjih, ali tipološki srodnih investicija u projekte u sklopu druge mjere (kao npr. energetski uči</w:t>
      </w:r>
      <w:r w:rsidR="00192EA4">
        <w:t>n</w:t>
      </w:r>
      <w:r>
        <w:t xml:space="preserve">kovita javna rasvjeta) logički je opravdano s obzirom </w:t>
      </w:r>
      <w:r w:rsidR="007E2D89">
        <w:t xml:space="preserve">na to </w:t>
      </w:r>
      <w:r>
        <w:t xml:space="preserve">da su ovakve potrebe raširene u svim naseljima VUPKA. Ipak, treba imati na umu razvojni aspekt </w:t>
      </w:r>
      <w:r w:rsidR="00B55150">
        <w:t>SRVUPKA</w:t>
      </w:r>
      <w:r>
        <w:t xml:space="preserve"> te stoga </w:t>
      </w:r>
      <w:r w:rsidRPr="00F8450E">
        <w:rPr>
          <w:b/>
        </w:rPr>
        <w:t>prednost nad ovakvim, sektorskim pristupom mora biti dana integriranom pristupu baziranom na području</w:t>
      </w:r>
      <w:r>
        <w:t>, odnosno prioritizaciji u odnosu na lokaciju te povezivanj</w:t>
      </w:r>
      <w:r w:rsidR="007E2D89">
        <w:t>u s projektima koji formalno pot</w:t>
      </w:r>
      <w:r>
        <w:t>padaju pod druge prioritete/mjere (npr. energetska obnova sportskog objekta, u kombinaciji s razvojem društvenih sadržaja).</w:t>
      </w:r>
    </w:p>
    <w:p w14:paraId="46883402" w14:textId="724010DB" w:rsidR="00720F62" w:rsidRDefault="00720F62" w:rsidP="00F7324C">
      <w:r>
        <w:t>U sklopu ovog prioriteta osmišljene su dvije mjere, pri čemu se prva odnosi na individualne projekte jasnog opsega i vrijednosti, dok se druga odnosi na moguće 'sheme' financiranja manjih projekata istog tipa.</w:t>
      </w:r>
    </w:p>
    <w:p w14:paraId="38EF5A7C" w14:textId="62CBA57B" w:rsidR="00E632D2" w:rsidRDefault="00E632D2" w:rsidP="00E632D2">
      <w:r w:rsidRPr="00141615">
        <w:rPr>
          <w:b/>
          <w:color w:val="943634" w:themeColor="accent2" w:themeShade="BF"/>
        </w:rPr>
        <w:t>Mjera SC2. P1.1</w:t>
      </w:r>
      <w:r w:rsidR="00EE3365" w:rsidRPr="00141615">
        <w:rPr>
          <w:b/>
          <w:color w:val="943634" w:themeColor="accent2" w:themeShade="BF"/>
        </w:rPr>
        <w:t xml:space="preserve"> Veliki projekti</w:t>
      </w:r>
      <w:r>
        <w:t>:</w:t>
      </w:r>
    </w:p>
    <w:p w14:paraId="4DF52C3C" w14:textId="087C9073" w:rsidR="00E632D2" w:rsidRPr="008E2FDA" w:rsidRDefault="00E632D2" w:rsidP="00F950C3">
      <w:pPr>
        <w:pStyle w:val="tabletxt"/>
        <w:numPr>
          <w:ilvl w:val="0"/>
          <w:numId w:val="11"/>
        </w:numPr>
        <w:ind w:left="357" w:hanging="357"/>
        <w:jc w:val="left"/>
        <w:rPr>
          <w:sz w:val="20"/>
        </w:rPr>
      </w:pPr>
      <w:r w:rsidRPr="008E2FDA">
        <w:rPr>
          <w:sz w:val="20"/>
        </w:rPr>
        <w:t>Revitalizacija vrelovodne mreže grada Karlovca (projekt spreman za provedbu 2020.)</w:t>
      </w:r>
    </w:p>
    <w:p w14:paraId="51AED462" w14:textId="1AB7C475" w:rsidR="00E632D2" w:rsidRPr="008E2FDA" w:rsidRDefault="00E632D2" w:rsidP="00F950C3">
      <w:pPr>
        <w:pStyle w:val="tabletxt"/>
        <w:numPr>
          <w:ilvl w:val="0"/>
          <w:numId w:val="11"/>
        </w:numPr>
        <w:ind w:left="357" w:hanging="357"/>
        <w:jc w:val="left"/>
        <w:rPr>
          <w:sz w:val="20"/>
        </w:rPr>
      </w:pPr>
      <w:r w:rsidRPr="008E2FDA">
        <w:rPr>
          <w:sz w:val="20"/>
        </w:rPr>
        <w:t>Istraživanje i iskorištavanje ge</w:t>
      </w:r>
      <w:r w:rsidR="00192EA4">
        <w:rPr>
          <w:sz w:val="20"/>
        </w:rPr>
        <w:t>o</w:t>
      </w:r>
      <w:r w:rsidRPr="008E2FDA">
        <w:rPr>
          <w:sz w:val="20"/>
        </w:rPr>
        <w:t>termalnih po</w:t>
      </w:r>
      <w:r w:rsidR="007E2D89">
        <w:rPr>
          <w:sz w:val="20"/>
        </w:rPr>
        <w:t>tencijala – GeotermiKA (dugoroč</w:t>
      </w:r>
      <w:r w:rsidRPr="008E2FDA">
        <w:rPr>
          <w:sz w:val="20"/>
        </w:rPr>
        <w:t>n</w:t>
      </w:r>
      <w:r w:rsidR="007E2D89">
        <w:rPr>
          <w:sz w:val="20"/>
        </w:rPr>
        <w:t>i</w:t>
      </w:r>
      <w:r w:rsidRPr="008E2FDA">
        <w:rPr>
          <w:sz w:val="20"/>
        </w:rPr>
        <w:t xml:space="preserve"> projek</w:t>
      </w:r>
      <w:r w:rsidR="004E181D" w:rsidRPr="008E2FDA">
        <w:rPr>
          <w:sz w:val="20"/>
        </w:rPr>
        <w:t>t, započet)</w:t>
      </w:r>
    </w:p>
    <w:p w14:paraId="67A70020" w14:textId="46711FDE" w:rsidR="00E632D2" w:rsidRPr="008E2FDA" w:rsidRDefault="00E632D2" w:rsidP="00F950C3">
      <w:pPr>
        <w:pStyle w:val="tabletxt"/>
        <w:numPr>
          <w:ilvl w:val="0"/>
          <w:numId w:val="11"/>
        </w:numPr>
        <w:ind w:left="357" w:hanging="357"/>
        <w:jc w:val="left"/>
        <w:rPr>
          <w:sz w:val="20"/>
        </w:rPr>
      </w:pPr>
      <w:r w:rsidRPr="008E2FDA">
        <w:rPr>
          <w:sz w:val="20"/>
        </w:rPr>
        <w:t>Kogeneracijsko postrojenje na drvnu biomasu s toplovodom u Ozlju</w:t>
      </w:r>
      <w:r w:rsidR="004E181D" w:rsidRPr="008E2FDA">
        <w:rPr>
          <w:sz w:val="20"/>
        </w:rPr>
        <w:t xml:space="preserve"> (projekt spreman za provedbu 2019.)</w:t>
      </w:r>
    </w:p>
    <w:p w14:paraId="2D8D0A50" w14:textId="4451D3C1" w:rsidR="00E632D2" w:rsidRPr="008E2FDA" w:rsidRDefault="00E632D2" w:rsidP="00F950C3">
      <w:pPr>
        <w:pStyle w:val="tabletxt"/>
        <w:numPr>
          <w:ilvl w:val="0"/>
          <w:numId w:val="11"/>
        </w:numPr>
        <w:ind w:left="357" w:hanging="357"/>
        <w:jc w:val="left"/>
        <w:rPr>
          <w:sz w:val="20"/>
        </w:rPr>
      </w:pPr>
      <w:r w:rsidRPr="008E2FDA">
        <w:rPr>
          <w:sz w:val="20"/>
        </w:rPr>
        <w:t xml:space="preserve">Uređenje Donjeg mlina </w:t>
      </w:r>
      <w:r w:rsidR="004E181D" w:rsidRPr="008E2FDA">
        <w:rPr>
          <w:sz w:val="20"/>
        </w:rPr>
        <w:t>(zaštiće</w:t>
      </w:r>
      <w:r w:rsidR="00A14A40">
        <w:rPr>
          <w:sz w:val="20"/>
        </w:rPr>
        <w:t>no kulturno dobro)</w:t>
      </w:r>
      <w:r w:rsidR="004E181D" w:rsidRPr="008E2FDA">
        <w:rPr>
          <w:sz w:val="20"/>
        </w:rPr>
        <w:t xml:space="preserve"> u Dugoj Resi </w:t>
      </w:r>
    </w:p>
    <w:p w14:paraId="5633AE67" w14:textId="2F4D7881" w:rsidR="00E632D2" w:rsidRDefault="00E632D2" w:rsidP="00E632D2">
      <w:r w:rsidRPr="00141615">
        <w:rPr>
          <w:b/>
          <w:color w:val="943634" w:themeColor="accent2" w:themeShade="BF"/>
        </w:rPr>
        <w:lastRenderedPageBreak/>
        <w:t>Mjera SC2. P1.2 Mjere za povećanje energetske učinkovitosti</w:t>
      </w:r>
      <w:r w:rsidR="009F00CB">
        <w:t xml:space="preserve"> – tipologija projekata</w:t>
      </w:r>
      <w:r w:rsidR="004E181D">
        <w:t>:</w:t>
      </w:r>
      <w:r>
        <w:t xml:space="preserve"> </w:t>
      </w:r>
    </w:p>
    <w:p w14:paraId="3B4F8BFE" w14:textId="77777777" w:rsidR="00E632D2" w:rsidRDefault="00E632D2" w:rsidP="00F950C3">
      <w:pPr>
        <w:pStyle w:val="tabletxt"/>
        <w:numPr>
          <w:ilvl w:val="0"/>
          <w:numId w:val="11"/>
        </w:numPr>
        <w:ind w:left="357" w:hanging="357"/>
        <w:jc w:val="left"/>
      </w:pPr>
      <w:r>
        <w:t>Energetske obnove objekata</w:t>
      </w:r>
    </w:p>
    <w:p w14:paraId="51D4DAC6" w14:textId="75BA55DA" w:rsidR="00E632D2" w:rsidRDefault="00E632D2" w:rsidP="00F950C3">
      <w:pPr>
        <w:pStyle w:val="tabletxt"/>
        <w:numPr>
          <w:ilvl w:val="0"/>
          <w:numId w:val="11"/>
        </w:numPr>
        <w:ind w:left="357" w:hanging="357"/>
        <w:jc w:val="left"/>
      </w:pPr>
      <w:r>
        <w:t>Energetski učinkovita javna rasvjeta</w:t>
      </w:r>
    </w:p>
    <w:p w14:paraId="6493503A" w14:textId="42F4C0A0" w:rsidR="004E181D" w:rsidRDefault="004E181D" w:rsidP="004E181D">
      <w:r w:rsidRPr="004E181D">
        <w:rPr>
          <w:i/>
        </w:rPr>
        <w:t>Pokazatelji ishoda SC</w:t>
      </w:r>
      <w:r>
        <w:rPr>
          <w:i/>
        </w:rPr>
        <w:t>2</w:t>
      </w:r>
      <w:r w:rsidRPr="004E181D">
        <w:rPr>
          <w:i/>
        </w:rPr>
        <w:t>.P1</w:t>
      </w:r>
      <w:r>
        <w:t>:</w:t>
      </w:r>
    </w:p>
    <w:p w14:paraId="3639AECC" w14:textId="53C36463" w:rsidR="004E181D" w:rsidRDefault="004E181D" w:rsidP="00F950C3">
      <w:pPr>
        <w:pStyle w:val="ListParagraph"/>
        <w:numPr>
          <w:ilvl w:val="0"/>
          <w:numId w:val="13"/>
        </w:numPr>
      </w:pPr>
      <w:r>
        <w:t>Smanjenje potrošnje primarne energije</w:t>
      </w:r>
    </w:p>
    <w:p w14:paraId="54743830" w14:textId="34B08830" w:rsidR="0016658B" w:rsidRDefault="004E181D" w:rsidP="00F950C3">
      <w:pPr>
        <w:pStyle w:val="ListParagraph"/>
        <w:numPr>
          <w:ilvl w:val="0"/>
          <w:numId w:val="13"/>
        </w:numPr>
      </w:pPr>
      <w:r>
        <w:t>Povećanje udjela obnovljivih izvora energije</w:t>
      </w:r>
    </w:p>
    <w:p w14:paraId="5A5BE6E7" w14:textId="77777777" w:rsidR="00BE00A1" w:rsidRDefault="00BE00A1">
      <w:pPr>
        <w:jc w:val="left"/>
      </w:pPr>
    </w:p>
    <w:tbl>
      <w:tblPr>
        <w:tblStyle w:val="TableGrid"/>
        <w:tblW w:w="9288" w:type="dxa"/>
        <w:tblLook w:val="04A0" w:firstRow="1" w:lastRow="0" w:firstColumn="1" w:lastColumn="0" w:noHBand="0" w:noVBand="1"/>
      </w:tblPr>
      <w:tblGrid>
        <w:gridCol w:w="9288"/>
      </w:tblGrid>
      <w:tr w:rsidR="00BE00A1" w:rsidRPr="0016658B" w14:paraId="1C3D9203" w14:textId="77777777" w:rsidTr="00BE00A1">
        <w:tc>
          <w:tcPr>
            <w:tcW w:w="9288" w:type="dxa"/>
            <w:shd w:val="clear" w:color="auto" w:fill="F2DBDB" w:themeFill="accent2" w:themeFillTint="33"/>
          </w:tcPr>
          <w:p w14:paraId="6C41328F" w14:textId="1AFC9719" w:rsidR="00BE00A1" w:rsidRPr="0016658B" w:rsidRDefault="00BE00A1" w:rsidP="00BE00A1">
            <w:pPr>
              <w:rPr>
                <w:b/>
                <w:color w:val="C0504D" w:themeColor="accent2"/>
              </w:rPr>
            </w:pPr>
            <w:r>
              <w:rPr>
                <w:b/>
                <w:noProof/>
                <w:color w:val="C0504D" w:themeColor="accent2"/>
              </w:rPr>
              <w:t>SC</w:t>
            </w:r>
            <w:r w:rsidRPr="0016658B">
              <w:rPr>
                <w:b/>
                <w:noProof/>
                <w:color w:val="C0504D" w:themeColor="accent2"/>
              </w:rPr>
              <w:t xml:space="preserve">2. </w:t>
            </w:r>
            <w:r>
              <w:rPr>
                <w:b/>
                <w:noProof/>
                <w:color w:val="C0504D" w:themeColor="accent2"/>
              </w:rPr>
              <w:t xml:space="preserve">P2 Poboljšanje mobilnosti i pristupačnosti </w:t>
            </w:r>
          </w:p>
        </w:tc>
      </w:tr>
    </w:tbl>
    <w:p w14:paraId="12D6C111" w14:textId="42F71EA0" w:rsidR="00EE3365" w:rsidRDefault="00EE3365" w:rsidP="00734A6C">
      <w:r>
        <w:t>Ovim prioritetom teži se poboljšati kvalitetu</w:t>
      </w:r>
      <w:r w:rsidR="006E54EA">
        <w:t>, sigurnost</w:t>
      </w:r>
      <w:r>
        <w:t xml:space="preserve"> i </w:t>
      </w:r>
      <w:r w:rsidR="006E54EA">
        <w:t>interoperabilnost</w:t>
      </w:r>
      <w:r>
        <w:t xml:space="preserve"> prometne infrastrukture</w:t>
      </w:r>
      <w:r w:rsidR="006E54EA">
        <w:t xml:space="preserve"> te smanjiti pritisak na okol</w:t>
      </w:r>
      <w:r w:rsidR="000A42BF">
        <w:t>i</w:t>
      </w:r>
      <w:r w:rsidR="006E54EA">
        <w:t>š</w:t>
      </w:r>
      <w:r>
        <w:t xml:space="preserve">. Kao i prethodni, prioritet se provodi kroz dvije mjere – velike, individualne projekte </w:t>
      </w:r>
      <w:r w:rsidR="00734A6C">
        <w:t xml:space="preserve">(SC2. P2.1) </w:t>
      </w:r>
      <w:r>
        <w:t>te skupove manjih, tipološki srodnih intervencija</w:t>
      </w:r>
      <w:r w:rsidR="00734A6C">
        <w:t xml:space="preserve"> (SC2. P2.2)</w:t>
      </w:r>
      <w:r>
        <w:t>.</w:t>
      </w:r>
      <w:r w:rsidR="00734A6C">
        <w:t xml:space="preserve"> </w:t>
      </w:r>
      <w:r w:rsidR="00F8450E">
        <w:t xml:space="preserve">Također, kao i u prethodnom slučaju, uvažavajući činjenicu da je kumulativ </w:t>
      </w:r>
      <w:r w:rsidR="00734A6C">
        <w:t>pojedinačno manjih, tipološki srodnih investicija financijski zahtjev</w:t>
      </w:r>
      <w:r w:rsidR="00213927">
        <w:t xml:space="preserve">an, </w:t>
      </w:r>
      <w:r w:rsidR="00B55150">
        <w:t>SRVUPKA</w:t>
      </w:r>
      <w:r w:rsidR="00F8450E">
        <w:t xml:space="preserve"> treba otvoriti mogućnost integriranog financiranja, odnosno kombiniranja projekata koji formalno pripadaju različitim prioritetima (npr. uređenje parkirališta ispred obnovljenog objekta).</w:t>
      </w:r>
    </w:p>
    <w:p w14:paraId="3041C935" w14:textId="3A04F136" w:rsidR="00720F62" w:rsidRDefault="00720F62" w:rsidP="00734A6C">
      <w:r>
        <w:t>Kao i u prethodnom prioritetu, i ovaj je osmišljen kroz dvije mjere, pri čemu se prva odnosi na individualne projekte jasnog opsega i vrijednosti, dok se druga odnosi na moguće 'sheme' financiranja manjih projekata istog tipa.</w:t>
      </w:r>
    </w:p>
    <w:p w14:paraId="15E6C2BC" w14:textId="39984344" w:rsidR="00EE3365" w:rsidRDefault="00EE3365" w:rsidP="00EE3365">
      <w:r w:rsidRPr="00141615">
        <w:rPr>
          <w:b/>
          <w:color w:val="943634" w:themeColor="accent2" w:themeShade="BF"/>
        </w:rPr>
        <w:t>Mjera SC2. P2.1 Veliki projekti</w:t>
      </w:r>
      <w:r>
        <w:t>:</w:t>
      </w:r>
    </w:p>
    <w:p w14:paraId="75BAA7E3" w14:textId="28621C69" w:rsidR="00EE3365" w:rsidRPr="008E2FDA" w:rsidRDefault="00EE3365" w:rsidP="00F950C3">
      <w:pPr>
        <w:pStyle w:val="tabletxt"/>
        <w:numPr>
          <w:ilvl w:val="0"/>
          <w:numId w:val="11"/>
        </w:numPr>
        <w:ind w:left="357" w:hanging="357"/>
        <w:rPr>
          <w:sz w:val="20"/>
        </w:rPr>
      </w:pPr>
      <w:r w:rsidRPr="008E2FDA">
        <w:rPr>
          <w:sz w:val="20"/>
        </w:rPr>
        <w:t xml:space="preserve">Integrirani projekt mobilnosti VUPKA </w:t>
      </w:r>
    </w:p>
    <w:p w14:paraId="6CAEF579" w14:textId="1B0FF046" w:rsidR="00EE3365" w:rsidRDefault="00EE3365" w:rsidP="00EE3365">
      <w:r w:rsidRPr="00141615">
        <w:rPr>
          <w:b/>
          <w:color w:val="943634" w:themeColor="accent2" w:themeShade="BF"/>
        </w:rPr>
        <w:t>Mjera SC2. P2.2 Mjere za poboljšanje mobilnosti i pristupačnosti</w:t>
      </w:r>
      <w:r w:rsidR="009F00CB">
        <w:t xml:space="preserve"> – tipologija projekata</w:t>
      </w:r>
      <w:r>
        <w:t>:</w:t>
      </w:r>
    </w:p>
    <w:p w14:paraId="70CDEA04" w14:textId="273D32F3" w:rsidR="00EE3365" w:rsidRPr="008E2FDA" w:rsidRDefault="00EE3365" w:rsidP="00F950C3">
      <w:pPr>
        <w:pStyle w:val="tabletxt"/>
        <w:numPr>
          <w:ilvl w:val="0"/>
          <w:numId w:val="11"/>
        </w:numPr>
        <w:ind w:left="357" w:hanging="357"/>
        <w:rPr>
          <w:sz w:val="20"/>
        </w:rPr>
      </w:pPr>
      <w:r w:rsidRPr="008E2FDA">
        <w:rPr>
          <w:sz w:val="20"/>
        </w:rPr>
        <w:t xml:space="preserve">Sanacije problematičnih točaka u prometnom sustavu (npr. izgradnja nogostupa, prilagodbe za osobe s invaliditetom, </w:t>
      </w:r>
      <w:r w:rsidR="00213927" w:rsidRPr="008E2FDA">
        <w:rPr>
          <w:sz w:val="20"/>
        </w:rPr>
        <w:t>pristupni putevi</w:t>
      </w:r>
      <w:r w:rsidR="00CA368F" w:rsidRPr="008E2FDA">
        <w:rPr>
          <w:sz w:val="20"/>
        </w:rPr>
        <w:t>, uska grla i željeznički prijelazi</w:t>
      </w:r>
      <w:r w:rsidR="00213927" w:rsidRPr="008E2FDA">
        <w:rPr>
          <w:sz w:val="20"/>
        </w:rPr>
        <w:t xml:space="preserve"> i sl.)</w:t>
      </w:r>
    </w:p>
    <w:p w14:paraId="68CAF139" w14:textId="52F1C93C" w:rsidR="00EE3365" w:rsidRPr="008E2FDA" w:rsidRDefault="00EE3365" w:rsidP="00F950C3">
      <w:pPr>
        <w:pStyle w:val="tabletxt"/>
        <w:numPr>
          <w:ilvl w:val="0"/>
          <w:numId w:val="11"/>
        </w:numPr>
        <w:ind w:left="357" w:hanging="357"/>
        <w:rPr>
          <w:sz w:val="20"/>
        </w:rPr>
      </w:pPr>
      <w:r w:rsidRPr="008E2FDA">
        <w:rPr>
          <w:sz w:val="20"/>
        </w:rPr>
        <w:t>Pametna prometna rješenja</w:t>
      </w:r>
      <w:r w:rsidR="00141615" w:rsidRPr="008E2FDA">
        <w:rPr>
          <w:sz w:val="20"/>
        </w:rPr>
        <w:t>, zelena mobilnost</w:t>
      </w:r>
    </w:p>
    <w:p w14:paraId="6B0CFF67" w14:textId="25DE0BB6" w:rsidR="00EE3365" w:rsidRPr="008E2FDA" w:rsidRDefault="00EE3365" w:rsidP="00F950C3">
      <w:pPr>
        <w:pStyle w:val="tabletxt"/>
        <w:numPr>
          <w:ilvl w:val="0"/>
          <w:numId w:val="11"/>
        </w:numPr>
        <w:ind w:left="357" w:hanging="357"/>
        <w:rPr>
          <w:sz w:val="20"/>
        </w:rPr>
      </w:pPr>
      <w:r w:rsidRPr="008E2FDA">
        <w:rPr>
          <w:sz w:val="20"/>
        </w:rPr>
        <w:t>Rješavanje prometa u mirovanju (izgradnja garaža i uređenje parkirališta)</w:t>
      </w:r>
    </w:p>
    <w:p w14:paraId="39194139" w14:textId="0FAB0C5A" w:rsidR="00F8450E" w:rsidRDefault="00F8450E" w:rsidP="00F8450E">
      <w:r w:rsidRPr="00F8450E">
        <w:rPr>
          <w:i/>
        </w:rPr>
        <w:t>Pokazatelji ishoda SC2.</w:t>
      </w:r>
      <w:r w:rsidR="00141615">
        <w:rPr>
          <w:i/>
        </w:rPr>
        <w:t xml:space="preserve"> </w:t>
      </w:r>
      <w:r w:rsidRPr="00F8450E">
        <w:rPr>
          <w:i/>
        </w:rPr>
        <w:t>P</w:t>
      </w:r>
      <w:r>
        <w:rPr>
          <w:i/>
        </w:rPr>
        <w:t>2</w:t>
      </w:r>
      <w:r>
        <w:t>:</w:t>
      </w:r>
    </w:p>
    <w:p w14:paraId="1217494E" w14:textId="4A971E6A" w:rsidR="00BE00A1" w:rsidRDefault="00CA368F" w:rsidP="00F950C3">
      <w:pPr>
        <w:pStyle w:val="ListParagraph"/>
        <w:numPr>
          <w:ilvl w:val="0"/>
          <w:numId w:val="14"/>
        </w:numPr>
      </w:pPr>
      <w:r>
        <w:t>Povećanje broja putnika u javnom prijevozu</w:t>
      </w:r>
    </w:p>
    <w:p w14:paraId="5F9AA41F" w14:textId="177965A5" w:rsidR="00CA368F" w:rsidRDefault="00CA368F" w:rsidP="00F950C3">
      <w:pPr>
        <w:pStyle w:val="ListParagraph"/>
        <w:numPr>
          <w:ilvl w:val="0"/>
          <w:numId w:val="14"/>
        </w:numPr>
      </w:pPr>
      <w:r>
        <w:t>Smanjenje emisija CO</w:t>
      </w:r>
      <w:r w:rsidRPr="009F00CB">
        <w:rPr>
          <w:vertAlign w:val="subscript"/>
        </w:rPr>
        <w:t>2</w:t>
      </w:r>
      <w:r>
        <w:t xml:space="preserve"> u okoliš</w:t>
      </w:r>
    </w:p>
    <w:p w14:paraId="71D85D1B" w14:textId="17C505B6" w:rsidR="00CA368F" w:rsidRDefault="00CA368F" w:rsidP="00F950C3">
      <w:pPr>
        <w:pStyle w:val="ListParagraph"/>
        <w:numPr>
          <w:ilvl w:val="0"/>
          <w:numId w:val="14"/>
        </w:numPr>
      </w:pPr>
      <w:r>
        <w:t>Smanjenje broja prometnih nesre</w:t>
      </w:r>
      <w:r w:rsidR="009F00CB">
        <w:t>ća na području VUPKA</w:t>
      </w:r>
    </w:p>
    <w:p w14:paraId="41095D83" w14:textId="564E2670" w:rsidR="00EF7ABA" w:rsidRDefault="007E2D89" w:rsidP="00F950C3">
      <w:pPr>
        <w:pStyle w:val="ListParagraph"/>
        <w:numPr>
          <w:ilvl w:val="0"/>
          <w:numId w:val="14"/>
        </w:numPr>
      </w:pPr>
      <w:r>
        <w:t>Unapr</w:t>
      </w:r>
      <w:r w:rsidR="00EF7ABA">
        <w:t>jeđenje pješačkog i biciklističkog prometa (dužina biciklističke / pješačke infrastrukture)</w:t>
      </w:r>
    </w:p>
    <w:p w14:paraId="673D6A1A" w14:textId="77777777" w:rsidR="00BE00A1" w:rsidRDefault="00BE00A1">
      <w:pPr>
        <w:jc w:val="left"/>
      </w:pPr>
    </w:p>
    <w:tbl>
      <w:tblPr>
        <w:tblStyle w:val="TableGrid"/>
        <w:tblW w:w="9288" w:type="dxa"/>
        <w:tblLook w:val="04A0" w:firstRow="1" w:lastRow="0" w:firstColumn="1" w:lastColumn="0" w:noHBand="0" w:noVBand="1"/>
      </w:tblPr>
      <w:tblGrid>
        <w:gridCol w:w="9288"/>
      </w:tblGrid>
      <w:tr w:rsidR="00BE00A1" w:rsidRPr="0016658B" w14:paraId="4867D4A6" w14:textId="77777777" w:rsidTr="00BE00A1">
        <w:tc>
          <w:tcPr>
            <w:tcW w:w="9288" w:type="dxa"/>
            <w:shd w:val="clear" w:color="auto" w:fill="F2DBDB" w:themeFill="accent2" w:themeFillTint="33"/>
          </w:tcPr>
          <w:p w14:paraId="6EB59D7E" w14:textId="2B96EE7E" w:rsidR="00BE00A1" w:rsidRPr="0016658B" w:rsidRDefault="00BE00A1" w:rsidP="00BE00A1">
            <w:pPr>
              <w:rPr>
                <w:b/>
                <w:color w:val="C0504D" w:themeColor="accent2"/>
              </w:rPr>
            </w:pPr>
            <w:r>
              <w:rPr>
                <w:b/>
                <w:noProof/>
                <w:color w:val="C0504D" w:themeColor="accent2"/>
              </w:rPr>
              <w:t>SC</w:t>
            </w:r>
            <w:r w:rsidRPr="0016658B">
              <w:rPr>
                <w:b/>
                <w:noProof/>
                <w:color w:val="C0504D" w:themeColor="accent2"/>
              </w:rPr>
              <w:t xml:space="preserve">2. </w:t>
            </w:r>
            <w:r w:rsidR="007E2D89">
              <w:rPr>
                <w:b/>
                <w:noProof/>
                <w:color w:val="C0504D" w:themeColor="accent2"/>
              </w:rPr>
              <w:t>P3 Unapr</w:t>
            </w:r>
            <w:r>
              <w:rPr>
                <w:b/>
                <w:noProof/>
                <w:color w:val="C0504D" w:themeColor="accent2"/>
              </w:rPr>
              <w:t>jeđenje vodne i komunalne infrastrukture</w:t>
            </w:r>
          </w:p>
        </w:tc>
      </w:tr>
    </w:tbl>
    <w:p w14:paraId="110985CF" w14:textId="0731A715" w:rsidR="009F00CB" w:rsidRDefault="009F00CB" w:rsidP="009F00CB">
      <w:r>
        <w:t>Ovaj prioritet ima za cilj omogućiti bolje upravljanje vodama, otpadnim vodama i krutim otpadom, a provodi se kroz 3 mjere:</w:t>
      </w:r>
    </w:p>
    <w:p w14:paraId="2715CC1A" w14:textId="77777777" w:rsidR="004D6507" w:rsidRDefault="00141615" w:rsidP="009F00CB">
      <w:pPr>
        <w:rPr>
          <w:b/>
          <w:color w:val="943634" w:themeColor="accent2" w:themeShade="BF"/>
        </w:rPr>
      </w:pPr>
      <w:r w:rsidRPr="00141615">
        <w:rPr>
          <w:b/>
          <w:color w:val="943634" w:themeColor="accent2" w:themeShade="BF"/>
        </w:rPr>
        <w:t xml:space="preserve">Mjera SC2. </w:t>
      </w:r>
      <w:r w:rsidR="009F00CB" w:rsidRPr="00141615">
        <w:rPr>
          <w:b/>
          <w:color w:val="943634" w:themeColor="accent2" w:themeShade="BF"/>
        </w:rPr>
        <w:t>P3.1 V</w:t>
      </w:r>
      <w:r w:rsidR="004D6507">
        <w:rPr>
          <w:b/>
          <w:color w:val="943634" w:themeColor="accent2" w:themeShade="BF"/>
        </w:rPr>
        <w:t>eliki projekti:</w:t>
      </w:r>
    </w:p>
    <w:p w14:paraId="6372C915" w14:textId="08E2BC87" w:rsidR="004D6507" w:rsidRPr="008E2FDA" w:rsidRDefault="004D6507" w:rsidP="004D6507">
      <w:pPr>
        <w:pStyle w:val="tabletxt"/>
        <w:numPr>
          <w:ilvl w:val="0"/>
          <w:numId w:val="11"/>
        </w:numPr>
        <w:ind w:left="357" w:hanging="357"/>
        <w:rPr>
          <w:sz w:val="20"/>
        </w:rPr>
      </w:pPr>
      <w:r>
        <w:rPr>
          <w:sz w:val="20"/>
        </w:rPr>
        <w:t>Aglomeracija Karlovac  - Duga Resa (Karlovac II)</w:t>
      </w:r>
    </w:p>
    <w:p w14:paraId="43AF5E64" w14:textId="04C5827A" w:rsidR="004D6507" w:rsidRDefault="00D575A6" w:rsidP="009F00CB">
      <w:r>
        <w:rPr>
          <w:b/>
          <w:color w:val="943634" w:themeColor="accent2" w:themeShade="BF"/>
        </w:rPr>
        <w:t xml:space="preserve">Mjera SC2. </w:t>
      </w:r>
      <w:r w:rsidR="00141615" w:rsidRPr="00141615">
        <w:rPr>
          <w:b/>
          <w:color w:val="943634" w:themeColor="accent2" w:themeShade="BF"/>
        </w:rPr>
        <w:t>P3.2 Vodno gospodarstvo i upravljanje vodnim resursima</w:t>
      </w:r>
      <w:r w:rsidR="00141615">
        <w:t xml:space="preserve"> </w:t>
      </w:r>
      <w:r w:rsidR="004D6507">
        <w:t>– tipologija projekata:</w:t>
      </w:r>
    </w:p>
    <w:p w14:paraId="5724571C" w14:textId="64961D61" w:rsidR="004D6507" w:rsidRPr="00D575A6" w:rsidRDefault="004D6507" w:rsidP="00EC1C17">
      <w:pPr>
        <w:pStyle w:val="ListParagraph"/>
        <w:numPr>
          <w:ilvl w:val="0"/>
          <w:numId w:val="37"/>
        </w:numPr>
        <w:rPr>
          <w:rFonts w:eastAsia="Times New Roman" w:cs="Times New Roman"/>
          <w:sz w:val="20"/>
          <w:szCs w:val="20"/>
          <w:lang w:eastAsia="en-GB"/>
        </w:rPr>
      </w:pPr>
      <w:r w:rsidRPr="00D575A6">
        <w:rPr>
          <w:rFonts w:eastAsia="Times New Roman" w:cs="Times New Roman"/>
          <w:sz w:val="20"/>
          <w:szCs w:val="20"/>
          <w:lang w:eastAsia="en-GB"/>
        </w:rPr>
        <w:t xml:space="preserve">Obnova </w:t>
      </w:r>
      <w:r w:rsidR="00D575A6" w:rsidRPr="00D575A6">
        <w:rPr>
          <w:rFonts w:eastAsia="Times New Roman" w:cs="Times New Roman"/>
          <w:sz w:val="20"/>
          <w:szCs w:val="20"/>
          <w:lang w:eastAsia="en-GB"/>
        </w:rPr>
        <w:t xml:space="preserve">i nadogradnja </w:t>
      </w:r>
      <w:r w:rsidRPr="00D575A6">
        <w:rPr>
          <w:rFonts w:eastAsia="Times New Roman" w:cs="Times New Roman"/>
          <w:sz w:val="20"/>
          <w:szCs w:val="20"/>
          <w:lang w:eastAsia="en-GB"/>
        </w:rPr>
        <w:t>vodoopskrbne mreže u naseljima VUPKA</w:t>
      </w:r>
      <w:r w:rsidR="00D575A6" w:rsidRPr="00D575A6">
        <w:rPr>
          <w:rFonts w:eastAsia="Times New Roman" w:cs="Times New Roman"/>
          <w:sz w:val="20"/>
          <w:szCs w:val="20"/>
          <w:lang w:eastAsia="en-GB"/>
        </w:rPr>
        <w:t xml:space="preserve"> </w:t>
      </w:r>
    </w:p>
    <w:p w14:paraId="2DDD728E" w14:textId="790B1E1E" w:rsidR="004D6507" w:rsidRPr="00D575A6" w:rsidRDefault="00D575A6" w:rsidP="00EC1C17">
      <w:pPr>
        <w:pStyle w:val="ListParagraph"/>
        <w:numPr>
          <w:ilvl w:val="0"/>
          <w:numId w:val="37"/>
        </w:numPr>
        <w:rPr>
          <w:rFonts w:eastAsia="Times New Roman" w:cs="Times New Roman"/>
          <w:sz w:val="20"/>
          <w:szCs w:val="20"/>
          <w:lang w:eastAsia="en-GB"/>
        </w:rPr>
      </w:pPr>
      <w:r w:rsidRPr="00D575A6">
        <w:rPr>
          <w:rFonts w:eastAsia="Times New Roman" w:cs="Times New Roman"/>
          <w:sz w:val="20"/>
          <w:szCs w:val="20"/>
          <w:lang w:eastAsia="en-GB"/>
        </w:rPr>
        <w:t>Sanitarna odvodnja naselja VUPKA</w:t>
      </w:r>
    </w:p>
    <w:p w14:paraId="50E0B8AF" w14:textId="1D5A448B" w:rsidR="00141615" w:rsidRPr="00D575A6" w:rsidRDefault="00D575A6" w:rsidP="00EC1C17">
      <w:pPr>
        <w:pStyle w:val="ListParagraph"/>
        <w:numPr>
          <w:ilvl w:val="0"/>
          <w:numId w:val="37"/>
        </w:numPr>
        <w:rPr>
          <w:rFonts w:eastAsia="Times New Roman" w:cs="Times New Roman"/>
          <w:sz w:val="20"/>
          <w:szCs w:val="20"/>
          <w:lang w:eastAsia="en-GB"/>
        </w:rPr>
      </w:pPr>
      <w:r w:rsidRPr="00D575A6">
        <w:rPr>
          <w:rFonts w:eastAsia="Times New Roman" w:cs="Times New Roman"/>
          <w:sz w:val="20"/>
          <w:szCs w:val="20"/>
          <w:lang w:eastAsia="en-GB"/>
        </w:rPr>
        <w:lastRenderedPageBreak/>
        <w:t>Projekti</w:t>
      </w:r>
      <w:r w:rsidR="00141615" w:rsidRPr="00D575A6">
        <w:rPr>
          <w:rFonts w:eastAsia="Times New Roman" w:cs="Times New Roman"/>
          <w:sz w:val="20"/>
          <w:szCs w:val="20"/>
          <w:lang w:eastAsia="en-GB"/>
        </w:rPr>
        <w:t xml:space="preserve"> zaštite od nepovoljnog utjecaja voda</w:t>
      </w:r>
    </w:p>
    <w:p w14:paraId="6015E333" w14:textId="1D4B5E51" w:rsidR="00141615" w:rsidRDefault="00D575A6" w:rsidP="009F00CB">
      <w:r>
        <w:rPr>
          <w:b/>
          <w:color w:val="943634" w:themeColor="accent2" w:themeShade="BF"/>
        </w:rPr>
        <w:t xml:space="preserve">Mjera SC2. </w:t>
      </w:r>
      <w:r w:rsidR="00141615" w:rsidRPr="00141615">
        <w:rPr>
          <w:b/>
          <w:color w:val="943634" w:themeColor="accent2" w:themeShade="BF"/>
        </w:rPr>
        <w:t>P3.3 Gospodarenje otpadom</w:t>
      </w:r>
      <w:r w:rsidR="00141615">
        <w:t xml:space="preserve"> obuhvaća projekte kao što su nabava spremnika za odvojeno prikupljanje otpada i organizacijska poboljšanja sustava, izgradnju sortirnice i kompostane te uspostavu reciklažnih dvorišta.</w:t>
      </w:r>
    </w:p>
    <w:p w14:paraId="60690B80" w14:textId="77777777" w:rsidR="00141615" w:rsidRDefault="00141615" w:rsidP="00141615">
      <w:r w:rsidRPr="00F8450E">
        <w:rPr>
          <w:i/>
        </w:rPr>
        <w:t>Pokazatelji ishoda SC2.</w:t>
      </w:r>
      <w:r>
        <w:rPr>
          <w:i/>
        </w:rPr>
        <w:t xml:space="preserve"> </w:t>
      </w:r>
      <w:r w:rsidRPr="00F8450E">
        <w:rPr>
          <w:i/>
        </w:rPr>
        <w:t>P</w:t>
      </w:r>
      <w:r>
        <w:rPr>
          <w:i/>
        </w:rPr>
        <w:t>2</w:t>
      </w:r>
      <w:r>
        <w:t>:</w:t>
      </w:r>
    </w:p>
    <w:p w14:paraId="38EB1F8B" w14:textId="5BC2CEB4" w:rsidR="00141615" w:rsidRDefault="00141615" w:rsidP="00F950C3">
      <w:pPr>
        <w:pStyle w:val="ListParagraph"/>
        <w:numPr>
          <w:ilvl w:val="0"/>
          <w:numId w:val="14"/>
        </w:numPr>
      </w:pPr>
      <w:r>
        <w:t>Smanjenje gubitaka u vodoopskrbnoj mreži</w:t>
      </w:r>
    </w:p>
    <w:p w14:paraId="2F25DC82" w14:textId="7AFAE894" w:rsidR="00141615" w:rsidRDefault="00141615" w:rsidP="00F950C3">
      <w:pPr>
        <w:pStyle w:val="ListParagraph"/>
        <w:numPr>
          <w:ilvl w:val="0"/>
          <w:numId w:val="14"/>
        </w:numPr>
      </w:pPr>
      <w:r>
        <w:t>Povećanje udjela stanovnika priključenih na sustave odvodnje</w:t>
      </w:r>
    </w:p>
    <w:p w14:paraId="5A8925DE" w14:textId="1096E362" w:rsidR="00141615" w:rsidRDefault="00141615" w:rsidP="00F950C3">
      <w:pPr>
        <w:pStyle w:val="ListParagraph"/>
        <w:numPr>
          <w:ilvl w:val="0"/>
          <w:numId w:val="14"/>
        </w:numPr>
      </w:pPr>
      <w:r>
        <w:t>Povećanje udjela recikliranog otpada na području VUPKA</w:t>
      </w:r>
    </w:p>
    <w:p w14:paraId="7C78DFF2" w14:textId="77777777" w:rsidR="009F00CB" w:rsidRDefault="009F00CB">
      <w:pPr>
        <w:jc w:val="left"/>
      </w:pPr>
    </w:p>
    <w:p w14:paraId="30E275AC" w14:textId="5FE15C8A" w:rsidR="00B844EC" w:rsidRPr="00FE140B" w:rsidRDefault="00141615" w:rsidP="00B844EC">
      <w:pPr>
        <w:rPr>
          <w:color w:val="31849B" w:themeColor="accent5" w:themeShade="BF"/>
        </w:rPr>
      </w:pPr>
      <w:r>
        <w:rPr>
          <w:color w:val="31849B" w:themeColor="accent5" w:themeShade="BF"/>
        </w:rPr>
        <w:t>Kroz prioritete trećeg specifičnog cilja teži se potaknuti d</w:t>
      </w:r>
      <w:r w:rsidR="007E2D89">
        <w:rPr>
          <w:color w:val="31849B" w:themeColor="accent5" w:themeShade="BF"/>
        </w:rPr>
        <w:t>inamičan gospodarski razvoj</w:t>
      </w:r>
      <w:r w:rsidRPr="00141615">
        <w:rPr>
          <w:color w:val="31849B" w:themeColor="accent5" w:themeShade="BF"/>
        </w:rPr>
        <w:t xml:space="preserve"> </w:t>
      </w:r>
      <w:r w:rsidR="00FE140B">
        <w:rPr>
          <w:color w:val="31849B" w:themeColor="accent5" w:themeShade="BF"/>
        </w:rPr>
        <w:t>kroz in</w:t>
      </w:r>
      <w:r w:rsidR="000A42BF">
        <w:rPr>
          <w:color w:val="31849B" w:themeColor="accent5" w:themeShade="BF"/>
        </w:rPr>
        <w:t>t</w:t>
      </w:r>
      <w:r w:rsidR="00FE140B">
        <w:rPr>
          <w:color w:val="31849B" w:themeColor="accent5" w:themeShade="BF"/>
        </w:rPr>
        <w:t>enziviranje</w:t>
      </w:r>
      <w:r w:rsidRPr="00141615">
        <w:rPr>
          <w:color w:val="31849B" w:themeColor="accent5" w:themeShade="BF"/>
        </w:rPr>
        <w:t xml:space="preserve"> djelatnosti vi</w:t>
      </w:r>
      <w:r w:rsidR="00FE140B">
        <w:rPr>
          <w:color w:val="31849B" w:themeColor="accent5" w:themeShade="BF"/>
        </w:rPr>
        <w:t>še tehnološke razine i izgradnju</w:t>
      </w:r>
      <w:r w:rsidRPr="00141615">
        <w:rPr>
          <w:color w:val="31849B" w:themeColor="accent5" w:themeShade="BF"/>
        </w:rPr>
        <w:t xml:space="preserve"> kapaciteta </w:t>
      </w:r>
      <w:r w:rsidR="00B34B02">
        <w:rPr>
          <w:color w:val="31849B" w:themeColor="accent5" w:themeShade="BF"/>
        </w:rPr>
        <w:t xml:space="preserve">za </w:t>
      </w:r>
      <w:r w:rsidR="00B34B02" w:rsidRPr="00B34B02">
        <w:rPr>
          <w:color w:val="31849B" w:themeColor="accent5" w:themeShade="BF"/>
        </w:rPr>
        <w:t>inovacije, pametnu specijalizaciju, industrijsku tranziciju i poduzetništvo</w:t>
      </w:r>
      <w:r w:rsidRPr="00141615">
        <w:rPr>
          <w:color w:val="31849B" w:themeColor="accent5" w:themeShade="BF"/>
        </w:rPr>
        <w:t>.</w:t>
      </w:r>
    </w:p>
    <w:tbl>
      <w:tblPr>
        <w:tblStyle w:val="TableGrid"/>
        <w:tblW w:w="0" w:type="auto"/>
        <w:tblLook w:val="04A0" w:firstRow="1" w:lastRow="0" w:firstColumn="1" w:lastColumn="0" w:noHBand="0" w:noVBand="1"/>
      </w:tblPr>
      <w:tblGrid>
        <w:gridCol w:w="9288"/>
      </w:tblGrid>
      <w:tr w:rsidR="00D26096" w:rsidRPr="00A27C03" w14:paraId="211357AD" w14:textId="77777777" w:rsidTr="00D26096">
        <w:tc>
          <w:tcPr>
            <w:tcW w:w="9288" w:type="dxa"/>
            <w:shd w:val="clear" w:color="auto" w:fill="DAEEF3" w:themeFill="accent5" w:themeFillTint="33"/>
          </w:tcPr>
          <w:p w14:paraId="7EB92D7F" w14:textId="5C259317" w:rsidR="00D26096" w:rsidRPr="00A27C03" w:rsidRDefault="00141615" w:rsidP="00FE140B">
            <w:pPr>
              <w:jc w:val="left"/>
              <w:rPr>
                <w:b/>
                <w:noProof/>
                <w:color w:val="215868" w:themeColor="accent5" w:themeShade="80"/>
              </w:rPr>
            </w:pPr>
            <w:r>
              <w:rPr>
                <w:b/>
                <w:noProof/>
                <w:color w:val="215868" w:themeColor="accent5" w:themeShade="80"/>
              </w:rPr>
              <w:t>SC</w:t>
            </w:r>
            <w:r w:rsidR="00D26096" w:rsidRPr="00A27C03">
              <w:rPr>
                <w:b/>
                <w:noProof/>
                <w:color w:val="215868" w:themeColor="accent5" w:themeShade="80"/>
              </w:rPr>
              <w:t xml:space="preserve">3. </w:t>
            </w:r>
            <w:r w:rsidR="00FE140B">
              <w:rPr>
                <w:b/>
                <w:color w:val="215868" w:themeColor="accent5" w:themeShade="80"/>
              </w:rPr>
              <w:t>P1 Podrška malom i srednjem poduzetništvu</w:t>
            </w:r>
          </w:p>
        </w:tc>
      </w:tr>
    </w:tbl>
    <w:p w14:paraId="0F6CF7C1" w14:textId="443E8216" w:rsidR="00A94608" w:rsidRDefault="0005780D" w:rsidP="00FE140B">
      <w:r>
        <w:t>Ovaj prioritet ima za cilj unaprijediti</w:t>
      </w:r>
      <w:r w:rsidR="00FE140B" w:rsidRPr="00FE140B">
        <w:t xml:space="preserve"> </w:t>
      </w:r>
      <w:r w:rsidR="008C4C40">
        <w:t>regionalnu konkurentnost</w:t>
      </w:r>
      <w:r>
        <w:t xml:space="preserve"> </w:t>
      </w:r>
      <w:r w:rsidR="008C4C40" w:rsidRPr="00FE140B">
        <w:t>i dodanu vrijednost lokalnih ekonomskih aktivnosti</w:t>
      </w:r>
      <w:r w:rsidR="008C4C40">
        <w:t>, odnosno povećati</w:t>
      </w:r>
      <w:r>
        <w:t xml:space="preserve"> sposobnost </w:t>
      </w:r>
      <w:r w:rsidR="008C4C40">
        <w:t>malih i srednjih poduzeća (MSP) VUPKA da (su)kreiraju atraktivno i održivo okruženje</w:t>
      </w:r>
      <w:r>
        <w:t xml:space="preserve"> za poslovanje i življenje. </w:t>
      </w:r>
      <w:r w:rsidR="00A94608">
        <w:t xml:space="preserve">Pri tome, prioritet se koncentrira na </w:t>
      </w:r>
      <w:r w:rsidR="00C42AFB">
        <w:t>stupove</w:t>
      </w:r>
      <w:r w:rsidR="00A94608">
        <w:t xml:space="preserve"> produktivnosti (konkurentnosti)</w:t>
      </w:r>
      <w:r w:rsidR="006E54C5">
        <w:t xml:space="preserve"> poslovnog sektora</w:t>
      </w:r>
      <w:r w:rsidR="00A94608">
        <w:t xml:space="preserve"> u kojima, sukladno nacionalnoj metodologiji, regija najviše zaostaje za republičkim prosjekom</w:t>
      </w:r>
      <w:r w:rsidR="00A94608">
        <w:rPr>
          <w:rStyle w:val="FootnoteReference"/>
        </w:rPr>
        <w:footnoteReference w:id="31"/>
      </w:r>
      <w:r w:rsidR="00A94608">
        <w:t xml:space="preserve">, </w:t>
      </w:r>
      <w:r w:rsidR="00C42AFB">
        <w:t>odnosno teži povećati dinamiku i razinu ekonomskih rezultata, ukupnu razinu tehnološke razvijenosti i razvoj proizvodnih klastera</w:t>
      </w:r>
      <w:r w:rsidR="00A94608">
        <w:t xml:space="preserve">. </w:t>
      </w:r>
    </w:p>
    <w:p w14:paraId="297096E8" w14:textId="3A20EAA5" w:rsidR="009706AF" w:rsidRPr="0078131F" w:rsidRDefault="00C42AFB" w:rsidP="00FE140B">
      <w:r>
        <w:t xml:space="preserve">Prioritet se provodi kroz dvije </w:t>
      </w:r>
      <w:r w:rsidR="0078131F">
        <w:t xml:space="preserve">komplementarne </w:t>
      </w:r>
      <w:r>
        <w:t>mjere</w:t>
      </w:r>
      <w:r w:rsidR="0078131F">
        <w:t xml:space="preserve">, pri čemu se prva odnosi primarno na projekte javnog sektora, dok druga cilja primarno na mala i srednja poduzeća. No, unatoč ovoj podjeli, slično kao kod prethodnih prioriteta (posebice SC1. P2), moguće je i poželjno </w:t>
      </w:r>
      <w:r w:rsidR="0078131F" w:rsidRPr="000A6768">
        <w:rPr>
          <w:b/>
        </w:rPr>
        <w:t>integrirano financiranje projekata</w:t>
      </w:r>
      <w:r w:rsidR="0078131F">
        <w:t xml:space="preserve"> </w:t>
      </w:r>
      <w:r w:rsidR="0078131F" w:rsidRPr="00F8450E">
        <w:rPr>
          <w:b/>
        </w:rPr>
        <w:t>iz više od jedne mjere</w:t>
      </w:r>
      <w:r w:rsidR="0078131F">
        <w:rPr>
          <w:b/>
        </w:rPr>
        <w:t xml:space="preserve">, ovisno o sektorskom fokusu </w:t>
      </w:r>
      <w:r w:rsidR="0078131F" w:rsidRPr="0078131F">
        <w:t>(npr. izgradnja inkubatora za kreativne industrije u kombinaciji sa shemom potpora za start-upove u kreativnim industrijama).</w:t>
      </w:r>
    </w:p>
    <w:p w14:paraId="1F9A9119" w14:textId="405B05B2" w:rsidR="0078131F" w:rsidRPr="0078131F" w:rsidRDefault="00170CEB" w:rsidP="0078131F">
      <w:pPr>
        <w:rPr>
          <w:lang w:val="ta-IN"/>
        </w:rPr>
      </w:pPr>
      <w:r w:rsidRPr="000E593F">
        <w:rPr>
          <w:b/>
          <w:color w:val="31849B" w:themeColor="accent5" w:themeShade="BF"/>
        </w:rPr>
        <w:t xml:space="preserve">Mjera SC3. P1.1 </w:t>
      </w:r>
      <w:r w:rsidRPr="000E593F">
        <w:rPr>
          <w:b/>
          <w:color w:val="31849B" w:themeColor="accent5" w:themeShade="BF"/>
          <w:lang w:val="ta-IN"/>
        </w:rPr>
        <w:t>Ulaganja u infrastrukturu i kapacitete za potporu poduzetništvu</w:t>
      </w:r>
      <w:r w:rsidR="0078131F">
        <w:rPr>
          <w:lang w:val="ta-IN"/>
        </w:rPr>
        <w:t xml:space="preserve"> tiče se projekata usmjerenih na </w:t>
      </w:r>
      <w:r w:rsidR="0078131F">
        <w:t>pripremu</w:t>
      </w:r>
      <w:r w:rsidR="007E2D89">
        <w:t xml:space="preserve"> dokumentacije i izgradnju</w:t>
      </w:r>
      <w:r w:rsidR="0078131F">
        <w:t xml:space="preserve">/dogradnju poslovnih </w:t>
      </w:r>
      <w:r w:rsidR="0078131F" w:rsidRPr="00A27C03">
        <w:t xml:space="preserve">zona, inovacijskih centara, inkubatora </w:t>
      </w:r>
      <w:r w:rsidR="0078131F">
        <w:t>te aktivnosti za</w:t>
      </w:r>
      <w:r w:rsidR="0078131F" w:rsidRPr="00A27C03">
        <w:t xml:space="preserve"> jačanje </w:t>
      </w:r>
      <w:r w:rsidR="0078131F">
        <w:t>poduzetničkih potpornih institucija (</w:t>
      </w:r>
      <w:r w:rsidR="0078131F" w:rsidRPr="00A27C03">
        <w:t>PPI-jeva</w:t>
      </w:r>
      <w:r w:rsidR="0078131F">
        <w:t>)</w:t>
      </w:r>
      <w:r w:rsidR="00322CC3">
        <w:t xml:space="preserve"> i usluga koje se pružaju poduzetnicima</w:t>
      </w:r>
      <w:r w:rsidR="0078131F">
        <w:t>.</w:t>
      </w:r>
    </w:p>
    <w:p w14:paraId="6D917D6E" w14:textId="2293A9D1" w:rsidR="000E593F" w:rsidRPr="00322CC3" w:rsidRDefault="000E593F" w:rsidP="00322CC3">
      <w:r w:rsidRPr="00322CC3">
        <w:rPr>
          <w:b/>
          <w:color w:val="31849B" w:themeColor="accent5" w:themeShade="BF"/>
        </w:rPr>
        <w:t>Mjera SC3. P1.2 Programi potpore MSP-jevima</w:t>
      </w:r>
      <w:r>
        <w:t xml:space="preserve"> </w:t>
      </w:r>
      <w:r w:rsidR="007E2D89">
        <w:t>odnose</w:t>
      </w:r>
      <w:r>
        <w:t xml:space="preserve"> se </w:t>
      </w:r>
      <w:r w:rsidR="007E2D89">
        <w:t>na programe</w:t>
      </w:r>
      <w:r>
        <w:t xml:space="preserve"> državnih potpora (ili </w:t>
      </w:r>
      <w:r w:rsidRPr="007E2D89">
        <w:rPr>
          <w:i/>
        </w:rPr>
        <w:t>deminimis</w:t>
      </w:r>
      <w:r>
        <w:t xml:space="preserve"> potpora) poduzetnicima na području VUPKA. Programi mogu biti sektorski </w:t>
      </w:r>
      <w:r w:rsidR="00322CC3">
        <w:t xml:space="preserve">ili horizontalno </w:t>
      </w:r>
      <w:r>
        <w:t>usmjereni (</w:t>
      </w:r>
      <w:r w:rsidR="00322CC3">
        <w:t>npr. potpore za razvoj i primjenu IKT, potpore za obrazovanje, potpore za razvoj inovacija, dostupnosti usluga istraživanja i razvoja te suradnje gospodarstva i znanstveno obrazovnih institucija i sl.)</w:t>
      </w:r>
    </w:p>
    <w:p w14:paraId="7312B9CE" w14:textId="58B48C02" w:rsidR="000E593F" w:rsidRDefault="000E593F" w:rsidP="000E593F">
      <w:r>
        <w:rPr>
          <w:i/>
        </w:rPr>
        <w:t>Primjeri projekata SC3</w:t>
      </w:r>
      <w:r w:rsidRPr="0075496A">
        <w:rPr>
          <w:i/>
        </w:rPr>
        <w:t>. P</w:t>
      </w:r>
      <w:r>
        <w:rPr>
          <w:i/>
        </w:rPr>
        <w:t>1</w:t>
      </w:r>
      <w:r>
        <w:t xml:space="preserve"> iz inicijalne baze </w:t>
      </w:r>
      <w:r w:rsidR="00B55150">
        <w:t>SRVUPKA</w:t>
      </w:r>
      <w:r>
        <w:t xml:space="preserve"> koji su spremni za provedbu </w:t>
      </w:r>
      <w:r w:rsidR="00133D22">
        <w:t>(kategorija I, ishođene dozvole</w:t>
      </w:r>
      <w:r>
        <w:t>):</w:t>
      </w:r>
    </w:p>
    <w:p w14:paraId="4A9E0BAC" w14:textId="576F1E54" w:rsidR="00133D22" w:rsidRPr="008E2FDA" w:rsidRDefault="00444F9D" w:rsidP="00F950C3">
      <w:pPr>
        <w:pStyle w:val="tabletxt"/>
        <w:numPr>
          <w:ilvl w:val="0"/>
          <w:numId w:val="9"/>
        </w:numPr>
        <w:ind w:left="357" w:hanging="357"/>
        <w:rPr>
          <w:sz w:val="20"/>
        </w:rPr>
      </w:pPr>
      <w:r>
        <w:rPr>
          <w:sz w:val="20"/>
        </w:rPr>
        <w:t>Nastavak gradnje Zone</w:t>
      </w:r>
      <w:r w:rsidR="00133D22" w:rsidRPr="008E2FDA">
        <w:rPr>
          <w:sz w:val="20"/>
        </w:rPr>
        <w:t xml:space="preserve"> Lug u Ozlju </w:t>
      </w:r>
      <w:r>
        <w:rPr>
          <w:sz w:val="20"/>
        </w:rPr>
        <w:t>uz pristupnu cestu gospodarskoj zoni</w:t>
      </w:r>
    </w:p>
    <w:p w14:paraId="135A3E6B" w14:textId="4652CEA6" w:rsidR="00322CC3" w:rsidRPr="008E2FDA" w:rsidRDefault="007E2D89" w:rsidP="00F950C3">
      <w:pPr>
        <w:pStyle w:val="tabletxt"/>
        <w:numPr>
          <w:ilvl w:val="0"/>
          <w:numId w:val="9"/>
        </w:numPr>
        <w:ind w:left="357" w:hanging="357"/>
        <w:rPr>
          <w:sz w:val="20"/>
        </w:rPr>
      </w:pPr>
      <w:r>
        <w:rPr>
          <w:sz w:val="20"/>
        </w:rPr>
        <w:t>Zone Šek</w:t>
      </w:r>
      <w:r w:rsidR="00322CC3" w:rsidRPr="008E2FDA">
        <w:rPr>
          <w:sz w:val="20"/>
        </w:rPr>
        <w:t xml:space="preserve">etino Brdo i Gornje Mrzlo polje u Dugoj Resi </w:t>
      </w:r>
    </w:p>
    <w:p w14:paraId="02796AA4" w14:textId="5210CDA6" w:rsidR="00322CC3" w:rsidRPr="00322CC3" w:rsidRDefault="00322CC3" w:rsidP="00322CC3">
      <w:pPr>
        <w:rPr>
          <w:i/>
        </w:rPr>
      </w:pPr>
      <w:r w:rsidRPr="00322CC3">
        <w:rPr>
          <w:i/>
        </w:rPr>
        <w:lastRenderedPageBreak/>
        <w:t>Pokazatelji ishoda SC</w:t>
      </w:r>
      <w:r>
        <w:rPr>
          <w:i/>
        </w:rPr>
        <w:t>3</w:t>
      </w:r>
      <w:r w:rsidRPr="00322CC3">
        <w:rPr>
          <w:i/>
        </w:rPr>
        <w:t>. P</w:t>
      </w:r>
      <w:r>
        <w:rPr>
          <w:i/>
        </w:rPr>
        <w:t>1</w:t>
      </w:r>
      <w:r w:rsidRPr="00322CC3">
        <w:rPr>
          <w:i/>
        </w:rPr>
        <w:t>:</w:t>
      </w:r>
    </w:p>
    <w:p w14:paraId="4029E880" w14:textId="65E179C1" w:rsidR="0078131F" w:rsidRDefault="00322CC3" w:rsidP="00F950C3">
      <w:pPr>
        <w:pStyle w:val="ListParagraph"/>
        <w:numPr>
          <w:ilvl w:val="0"/>
          <w:numId w:val="15"/>
        </w:numPr>
      </w:pPr>
      <w:r>
        <w:t>Broj aktivnih pravnih osoba, trgovačkih društava, poduzeća i zadruga, obrta i slobodnih zanimanja (te broj vlasnika i zaposlenih u njima)</w:t>
      </w:r>
    </w:p>
    <w:p w14:paraId="5B444A41" w14:textId="6C601F7A" w:rsidR="00322CC3" w:rsidRDefault="00322CC3" w:rsidP="00F950C3">
      <w:pPr>
        <w:pStyle w:val="ListParagraph"/>
        <w:numPr>
          <w:ilvl w:val="0"/>
          <w:numId w:val="15"/>
        </w:numPr>
      </w:pPr>
      <w:r>
        <w:t>Ukupne investicij</w:t>
      </w:r>
      <w:r w:rsidR="000A42BF">
        <w:t>e i/ili investicije u prerađivač</w:t>
      </w:r>
      <w:r>
        <w:t>ku industriju, opremu, stambenu gradnju, izravna vlasnička ulaganja</w:t>
      </w:r>
    </w:p>
    <w:p w14:paraId="5CCDAE20" w14:textId="1B8CA7E1" w:rsidR="00322CC3" w:rsidRDefault="007E2D89" w:rsidP="00F950C3">
      <w:pPr>
        <w:pStyle w:val="ListParagraph"/>
        <w:numPr>
          <w:ilvl w:val="0"/>
          <w:numId w:val="15"/>
        </w:numPr>
      </w:pPr>
      <w:r>
        <w:t>Podaci o poslovanju MSP-</w:t>
      </w:r>
      <w:r w:rsidR="00322CC3">
        <w:t>a (promet, dobit, gubitak)</w:t>
      </w:r>
    </w:p>
    <w:p w14:paraId="23175CFF" w14:textId="7E2FBF44" w:rsidR="006E54C5" w:rsidRDefault="00322CC3" w:rsidP="00F950C3">
      <w:pPr>
        <w:pStyle w:val="ListParagraph"/>
        <w:numPr>
          <w:ilvl w:val="0"/>
          <w:numId w:val="15"/>
        </w:numPr>
      </w:pPr>
      <w:r>
        <w:t>Ulaganja u istraživanje i razvoj</w:t>
      </w:r>
    </w:p>
    <w:p w14:paraId="21CDDB03" w14:textId="77777777" w:rsidR="00141615" w:rsidRDefault="00141615">
      <w:pPr>
        <w:jc w:val="left"/>
      </w:pPr>
    </w:p>
    <w:tbl>
      <w:tblPr>
        <w:tblStyle w:val="TableGrid"/>
        <w:tblW w:w="0" w:type="auto"/>
        <w:tblLook w:val="04A0" w:firstRow="1" w:lastRow="0" w:firstColumn="1" w:lastColumn="0" w:noHBand="0" w:noVBand="1"/>
      </w:tblPr>
      <w:tblGrid>
        <w:gridCol w:w="9288"/>
      </w:tblGrid>
      <w:tr w:rsidR="00141615" w:rsidRPr="00A27C03" w14:paraId="42654269" w14:textId="77777777" w:rsidTr="00141615">
        <w:tc>
          <w:tcPr>
            <w:tcW w:w="9288" w:type="dxa"/>
            <w:shd w:val="clear" w:color="auto" w:fill="DAEEF3" w:themeFill="accent5" w:themeFillTint="33"/>
          </w:tcPr>
          <w:p w14:paraId="681D2D71" w14:textId="0070CFC6" w:rsidR="00141615" w:rsidRPr="00A27C03" w:rsidRDefault="00FE140B" w:rsidP="00234A0B">
            <w:pPr>
              <w:jc w:val="left"/>
              <w:rPr>
                <w:b/>
                <w:noProof/>
                <w:color w:val="215868" w:themeColor="accent5" w:themeShade="80"/>
              </w:rPr>
            </w:pPr>
            <w:r>
              <w:rPr>
                <w:b/>
                <w:noProof/>
                <w:color w:val="215868" w:themeColor="accent5" w:themeShade="80"/>
              </w:rPr>
              <w:t>SC</w:t>
            </w:r>
            <w:r w:rsidR="00141615" w:rsidRPr="00A27C03">
              <w:rPr>
                <w:b/>
                <w:noProof/>
                <w:color w:val="215868" w:themeColor="accent5" w:themeShade="80"/>
              </w:rPr>
              <w:t xml:space="preserve">3. </w:t>
            </w:r>
            <w:r>
              <w:rPr>
                <w:b/>
                <w:noProof/>
                <w:color w:val="215868" w:themeColor="accent5" w:themeShade="80"/>
              </w:rPr>
              <w:t xml:space="preserve">P2 </w:t>
            </w:r>
            <w:r w:rsidRPr="00FE140B">
              <w:rPr>
                <w:b/>
                <w:color w:val="215868" w:themeColor="accent5" w:themeShade="80"/>
              </w:rPr>
              <w:t xml:space="preserve">Razvoj vještina, </w:t>
            </w:r>
            <w:r w:rsidR="00234A0B">
              <w:rPr>
                <w:b/>
                <w:color w:val="215868" w:themeColor="accent5" w:themeShade="80"/>
              </w:rPr>
              <w:t>znanja i kapaciteta</w:t>
            </w:r>
            <w:r w:rsidRPr="00FE140B">
              <w:rPr>
                <w:b/>
                <w:color w:val="215868" w:themeColor="accent5" w:themeShade="80"/>
              </w:rPr>
              <w:t xml:space="preserve"> za </w:t>
            </w:r>
            <w:r w:rsidR="00B34B02">
              <w:rPr>
                <w:b/>
                <w:color w:val="215868" w:themeColor="accent5" w:themeShade="80"/>
              </w:rPr>
              <w:t>moderno gospodarstvo</w:t>
            </w:r>
          </w:p>
        </w:tc>
      </w:tr>
    </w:tbl>
    <w:p w14:paraId="1891049F" w14:textId="6FCA9672" w:rsidR="00FE140B" w:rsidRDefault="00A94608" w:rsidP="00FE140B">
      <w:r>
        <w:t>Ovaj prioritet bavi se drugim važnim stupom regionalne konkurentnosti</w:t>
      </w:r>
      <w:r w:rsidR="00234A0B">
        <w:t xml:space="preserve"> koji se tiče poslovnog okruženja</w:t>
      </w:r>
      <w:r>
        <w:t xml:space="preserve">, a to je </w:t>
      </w:r>
      <w:r w:rsidR="008D3175">
        <w:t>ljudski potencijal</w:t>
      </w:r>
      <w:r w:rsidR="00234A0B">
        <w:t xml:space="preserve"> i</w:t>
      </w:r>
      <w:r w:rsidR="008D3175">
        <w:t xml:space="preserve"> </w:t>
      </w:r>
      <w:r w:rsidR="00234A0B">
        <w:t>obrazovanje za i na tržištu rada, pri čemu se u fokus stavlja upravljanje tehnološkom revolucijom i potreba za modernizacijom go</w:t>
      </w:r>
      <w:r w:rsidR="007E2D89">
        <w:t xml:space="preserve">spodarstva. Ovo znači jačanje  </w:t>
      </w:r>
      <w:r w:rsidR="00234A0B">
        <w:t xml:space="preserve">srednjoškolskog, strukovnog i visokog obrazovanja, kao i stvaranje </w:t>
      </w:r>
      <w:r w:rsidR="009A7848">
        <w:t>poveznica između obrazovno-</w:t>
      </w:r>
      <w:r w:rsidR="008D3175">
        <w:t xml:space="preserve">znanstvene zajednice </w:t>
      </w:r>
      <w:r w:rsidR="009A7848">
        <w:t>i</w:t>
      </w:r>
      <w:r w:rsidR="008D3175">
        <w:t xml:space="preserve"> poslovnog sektora</w:t>
      </w:r>
      <w:r w:rsidR="009A7848">
        <w:t>, jačanje istraživačkih i inovacijskih sposobnosti</w:t>
      </w:r>
      <w:r w:rsidR="008D3175">
        <w:t xml:space="preserve"> </w:t>
      </w:r>
      <w:r w:rsidR="009A7848">
        <w:t>te primjenu naprednih tehnologija.</w:t>
      </w:r>
    </w:p>
    <w:p w14:paraId="6AA67A1C" w14:textId="68ECC895" w:rsidR="00720F62" w:rsidRPr="00FE140B" w:rsidRDefault="00720F62" w:rsidP="00FE140B">
      <w:r>
        <w:t xml:space="preserve">Prioritet je organiziran u tri mjere, pri čemu je prva usmjerena na projekte čiji su pokretači obrazovne institucije </w:t>
      </w:r>
      <w:r w:rsidR="005D2FD1">
        <w:t>i ima izraženu infrastrukturnu komponentu (uključuje značajnije investicije u materijalnu imovinu). Druga mjera obuhvaća pretežito 'soft' aktivnosti, dok je treća specifično orjentirana na projekte uvođenja novih sustava i tehnologija.</w:t>
      </w:r>
      <w:r>
        <w:t xml:space="preserve"> </w:t>
      </w:r>
    </w:p>
    <w:p w14:paraId="468E0E0C" w14:textId="7C42958A" w:rsidR="00FE140B" w:rsidRDefault="009A7848" w:rsidP="009A7848">
      <w:r w:rsidRPr="009A7848">
        <w:rPr>
          <w:b/>
          <w:color w:val="31849B" w:themeColor="accent5" w:themeShade="BF"/>
        </w:rPr>
        <w:t>Mjera SC3. P2.1 Infrastrukturni i stručni kapaciteti za strukovno i visokoškolsko obrazovanje</w:t>
      </w:r>
      <w:r>
        <w:t xml:space="preserve"> obuhvaća 'soft' i 'hard' proj</w:t>
      </w:r>
      <w:r w:rsidR="000A42BF">
        <w:t>ekte koji su usmjereni na unapr</w:t>
      </w:r>
      <w:r>
        <w:t>jeđenje srednjoškolskog, strukovnog i visokoškolskog obrazovanja</w:t>
      </w:r>
      <w:r w:rsidR="00DA0F41">
        <w:t xml:space="preserve"> (gradnje, rekonstrukcije i obnove, razvoj novih programa te opremanje vrhunskom znanstvenom i nastavnom opremom)</w:t>
      </w:r>
      <w:r>
        <w:t>.</w:t>
      </w:r>
    </w:p>
    <w:p w14:paraId="602DEDA5" w14:textId="49FA78A4" w:rsidR="009A7848" w:rsidRPr="00ED62CE" w:rsidRDefault="009A7848" w:rsidP="009A7848">
      <w:pPr>
        <w:rPr>
          <w:b/>
          <w:color w:val="31849B" w:themeColor="accent5" w:themeShade="BF"/>
        </w:rPr>
      </w:pPr>
      <w:r w:rsidRPr="00E461E5">
        <w:rPr>
          <w:b/>
          <w:color w:val="31849B" w:themeColor="accent5" w:themeShade="BF"/>
        </w:rPr>
        <w:t xml:space="preserve">Mjera SC3. P2.2 2 </w:t>
      </w:r>
      <w:r w:rsidR="00ED62CE">
        <w:rPr>
          <w:b/>
          <w:color w:val="31849B" w:themeColor="accent5" w:themeShade="BF"/>
        </w:rPr>
        <w:t>Jačanje</w:t>
      </w:r>
      <w:r w:rsidRPr="00E461E5">
        <w:rPr>
          <w:b/>
          <w:color w:val="31849B" w:themeColor="accent5" w:themeShade="BF"/>
        </w:rPr>
        <w:t xml:space="preserve"> poduzetničke kulture i inovacija</w:t>
      </w:r>
      <w:r w:rsidR="00ED62CE">
        <w:rPr>
          <w:b/>
          <w:color w:val="31849B" w:themeColor="accent5" w:themeShade="BF"/>
        </w:rPr>
        <w:t xml:space="preserve"> te veza između </w:t>
      </w:r>
      <w:r w:rsidRPr="00E461E5">
        <w:rPr>
          <w:b/>
          <w:color w:val="31849B" w:themeColor="accent5" w:themeShade="BF"/>
        </w:rPr>
        <w:t>obrazovanja i tržišta rada</w:t>
      </w:r>
      <w:r>
        <w:t xml:space="preserve"> je usmjerena na izgradnju ljudskih kapaciteta, znanja i vještina </w:t>
      </w:r>
      <w:r w:rsidR="00E461E5">
        <w:t xml:space="preserve"> putem sektorski or</w:t>
      </w:r>
      <w:r w:rsidR="000A42BF">
        <w:t>i</w:t>
      </w:r>
      <w:r w:rsidR="00E461E5">
        <w:t>jentiranih programa (npr. obrazovanje u poduzetništvu) ili onih or</w:t>
      </w:r>
      <w:r w:rsidR="000A42BF">
        <w:t>i</w:t>
      </w:r>
      <w:r w:rsidR="00E461E5">
        <w:t>jen</w:t>
      </w:r>
      <w:r w:rsidR="007E2D89">
        <w:t>t</w:t>
      </w:r>
      <w:r w:rsidR="00E461E5">
        <w:t xml:space="preserve">iranih na određene ciljne skupine </w:t>
      </w:r>
      <w:r>
        <w:t>(npr. mladi na tržištu rada)</w:t>
      </w:r>
      <w:r w:rsidR="00E461E5">
        <w:t>.</w:t>
      </w:r>
      <w:r w:rsidR="00DA0F41">
        <w:t xml:space="preserve"> Iako prvenstveno zamišljena kao 'soft' mjera (ESF tip aktivnosti), može uključivati investicije u materijalnu imovinu manjeg obima (opremanje, adaptacije i sl.)</w:t>
      </w:r>
    </w:p>
    <w:p w14:paraId="5D02BFA9" w14:textId="106E112A" w:rsidR="009A7848" w:rsidRDefault="009A7848" w:rsidP="009A7848">
      <w:r w:rsidRPr="00E461E5">
        <w:rPr>
          <w:b/>
          <w:color w:val="31849B" w:themeColor="accent5" w:themeShade="BF"/>
        </w:rPr>
        <w:t>Mjera SC3. P2.3 Pametni grad</w:t>
      </w:r>
      <w:r>
        <w:t xml:space="preserve"> podrazum</w:t>
      </w:r>
      <w:r w:rsidR="000A42BF">
        <w:t>i</w:t>
      </w:r>
      <w:r>
        <w:t>jeva mjere i projekte koji se tiču razvoja e-us</w:t>
      </w:r>
      <w:r w:rsidR="000A42BF">
        <w:t>l</w:t>
      </w:r>
      <w:r>
        <w:t>uga i infrastrukture brzopojasnog interneta, uvođenje pametnih sustava (npr. pametna i energetski učinkovita javna rasvjeta, zaštita ključnih infrastruktura, digitalizacija javne uprave, razvoj GIS sustava i sl.).</w:t>
      </w:r>
      <w:r w:rsidR="007E2D89">
        <w:t xml:space="preserve"> U provedbi ove M</w:t>
      </w:r>
      <w:r w:rsidR="00E461E5">
        <w:t>jere, prioritet će se dati projektima prioritiziranim kroz Strategiju razvoja pametnog grada Karlovca.</w:t>
      </w:r>
    </w:p>
    <w:p w14:paraId="1538371F" w14:textId="4BF27513" w:rsidR="00E461E5" w:rsidRDefault="00E461E5" w:rsidP="00E461E5">
      <w:r>
        <w:rPr>
          <w:i/>
        </w:rPr>
        <w:t>Primjeri projekata SC3</w:t>
      </w:r>
      <w:r w:rsidRPr="0075496A">
        <w:rPr>
          <w:i/>
        </w:rPr>
        <w:t>. P</w:t>
      </w:r>
      <w:r>
        <w:rPr>
          <w:i/>
        </w:rPr>
        <w:t>2</w:t>
      </w:r>
      <w:r>
        <w:t xml:space="preserve"> iz inicijalne baze </w:t>
      </w:r>
      <w:r w:rsidR="00B55150">
        <w:t>SRVUPKA</w:t>
      </w:r>
      <w:r>
        <w:t xml:space="preserve"> koji su spremni za provedbu (kategorija I, ishođene dozvole):</w:t>
      </w:r>
    </w:p>
    <w:p w14:paraId="7769B4A8" w14:textId="77777777" w:rsidR="00E461E5" w:rsidRPr="008E2FDA" w:rsidRDefault="00E461E5" w:rsidP="00F950C3">
      <w:pPr>
        <w:pStyle w:val="tabletxt"/>
        <w:numPr>
          <w:ilvl w:val="0"/>
          <w:numId w:val="10"/>
        </w:numPr>
        <w:ind w:left="357" w:hanging="357"/>
        <w:jc w:val="left"/>
        <w:rPr>
          <w:sz w:val="20"/>
        </w:rPr>
      </w:pPr>
      <w:r w:rsidRPr="008E2FDA">
        <w:rPr>
          <w:sz w:val="20"/>
        </w:rPr>
        <w:t>Uspostava Regionalnog centra kompetencija u strukovnom obrazovanju u objektu Oružana u Zvijezdi</w:t>
      </w:r>
    </w:p>
    <w:p w14:paraId="70181B7A" w14:textId="237634E8" w:rsidR="00E461E5" w:rsidRPr="008E2FDA" w:rsidRDefault="00E461E5" w:rsidP="00F950C3">
      <w:pPr>
        <w:pStyle w:val="tabletxt"/>
        <w:numPr>
          <w:ilvl w:val="0"/>
          <w:numId w:val="10"/>
        </w:numPr>
        <w:ind w:left="357" w:hanging="357"/>
        <w:jc w:val="left"/>
        <w:rPr>
          <w:sz w:val="20"/>
        </w:rPr>
      </w:pPr>
      <w:r w:rsidRPr="008E2FDA">
        <w:rPr>
          <w:sz w:val="20"/>
        </w:rPr>
        <w:t>Prenamjena i uređenje Bosanskog magazina u karlovačkoj Zvijezdi u objekt studentske prehrane i prezentacijsko-interp</w:t>
      </w:r>
      <w:r w:rsidR="000A42BF">
        <w:rPr>
          <w:sz w:val="20"/>
        </w:rPr>
        <w:t>r</w:t>
      </w:r>
      <w:r w:rsidRPr="008E2FDA">
        <w:rPr>
          <w:sz w:val="20"/>
        </w:rPr>
        <w:t>etacijski centar</w:t>
      </w:r>
    </w:p>
    <w:p w14:paraId="6B5370F4" w14:textId="77777777" w:rsidR="00E461E5" w:rsidRPr="008E2FDA" w:rsidRDefault="00E461E5" w:rsidP="00F950C3">
      <w:pPr>
        <w:pStyle w:val="tabletxt"/>
        <w:numPr>
          <w:ilvl w:val="0"/>
          <w:numId w:val="10"/>
        </w:numPr>
        <w:ind w:left="357" w:hanging="357"/>
        <w:jc w:val="left"/>
        <w:rPr>
          <w:sz w:val="20"/>
        </w:rPr>
      </w:pPr>
      <w:r w:rsidRPr="008E2FDA">
        <w:rPr>
          <w:sz w:val="20"/>
        </w:rPr>
        <w:t xml:space="preserve">Preuređenje objekta Vojne bolnice u karlovačkoj Zvijezdi u studentski dom </w:t>
      </w:r>
    </w:p>
    <w:p w14:paraId="7B2143B0" w14:textId="1B28D80F" w:rsidR="00E461E5" w:rsidRPr="008E2FDA" w:rsidRDefault="00E461E5" w:rsidP="00F950C3">
      <w:pPr>
        <w:pStyle w:val="tabletxt"/>
        <w:numPr>
          <w:ilvl w:val="0"/>
          <w:numId w:val="10"/>
        </w:numPr>
        <w:ind w:left="357" w:hanging="357"/>
        <w:jc w:val="left"/>
        <w:rPr>
          <w:sz w:val="20"/>
        </w:rPr>
      </w:pPr>
      <w:r w:rsidRPr="008E2FDA">
        <w:rPr>
          <w:sz w:val="20"/>
        </w:rPr>
        <w:t>Gastro majstori – razvoj novih obraz</w:t>
      </w:r>
      <w:r w:rsidR="007E2D89">
        <w:rPr>
          <w:sz w:val="20"/>
        </w:rPr>
        <w:t>ovnih programa i edukacija cilj</w:t>
      </w:r>
      <w:r w:rsidRPr="008E2FDA">
        <w:rPr>
          <w:sz w:val="20"/>
        </w:rPr>
        <w:t>nih skupina</w:t>
      </w:r>
    </w:p>
    <w:p w14:paraId="270C6182" w14:textId="77777777" w:rsidR="00E461E5" w:rsidRPr="008E2FDA" w:rsidRDefault="00E461E5" w:rsidP="00F950C3">
      <w:pPr>
        <w:pStyle w:val="tabletxt"/>
        <w:numPr>
          <w:ilvl w:val="0"/>
          <w:numId w:val="10"/>
        </w:numPr>
        <w:ind w:left="357" w:hanging="357"/>
        <w:jc w:val="left"/>
        <w:rPr>
          <w:sz w:val="20"/>
        </w:rPr>
      </w:pPr>
      <w:r w:rsidRPr="008E2FDA">
        <w:rPr>
          <w:sz w:val="20"/>
        </w:rPr>
        <w:t>Adaptacije i dogradnje srednjih škola u Karlovcu (Gimnazija, Medicinska škola, Ekonomska škola)</w:t>
      </w:r>
    </w:p>
    <w:p w14:paraId="0AC17B8C" w14:textId="70455F9D" w:rsidR="004A59F0" w:rsidRPr="008E2FDA" w:rsidRDefault="00E461E5" w:rsidP="00F950C3">
      <w:pPr>
        <w:pStyle w:val="tabletxt"/>
        <w:numPr>
          <w:ilvl w:val="0"/>
          <w:numId w:val="10"/>
        </w:numPr>
        <w:ind w:left="357" w:hanging="357"/>
        <w:jc w:val="left"/>
        <w:rPr>
          <w:sz w:val="20"/>
        </w:rPr>
      </w:pPr>
      <w:r w:rsidRPr="008E2FDA">
        <w:rPr>
          <w:sz w:val="20"/>
        </w:rPr>
        <w:t xml:space="preserve">Experience centar Nikola Tesla u Karlovcu </w:t>
      </w:r>
      <w:r w:rsidR="00444F9D" w:rsidRPr="00444F9D">
        <w:rPr>
          <w:sz w:val="20"/>
        </w:rPr>
        <w:t>uz uređenje parkirališta kod ŠSD Mladost te povezivanje s projektom Tehno park TVG Ozalj</w:t>
      </w:r>
    </w:p>
    <w:p w14:paraId="4F273C7D" w14:textId="3BAD5A57" w:rsidR="009A7848" w:rsidRPr="008E2FDA" w:rsidRDefault="004A59F0" w:rsidP="00F950C3">
      <w:pPr>
        <w:pStyle w:val="tabletxt"/>
        <w:numPr>
          <w:ilvl w:val="0"/>
          <w:numId w:val="10"/>
        </w:numPr>
        <w:ind w:left="357" w:hanging="357"/>
        <w:jc w:val="left"/>
        <w:rPr>
          <w:sz w:val="20"/>
        </w:rPr>
      </w:pPr>
      <w:r w:rsidRPr="008E2FDA">
        <w:rPr>
          <w:sz w:val="20"/>
        </w:rPr>
        <w:t>Centar za posjetitelje Lović Prekriški u Ozlju</w:t>
      </w:r>
    </w:p>
    <w:p w14:paraId="6370B62B" w14:textId="77777777" w:rsidR="004A59F0" w:rsidRPr="004A59F0" w:rsidRDefault="004A59F0" w:rsidP="004A59F0">
      <w:pPr>
        <w:rPr>
          <w:i/>
        </w:rPr>
      </w:pPr>
      <w:r w:rsidRPr="004A59F0">
        <w:rPr>
          <w:i/>
        </w:rPr>
        <w:lastRenderedPageBreak/>
        <w:t>Pokazatelji ishoda SC3. P1:</w:t>
      </w:r>
    </w:p>
    <w:p w14:paraId="2F4873C2" w14:textId="6ED95C58" w:rsidR="009A7848" w:rsidRDefault="004A59F0" w:rsidP="00F950C3">
      <w:pPr>
        <w:pStyle w:val="ListParagraph"/>
        <w:numPr>
          <w:ilvl w:val="0"/>
          <w:numId w:val="16"/>
        </w:numPr>
        <w:jc w:val="left"/>
      </w:pPr>
      <w:r>
        <w:t>Udjel stanovništva prema završenom obrazovnom stupnju u ukupnom stanovništvu u dobi od 25 do 64 godine na području VUPKA</w:t>
      </w:r>
    </w:p>
    <w:p w14:paraId="0A14D9B3" w14:textId="0BB9B820" w:rsidR="004A59F0" w:rsidRDefault="004A59F0" w:rsidP="00F950C3">
      <w:pPr>
        <w:pStyle w:val="ListParagraph"/>
        <w:numPr>
          <w:ilvl w:val="0"/>
          <w:numId w:val="16"/>
        </w:numPr>
        <w:jc w:val="left"/>
      </w:pPr>
      <w:r>
        <w:t>Omjer upisanih i diplomiranih studenata</w:t>
      </w:r>
    </w:p>
    <w:p w14:paraId="23B88911" w14:textId="796F16A2" w:rsidR="004A59F0" w:rsidRDefault="004A59F0" w:rsidP="00F950C3">
      <w:pPr>
        <w:pStyle w:val="ListParagraph"/>
        <w:numPr>
          <w:ilvl w:val="0"/>
          <w:numId w:val="16"/>
        </w:numPr>
        <w:jc w:val="left"/>
      </w:pPr>
      <w:r>
        <w:t>Broj osoba/institucija obuhvaćenih programima razvoja ljudskih kapaciteta</w:t>
      </w:r>
    </w:p>
    <w:p w14:paraId="7422AC92" w14:textId="714361BC" w:rsidR="00EF7ABA" w:rsidRPr="00B34B02" w:rsidRDefault="00EF7ABA" w:rsidP="00F950C3">
      <w:pPr>
        <w:pStyle w:val="ListParagraph"/>
        <w:numPr>
          <w:ilvl w:val="0"/>
          <w:numId w:val="16"/>
        </w:numPr>
        <w:jc w:val="left"/>
      </w:pPr>
      <w:r>
        <w:t>Pokrivenost VUPKA širokopojasnim pristupom internetu</w:t>
      </w:r>
    </w:p>
    <w:p w14:paraId="4765A72C" w14:textId="77777777" w:rsidR="006E54C5" w:rsidRDefault="006E54C5">
      <w:pPr>
        <w:jc w:val="left"/>
      </w:pPr>
    </w:p>
    <w:tbl>
      <w:tblPr>
        <w:tblStyle w:val="TableGrid"/>
        <w:tblW w:w="0" w:type="auto"/>
        <w:tblLook w:val="04A0" w:firstRow="1" w:lastRow="0" w:firstColumn="1" w:lastColumn="0" w:noHBand="0" w:noVBand="1"/>
      </w:tblPr>
      <w:tblGrid>
        <w:gridCol w:w="9288"/>
      </w:tblGrid>
      <w:tr w:rsidR="00FE140B" w:rsidRPr="00A27C03" w14:paraId="1549C740" w14:textId="77777777" w:rsidTr="00B34B02">
        <w:tc>
          <w:tcPr>
            <w:tcW w:w="9288" w:type="dxa"/>
            <w:shd w:val="clear" w:color="auto" w:fill="DAEEF3" w:themeFill="accent5" w:themeFillTint="33"/>
          </w:tcPr>
          <w:p w14:paraId="6D2A92AC" w14:textId="7D353268" w:rsidR="00FE140B" w:rsidRPr="00A27C03" w:rsidRDefault="00FE140B" w:rsidP="00FE140B">
            <w:pPr>
              <w:jc w:val="left"/>
              <w:rPr>
                <w:b/>
                <w:noProof/>
                <w:color w:val="215868" w:themeColor="accent5" w:themeShade="80"/>
              </w:rPr>
            </w:pPr>
            <w:r>
              <w:rPr>
                <w:b/>
                <w:noProof/>
                <w:color w:val="215868" w:themeColor="accent5" w:themeShade="80"/>
              </w:rPr>
              <w:t>SC</w:t>
            </w:r>
            <w:r w:rsidRPr="00A27C03">
              <w:rPr>
                <w:b/>
                <w:noProof/>
                <w:color w:val="215868" w:themeColor="accent5" w:themeShade="80"/>
              </w:rPr>
              <w:t xml:space="preserve">3. </w:t>
            </w:r>
            <w:r>
              <w:rPr>
                <w:b/>
                <w:noProof/>
                <w:color w:val="215868" w:themeColor="accent5" w:themeShade="80"/>
              </w:rPr>
              <w:t xml:space="preserve">P3 </w:t>
            </w:r>
            <w:r w:rsidRPr="00FE140B">
              <w:rPr>
                <w:b/>
                <w:color w:val="215868" w:themeColor="accent5" w:themeShade="80"/>
              </w:rPr>
              <w:t xml:space="preserve">Razvoj održive bio-ekonomije </w:t>
            </w:r>
          </w:p>
        </w:tc>
      </w:tr>
    </w:tbl>
    <w:p w14:paraId="373EDD78" w14:textId="2AA66948" w:rsidR="00B34B02" w:rsidRDefault="004A59F0" w:rsidP="00B34B02">
      <w:r>
        <w:t>Ovim prioritetom uzima se u obzir nasljeđe, resursna osnova</w:t>
      </w:r>
      <w:r w:rsidR="00B34B02">
        <w:t xml:space="preserve"> i važnost ruralnih područja VUPKA za sveukupnu vitalnost života na </w:t>
      </w:r>
      <w:r w:rsidR="007E2D89">
        <w:t xml:space="preserve">urbanom </w:t>
      </w:r>
      <w:r w:rsidR="00B34B02">
        <w:t>području</w:t>
      </w:r>
      <w:r>
        <w:t xml:space="preserve">. S obzirom </w:t>
      </w:r>
      <w:r w:rsidR="00894915">
        <w:t xml:space="preserve">na to </w:t>
      </w:r>
      <w:r>
        <w:t>da je ruralni razvoj i razvoj</w:t>
      </w:r>
      <w:r w:rsidR="00894915">
        <w:t xml:space="preserve"> poljoprivrede obuhvaćen drugim</w:t>
      </w:r>
      <w:r>
        <w:t xml:space="preserve"> </w:t>
      </w:r>
      <w:r w:rsidR="00894915">
        <w:t>(</w:t>
      </w:r>
      <w:r>
        <w:t>sektorskim</w:t>
      </w:r>
      <w:r w:rsidR="00894915">
        <w:t>)</w:t>
      </w:r>
      <w:r>
        <w:t xml:space="preserve"> strategijama i programima financiranja, </w:t>
      </w:r>
      <w:r w:rsidR="00B55150">
        <w:t>SRVUPKA</w:t>
      </w:r>
      <w:r>
        <w:t xml:space="preserve"> će se u ovom sektoru koncentrirati na jačanje urbano-ruralnih vez</w:t>
      </w:r>
      <w:r w:rsidR="00E060F4">
        <w:t>a - stvaranje</w:t>
      </w:r>
      <w:r>
        <w:t xml:space="preserve"> tržišta za lokalnu poljoprivrednu </w:t>
      </w:r>
      <w:r w:rsidR="00E060F4">
        <w:t xml:space="preserve">proizvodnju i jačanje funkcija koje ruralni dijelovi VUPKA u kontekstu razvoja turizma i očuvanja kulture i tradicije ruralnog prostora. </w:t>
      </w:r>
    </w:p>
    <w:p w14:paraId="3B9C4621" w14:textId="35500EBE" w:rsidR="00944A15" w:rsidRDefault="00E060F4" w:rsidP="00E060F4">
      <w:r>
        <w:t>Prioritet se provodi kroz jednu mjeru</w:t>
      </w:r>
      <w:r w:rsidR="00944A15">
        <w:t xml:space="preserve"> i jedan veliki projekt</w:t>
      </w:r>
      <w:r>
        <w:t>.</w:t>
      </w:r>
    </w:p>
    <w:p w14:paraId="4F49E3CC" w14:textId="65FFDDEB" w:rsidR="00E060F4" w:rsidRDefault="00E060F4" w:rsidP="00E060F4">
      <w:r w:rsidRPr="00E060F4">
        <w:rPr>
          <w:b/>
          <w:color w:val="31849B" w:themeColor="accent5" w:themeShade="BF"/>
        </w:rPr>
        <w:t>Mjera SC3. P3.1 Mjere i projekti jačanja i poticanja nabave lokalnih proizvoda i usluga</w:t>
      </w:r>
      <w:r>
        <w:t xml:space="preserve"> – tipologija projekata:</w:t>
      </w:r>
    </w:p>
    <w:p w14:paraId="509AD4D6" w14:textId="21C18BFD" w:rsidR="00E060F4" w:rsidRDefault="00E060F4" w:rsidP="00F950C3">
      <w:pPr>
        <w:pStyle w:val="tabletxt"/>
        <w:numPr>
          <w:ilvl w:val="0"/>
          <w:numId w:val="10"/>
        </w:numPr>
        <w:ind w:left="357" w:hanging="357"/>
        <w:jc w:val="left"/>
        <w:rPr>
          <w:sz w:val="20"/>
        </w:rPr>
      </w:pPr>
      <w:r w:rsidRPr="008E2FDA">
        <w:rPr>
          <w:sz w:val="20"/>
        </w:rPr>
        <w:t>Planiranje i organizacij</w:t>
      </w:r>
      <w:r w:rsidR="00894915">
        <w:rPr>
          <w:sz w:val="20"/>
        </w:rPr>
        <w:t>a</w:t>
      </w:r>
      <w:r w:rsidRPr="008E2FDA">
        <w:rPr>
          <w:sz w:val="20"/>
        </w:rPr>
        <w:t xml:space="preserve"> tematskih ruta ('Putevima OPG-ova'</w:t>
      </w:r>
      <w:r w:rsidR="001C1C93" w:rsidRPr="008E2FDA">
        <w:rPr>
          <w:sz w:val="20"/>
        </w:rPr>
        <w:t>) i drugi</w:t>
      </w:r>
      <w:r w:rsidRPr="008E2FDA">
        <w:rPr>
          <w:sz w:val="20"/>
        </w:rPr>
        <w:t xml:space="preserve"> način</w:t>
      </w:r>
      <w:r w:rsidR="001C1C93" w:rsidRPr="008E2FDA">
        <w:rPr>
          <w:sz w:val="20"/>
        </w:rPr>
        <w:t>i</w:t>
      </w:r>
      <w:r w:rsidRPr="008E2FDA">
        <w:rPr>
          <w:sz w:val="20"/>
        </w:rPr>
        <w:t xml:space="preserve"> za povezivanje ruralnih zajednica s turističkom ponudom (npr. Etno selo Trg u Ozlju)</w:t>
      </w:r>
    </w:p>
    <w:p w14:paraId="1A3606C4" w14:textId="1B6043F0" w:rsidR="006E3A41" w:rsidRPr="008E2FDA" w:rsidRDefault="005D2FD1" w:rsidP="00F950C3">
      <w:pPr>
        <w:pStyle w:val="tabletxt"/>
        <w:numPr>
          <w:ilvl w:val="0"/>
          <w:numId w:val="10"/>
        </w:numPr>
        <w:ind w:left="357" w:hanging="357"/>
        <w:jc w:val="left"/>
        <w:rPr>
          <w:sz w:val="20"/>
        </w:rPr>
      </w:pPr>
      <w:r>
        <w:rPr>
          <w:sz w:val="20"/>
        </w:rPr>
        <w:t xml:space="preserve">Plepelić Dvor </w:t>
      </w:r>
    </w:p>
    <w:p w14:paraId="3D3F693C" w14:textId="77777777" w:rsidR="00E060F4" w:rsidRPr="008E2FDA" w:rsidRDefault="00E060F4" w:rsidP="00F950C3">
      <w:pPr>
        <w:pStyle w:val="tabletxt"/>
        <w:numPr>
          <w:ilvl w:val="0"/>
          <w:numId w:val="10"/>
        </w:numPr>
        <w:ind w:left="357" w:hanging="357"/>
        <w:jc w:val="left"/>
        <w:rPr>
          <w:sz w:val="20"/>
        </w:rPr>
      </w:pPr>
      <w:r w:rsidRPr="008E2FDA">
        <w:rPr>
          <w:sz w:val="20"/>
        </w:rPr>
        <w:t xml:space="preserve">Organizacija sajmova, istraživanja, podrška pri plasmanu i marketingu </w:t>
      </w:r>
    </w:p>
    <w:p w14:paraId="23F15AD0" w14:textId="190569B1" w:rsidR="00E060F4" w:rsidRPr="008E2FDA" w:rsidRDefault="00E060F4" w:rsidP="00F950C3">
      <w:pPr>
        <w:pStyle w:val="tabletxt"/>
        <w:numPr>
          <w:ilvl w:val="0"/>
          <w:numId w:val="10"/>
        </w:numPr>
        <w:ind w:left="357" w:hanging="357"/>
        <w:jc w:val="left"/>
        <w:rPr>
          <w:sz w:val="20"/>
        </w:rPr>
      </w:pPr>
      <w:r w:rsidRPr="008E2FDA">
        <w:rPr>
          <w:sz w:val="20"/>
        </w:rPr>
        <w:t>Tržnica lokalnih proizvođača – “Stari plac” u Zvijezdi</w:t>
      </w:r>
    </w:p>
    <w:p w14:paraId="1F2B5C1E" w14:textId="19241B7D" w:rsidR="00944A15" w:rsidRDefault="00944A15" w:rsidP="00944A15">
      <w:pPr>
        <w:rPr>
          <w:i/>
        </w:rPr>
      </w:pPr>
      <w:r w:rsidRPr="00944A15">
        <w:rPr>
          <w:b/>
          <w:color w:val="31849B" w:themeColor="accent5" w:themeShade="BF"/>
        </w:rPr>
        <w:t xml:space="preserve">Veliki projekt Eko </w:t>
      </w:r>
      <w:r w:rsidR="006D16DB">
        <w:rPr>
          <w:b/>
          <w:color w:val="31849B" w:themeColor="accent5" w:themeShade="BF"/>
        </w:rPr>
        <w:t xml:space="preserve">turizam na rijekama VUPKA </w:t>
      </w:r>
      <w:r>
        <w:t>je dugoročan multidimenzionalan projekt razvoja lokalne turističke ponude VUPKA, uz istovremenu revitalizaciju lokalne proizvodnje te zaštitu kulturne i prirodne baštine. Projekt je trenutno u fazi izrade studije predizvodljivosti, a obuhvaća izgradnju sustava riječnih pristaništa na rijeci Kupi, obnovu žitnog magazina na Dubovcu</w:t>
      </w:r>
      <w:r w:rsidR="00894915">
        <w:t>,</w:t>
      </w:r>
      <w:r>
        <w:t xml:space="preserve"> inte</w:t>
      </w:r>
      <w:r w:rsidR="00513A00">
        <w:t xml:space="preserve">rpretacijski centar lađarstva, </w:t>
      </w:r>
      <w:r>
        <w:t>uređe</w:t>
      </w:r>
      <w:r w:rsidR="00513A00">
        <w:t>nje kupališta na rijekama VUPKA, izradu tematskih ruta, promociju i brendiranje.</w:t>
      </w:r>
    </w:p>
    <w:p w14:paraId="0856177E" w14:textId="734F9DAB" w:rsidR="00E060F4" w:rsidRDefault="00E060F4" w:rsidP="00E060F4">
      <w:pPr>
        <w:rPr>
          <w:i/>
        </w:rPr>
      </w:pPr>
      <w:r w:rsidRPr="00322CC3">
        <w:rPr>
          <w:i/>
        </w:rPr>
        <w:t>Pokazatelji ishoda SC</w:t>
      </w:r>
      <w:r>
        <w:rPr>
          <w:i/>
        </w:rPr>
        <w:t>3</w:t>
      </w:r>
      <w:r w:rsidRPr="00322CC3">
        <w:rPr>
          <w:i/>
        </w:rPr>
        <w:t>. P</w:t>
      </w:r>
      <w:r>
        <w:rPr>
          <w:i/>
        </w:rPr>
        <w:t>3</w:t>
      </w:r>
      <w:r w:rsidRPr="00322CC3">
        <w:rPr>
          <w:i/>
        </w:rPr>
        <w:t>:</w:t>
      </w:r>
    </w:p>
    <w:p w14:paraId="6234ECE3" w14:textId="1D2F3272" w:rsidR="001C1C93" w:rsidRDefault="001C1C93" w:rsidP="00F950C3">
      <w:pPr>
        <w:pStyle w:val="ListParagraph"/>
        <w:numPr>
          <w:ilvl w:val="0"/>
          <w:numId w:val="17"/>
        </w:numPr>
      </w:pPr>
      <w:r w:rsidRPr="001C1C93">
        <w:t>Broj OPG-ova na području Karlovačke županije</w:t>
      </w:r>
    </w:p>
    <w:p w14:paraId="73F9704A" w14:textId="4355AB83" w:rsidR="008E2FDA" w:rsidRPr="001C1C93" w:rsidRDefault="008E2FDA" w:rsidP="00F950C3">
      <w:pPr>
        <w:pStyle w:val="ListParagraph"/>
        <w:numPr>
          <w:ilvl w:val="0"/>
          <w:numId w:val="17"/>
        </w:numPr>
      </w:pPr>
      <w:r>
        <w:t>Turistički promet (dolasci i noćenja)</w:t>
      </w:r>
    </w:p>
    <w:p w14:paraId="7583EE99" w14:textId="61655AB7" w:rsidR="00E060F4" w:rsidRDefault="00E060F4" w:rsidP="00B34B02"/>
    <w:p w14:paraId="614BEE3E" w14:textId="77777777" w:rsidR="006D6F0C" w:rsidRDefault="006D6F0C" w:rsidP="006D6F0C">
      <w:pPr>
        <w:rPr>
          <w:b/>
          <w:noProof/>
        </w:rPr>
      </w:pPr>
    </w:p>
    <w:p w14:paraId="3C0FC5A9" w14:textId="77777777" w:rsidR="00862AF1" w:rsidRDefault="00862AF1" w:rsidP="001A5F94"/>
    <w:p w14:paraId="441EC534" w14:textId="77777777" w:rsidR="001A5F94" w:rsidRDefault="001A5F94">
      <w:pPr>
        <w:spacing w:before="0" w:after="0"/>
        <w:jc w:val="left"/>
      </w:pPr>
      <w:r>
        <w:br w:type="page"/>
      </w:r>
    </w:p>
    <w:p w14:paraId="6B802970" w14:textId="77777777" w:rsidR="001A5F94" w:rsidRPr="001A5F94" w:rsidRDefault="001A5F94" w:rsidP="001A5F94"/>
    <w:p w14:paraId="2EC2ADD1" w14:textId="3C769024" w:rsidR="00073AD7" w:rsidRPr="00073AD7" w:rsidRDefault="00073AD7" w:rsidP="001A5F94">
      <w:pPr>
        <w:pStyle w:val="Heading1"/>
        <w:rPr>
          <w:noProof/>
        </w:rPr>
      </w:pPr>
      <w:bookmarkStart w:id="101" w:name="_Toc437390602"/>
      <w:r>
        <w:rPr>
          <w:noProof/>
        </w:rPr>
        <w:t>PROVEDBA</w:t>
      </w:r>
      <w:bookmarkEnd w:id="101"/>
    </w:p>
    <w:p w14:paraId="7D92F5C7" w14:textId="2B848D45" w:rsidR="00073AD7" w:rsidRPr="007552E0" w:rsidRDefault="00073AD7" w:rsidP="001A5F94">
      <w:pPr>
        <w:pStyle w:val="Heading2"/>
        <w:rPr>
          <w:noProof/>
        </w:rPr>
      </w:pPr>
      <w:bookmarkStart w:id="102" w:name="_Toc437390603"/>
      <w:r w:rsidRPr="007552E0">
        <w:rPr>
          <w:noProof/>
        </w:rPr>
        <w:t>Financijski okvir za provedbu strategije</w:t>
      </w:r>
      <w:bookmarkEnd w:id="102"/>
    </w:p>
    <w:p w14:paraId="7843A6D7" w14:textId="031AF98C" w:rsidR="00EF7ABA" w:rsidRPr="00EF7ABA" w:rsidRDefault="00EF7ABA" w:rsidP="00EF7ABA">
      <w:r w:rsidRPr="00EF7ABA">
        <w:t>Financijs</w:t>
      </w:r>
      <w:r w:rsidR="00383D50">
        <w:t>kim okvirom Strategije razvoja V</w:t>
      </w:r>
      <w:r>
        <w:t>eće</w:t>
      </w:r>
      <w:r w:rsidR="00383D50">
        <w:t>g</w:t>
      </w:r>
      <w:r>
        <w:t xml:space="preserve"> u</w:t>
      </w:r>
      <w:r w:rsidR="00383D50">
        <w:t>rbanog</w:t>
      </w:r>
      <w:r w:rsidRPr="00EF7ABA">
        <w:t xml:space="preserve"> </w:t>
      </w:r>
      <w:r w:rsidR="00383D50">
        <w:t>područja</w:t>
      </w:r>
      <w:r w:rsidRPr="00EF7ABA">
        <w:t xml:space="preserve"> </w:t>
      </w:r>
      <w:r>
        <w:t>Karlovac</w:t>
      </w:r>
      <w:r w:rsidRPr="00EF7ABA">
        <w:t xml:space="preserve"> (</w:t>
      </w:r>
      <w:r w:rsidR="00B55150">
        <w:t>SRVUPKA</w:t>
      </w:r>
      <w:r w:rsidRPr="00EF7ABA">
        <w:t xml:space="preserve">) prikazuje se struktura planiranih sredstava za provedbu </w:t>
      </w:r>
      <w:r w:rsidR="00B55150">
        <w:t>SRVUPKA</w:t>
      </w:r>
      <w:r w:rsidRPr="00EF7ABA">
        <w:t xml:space="preserve"> za cjelokupno razdoblje provedbe</w:t>
      </w:r>
      <w:r>
        <w:t xml:space="preserve"> 2019. - 2027., s iskazom sredstava za prvo trogodišnje razdoblje. Financijski okvir iskazan je po specifičnim ciljevima i prioritetima </w:t>
      </w:r>
      <w:r w:rsidR="00B55150">
        <w:t>SRVUPKA</w:t>
      </w:r>
      <w:r>
        <w:t xml:space="preserve">, a detaljna </w:t>
      </w:r>
      <w:r w:rsidRPr="00EF7ABA">
        <w:t xml:space="preserve">razrada financiranja za trogodišnje razdoblje </w:t>
      </w:r>
      <w:r w:rsidR="000A42BF">
        <w:t>prema pojedinim pro</w:t>
      </w:r>
      <w:r>
        <w:t xml:space="preserve">jektima </w:t>
      </w:r>
      <w:r w:rsidRPr="00EF7ABA">
        <w:t xml:space="preserve">prikazana </w:t>
      </w:r>
      <w:r w:rsidR="00383D50">
        <w:t xml:space="preserve">je </w:t>
      </w:r>
      <w:r w:rsidRPr="00EF7ABA">
        <w:t xml:space="preserve">u Akcijskom planu. </w:t>
      </w:r>
    </w:p>
    <w:p w14:paraId="3A64C5B1" w14:textId="180F81B4" w:rsidR="00EF7ABA" w:rsidRPr="00EF7ABA" w:rsidRDefault="00EF7ABA" w:rsidP="00EF7ABA">
      <w:r w:rsidRPr="00EF7ABA">
        <w:t xml:space="preserve">U prikupljanju podataka o financijskim iznosima i alokacijama sredstava koja se očekuju iz lokalnog, županijskog i državnog proračuna te EU fondova, javnih poduzeća i ostalih izvora, konzultirani su različiti dionici </w:t>
      </w:r>
      <w:r>
        <w:t>razvoja, a o</w:t>
      </w:r>
      <w:r w:rsidRPr="00EF7ABA">
        <w:t>snova za financijske iznose na razin</w:t>
      </w:r>
      <w:r w:rsidR="00383D50">
        <w:t xml:space="preserve">i jedinica lokalne samouprave </w:t>
      </w:r>
      <w:r w:rsidRPr="00EF7ABA">
        <w:t xml:space="preserve">su proračuni i planovi razvojnih programa JLS-a. </w:t>
      </w:r>
      <w:r w:rsidR="00865576">
        <w:t xml:space="preserve">Tri </w:t>
      </w:r>
      <w:r w:rsidRPr="00EF7ABA">
        <w:t>jedinice lokalne samouprave</w:t>
      </w:r>
      <w:r w:rsidR="00865576">
        <w:t xml:space="preserve"> koje čine VUPKA su</w:t>
      </w:r>
      <w:r w:rsidRPr="00EF7ABA">
        <w:t xml:space="preserve"> za sve aktivnosti, projekte i programe koji se tematski i sadržajno uklapaju u ciljeve</w:t>
      </w:r>
      <w:r w:rsidR="00865576">
        <w:t>,</w:t>
      </w:r>
      <w:r w:rsidRPr="00EF7ABA">
        <w:t xml:space="preserve"> prioritete i mjere </w:t>
      </w:r>
      <w:r w:rsidR="00B55150">
        <w:t>SRVUPKA</w:t>
      </w:r>
      <w:r w:rsidRPr="00EF7ABA">
        <w:t xml:space="preserve">, dostavile informacije o procjeni izvora financiranja za pojedine aktivnosti, programe i projekte. </w:t>
      </w:r>
    </w:p>
    <w:p w14:paraId="36B80EA5" w14:textId="10A0347F" w:rsidR="00EF7ABA" w:rsidRPr="00865576" w:rsidRDefault="00EF7ABA" w:rsidP="00865576">
      <w:r w:rsidRPr="00865576">
        <w:t xml:space="preserve">U skladu sa </w:t>
      </w:r>
      <w:r w:rsidRPr="00865576">
        <w:rPr>
          <w:i/>
        </w:rPr>
        <w:t>Smjernicama za izradu strategije razvoja urbanih područja, praćenje njihove provedbe i vrednovanje,</w:t>
      </w:r>
      <w:r w:rsidRPr="00865576">
        <w:t xml:space="preserve"> Akcijski plan </w:t>
      </w:r>
      <w:r w:rsidR="00865576">
        <w:t xml:space="preserve">koji pokriva trogodišnje razdoblje </w:t>
      </w:r>
      <w:r w:rsidRPr="00865576">
        <w:t>usklađuje se, odnosno revidira, na godišnjoj razini. Za očekivati je da će</w:t>
      </w:r>
      <w:r w:rsidR="00865576">
        <w:t xml:space="preserve"> se</w:t>
      </w:r>
      <w:r w:rsidRPr="00865576">
        <w:t xml:space="preserve"> </w:t>
      </w:r>
      <w:r w:rsidR="00865576">
        <w:t>nakon</w:t>
      </w:r>
      <w:r w:rsidRPr="00865576">
        <w:t xml:space="preserve"> usklađenja </w:t>
      </w:r>
      <w:r w:rsidR="00865576">
        <w:t>s Ministarstvom regionalnoga razvoja i fondova Europske unije, a naročito</w:t>
      </w:r>
      <w:r w:rsidRPr="00865576">
        <w:t xml:space="preserve"> nakon rezultata provedbe prve godine, moći preciznije i s više iskustva planirati iznose i </w:t>
      </w:r>
      <w:r w:rsidR="00865576">
        <w:t xml:space="preserve">izvore </w:t>
      </w:r>
      <w:r w:rsidRPr="00865576">
        <w:t>sredstava za pojedine a</w:t>
      </w:r>
      <w:r w:rsidR="00865576">
        <w:t xml:space="preserve">ktivnosti, programe i projekte te će </w:t>
      </w:r>
      <w:r w:rsidR="00383D50">
        <w:t>doći do promjena i usklađenja</w:t>
      </w:r>
      <w:r w:rsidRPr="00865576">
        <w:t xml:space="preserve"> financijskog okvira. </w:t>
      </w:r>
    </w:p>
    <w:p w14:paraId="4E16A8BB" w14:textId="16FC8DBA" w:rsidR="00EF7ABA" w:rsidRPr="00865576" w:rsidRDefault="00865576" w:rsidP="00865576">
      <w:r w:rsidRPr="00865576">
        <w:t xml:space="preserve">Nadalje, </w:t>
      </w:r>
      <w:r>
        <w:t xml:space="preserve">iako su ciljevi i prioriteti </w:t>
      </w:r>
      <w:r w:rsidR="00B55150">
        <w:t>SRVUPKA</w:t>
      </w:r>
      <w:r>
        <w:t xml:space="preserve"> postavljeni dugoročno, na razdoblje od 8 godina, pretpostavlja se da će isti proces prilagodbe i usklađenja financijskog okvira biti nužan i poželjan u odnosu na planiranje, provedbu i izvještavanje</w:t>
      </w:r>
      <w:r w:rsidR="00EF7ABA" w:rsidRPr="00865576">
        <w:t xml:space="preserve"> </w:t>
      </w:r>
      <w:r>
        <w:t>u novoj financijskoj</w:t>
      </w:r>
      <w:r w:rsidR="00B60762">
        <w:t xml:space="preserve"> perspektivi EU fondova (2021.-2027.)</w:t>
      </w:r>
      <w:r w:rsidR="00EF7ABA" w:rsidRPr="00865576">
        <w:t xml:space="preserve">. </w:t>
      </w:r>
    </w:p>
    <w:p w14:paraId="340144C8" w14:textId="77777777" w:rsidR="00A45E31" w:rsidRPr="00EF7ABA" w:rsidRDefault="00A45E31" w:rsidP="00EF7ABA"/>
    <w:tbl>
      <w:tblPr>
        <w:tblW w:w="10207" w:type="dxa"/>
        <w:tblInd w:w="-318" w:type="dxa"/>
        <w:tblLayout w:type="fixed"/>
        <w:tblLook w:val="04A0" w:firstRow="1" w:lastRow="0" w:firstColumn="1" w:lastColumn="0" w:noHBand="0" w:noVBand="1"/>
      </w:tblPr>
      <w:tblGrid>
        <w:gridCol w:w="568"/>
        <w:gridCol w:w="1985"/>
        <w:gridCol w:w="1346"/>
        <w:gridCol w:w="992"/>
        <w:gridCol w:w="992"/>
        <w:gridCol w:w="993"/>
        <w:gridCol w:w="992"/>
        <w:gridCol w:w="992"/>
        <w:gridCol w:w="1347"/>
      </w:tblGrid>
      <w:tr w:rsidR="000118EB" w:rsidRPr="00A45E31" w14:paraId="45401C95" w14:textId="0DC9F4DC" w:rsidTr="000118EB">
        <w:trPr>
          <w:trHeight w:val="654"/>
        </w:trPr>
        <w:tc>
          <w:tcPr>
            <w:tcW w:w="568" w:type="dxa"/>
            <w:vMerge w:val="restart"/>
            <w:tcBorders>
              <w:top w:val="single" w:sz="4" w:space="0" w:color="auto"/>
              <w:left w:val="single" w:sz="4" w:space="0" w:color="auto"/>
              <w:right w:val="single" w:sz="4" w:space="0" w:color="auto"/>
            </w:tcBorders>
            <w:shd w:val="clear" w:color="auto" w:fill="DBE5F1" w:themeFill="accent1" w:themeFillTint="33"/>
            <w:vAlign w:val="center"/>
            <w:hideMark/>
          </w:tcPr>
          <w:p w14:paraId="6D0B35A1" w14:textId="77777777" w:rsidR="000118EB" w:rsidRPr="001C1C93" w:rsidRDefault="000118EB" w:rsidP="001C1C93">
            <w:pPr>
              <w:pStyle w:val="Txttable"/>
              <w:rPr>
                <w:rFonts w:ascii="Calibri" w:hAnsi="Calibri"/>
                <w:b/>
                <w:sz w:val="18"/>
                <w:szCs w:val="18"/>
              </w:rPr>
            </w:pPr>
            <w:r w:rsidRPr="001C1C93">
              <w:rPr>
                <w:rFonts w:ascii="Calibri" w:hAnsi="Calibri"/>
                <w:b/>
                <w:noProof/>
                <w:sz w:val="18"/>
                <w:szCs w:val="18"/>
              </w:rPr>
              <w:t> </w:t>
            </w:r>
          </w:p>
          <w:p w14:paraId="2FB88A9E" w14:textId="621564FC" w:rsidR="000118EB" w:rsidRPr="001C1C93" w:rsidRDefault="000118EB" w:rsidP="001C1C93">
            <w:pPr>
              <w:pStyle w:val="Txttable"/>
              <w:rPr>
                <w:rFonts w:ascii="Calibri" w:hAnsi="Calibri"/>
                <w:b/>
                <w:sz w:val="18"/>
                <w:szCs w:val="18"/>
              </w:rPr>
            </w:pPr>
            <w:r w:rsidRPr="001C1C93">
              <w:rPr>
                <w:rFonts w:ascii="Calibri" w:hAnsi="Calibri"/>
                <w:b/>
                <w:sz w:val="18"/>
                <w:szCs w:val="18"/>
              </w:rPr>
              <w:t> </w:t>
            </w:r>
          </w:p>
        </w:tc>
        <w:tc>
          <w:tcPr>
            <w:tcW w:w="1985" w:type="dxa"/>
            <w:vMerge w:val="restart"/>
            <w:tcBorders>
              <w:top w:val="single" w:sz="4" w:space="0" w:color="auto"/>
              <w:left w:val="nil"/>
              <w:right w:val="single" w:sz="4" w:space="0" w:color="auto"/>
            </w:tcBorders>
            <w:shd w:val="clear" w:color="auto" w:fill="DBE5F1" w:themeFill="accent1" w:themeFillTint="33"/>
            <w:vAlign w:val="center"/>
            <w:hideMark/>
          </w:tcPr>
          <w:p w14:paraId="0F1B9024" w14:textId="77777777" w:rsidR="000118EB" w:rsidRPr="001C1C93" w:rsidRDefault="000118EB" w:rsidP="001C1C93">
            <w:pPr>
              <w:pStyle w:val="Txttable"/>
              <w:rPr>
                <w:rFonts w:ascii="Calibri" w:hAnsi="Calibri"/>
                <w:b/>
                <w:sz w:val="18"/>
                <w:szCs w:val="18"/>
              </w:rPr>
            </w:pPr>
            <w:r w:rsidRPr="001C1C93">
              <w:rPr>
                <w:rFonts w:ascii="Calibri" w:hAnsi="Calibri"/>
                <w:b/>
                <w:noProof/>
                <w:sz w:val="18"/>
                <w:szCs w:val="18"/>
              </w:rPr>
              <w:t>Ciljevi i prioriteti</w:t>
            </w:r>
          </w:p>
          <w:p w14:paraId="55AAA0B2" w14:textId="2F756DBA" w:rsidR="000118EB" w:rsidRPr="001C1C93" w:rsidRDefault="000118EB" w:rsidP="001C1C93">
            <w:pPr>
              <w:pStyle w:val="Txttable"/>
              <w:rPr>
                <w:rFonts w:ascii="Calibri" w:hAnsi="Calibri"/>
                <w:b/>
                <w:sz w:val="18"/>
                <w:szCs w:val="18"/>
              </w:rPr>
            </w:pPr>
            <w:r w:rsidRPr="001C1C93">
              <w:rPr>
                <w:rFonts w:ascii="Calibri" w:hAnsi="Calibri"/>
                <w:b/>
                <w:sz w:val="18"/>
                <w:szCs w:val="18"/>
              </w:rPr>
              <w:t> </w:t>
            </w:r>
          </w:p>
        </w:tc>
        <w:tc>
          <w:tcPr>
            <w:tcW w:w="1346" w:type="dxa"/>
            <w:vMerge w:val="restart"/>
            <w:tcBorders>
              <w:top w:val="single" w:sz="4" w:space="0" w:color="auto"/>
              <w:left w:val="nil"/>
              <w:right w:val="single" w:sz="4" w:space="0" w:color="auto"/>
            </w:tcBorders>
            <w:shd w:val="clear" w:color="auto" w:fill="DBE5F1" w:themeFill="accent1" w:themeFillTint="33"/>
            <w:vAlign w:val="center"/>
            <w:hideMark/>
          </w:tcPr>
          <w:p w14:paraId="0DE3A994" w14:textId="1B31AB86" w:rsidR="000118EB" w:rsidRPr="001C1C93" w:rsidRDefault="000118EB" w:rsidP="001C1C93">
            <w:pPr>
              <w:pStyle w:val="Txttable"/>
              <w:rPr>
                <w:rFonts w:ascii="Calibri" w:hAnsi="Calibri"/>
                <w:b/>
                <w:sz w:val="18"/>
                <w:szCs w:val="18"/>
              </w:rPr>
            </w:pPr>
            <w:r w:rsidRPr="001C1C93">
              <w:rPr>
                <w:rFonts w:ascii="Calibri" w:hAnsi="Calibri"/>
                <w:b/>
                <w:noProof/>
                <w:sz w:val="18"/>
                <w:szCs w:val="18"/>
                <w:lang w:val="es-CL"/>
              </w:rPr>
              <w:t>Procjena potrebnih sredstava u trogodišnjem razdoblju*</w:t>
            </w:r>
          </w:p>
        </w:tc>
        <w:tc>
          <w:tcPr>
            <w:tcW w:w="4961" w:type="dxa"/>
            <w:gridSpan w:val="5"/>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38057AAD" w14:textId="77777777" w:rsidR="000118EB" w:rsidRPr="001C1C93" w:rsidRDefault="000118EB" w:rsidP="001C1C93">
            <w:pPr>
              <w:pStyle w:val="Txttable"/>
              <w:jc w:val="center"/>
              <w:rPr>
                <w:rFonts w:ascii="Calibri" w:hAnsi="Calibri"/>
                <w:b/>
                <w:sz w:val="18"/>
                <w:szCs w:val="18"/>
              </w:rPr>
            </w:pPr>
            <w:r w:rsidRPr="001C1C93">
              <w:rPr>
                <w:rFonts w:ascii="Calibri" w:hAnsi="Calibri"/>
                <w:b/>
                <w:noProof/>
                <w:sz w:val="18"/>
                <w:szCs w:val="18"/>
              </w:rPr>
              <w:t>Izvor financiranja</w:t>
            </w:r>
          </w:p>
        </w:tc>
        <w:tc>
          <w:tcPr>
            <w:tcW w:w="1347" w:type="dxa"/>
            <w:vMerge w:val="restart"/>
            <w:tcBorders>
              <w:top w:val="single" w:sz="4" w:space="0" w:color="auto"/>
              <w:left w:val="nil"/>
              <w:right w:val="single" w:sz="4" w:space="0" w:color="auto"/>
            </w:tcBorders>
            <w:shd w:val="clear" w:color="auto" w:fill="DBE5F1" w:themeFill="accent1" w:themeFillTint="33"/>
            <w:vAlign w:val="center"/>
          </w:tcPr>
          <w:p w14:paraId="17C34D87" w14:textId="1BBD9B3D" w:rsidR="000118EB" w:rsidRPr="001C1C93" w:rsidRDefault="000118EB" w:rsidP="000118EB">
            <w:pPr>
              <w:pStyle w:val="Txttable"/>
              <w:jc w:val="left"/>
              <w:rPr>
                <w:rFonts w:ascii="Calibri" w:hAnsi="Calibri"/>
                <w:b/>
                <w:sz w:val="18"/>
                <w:szCs w:val="18"/>
              </w:rPr>
            </w:pPr>
            <w:r w:rsidRPr="001C1C93">
              <w:rPr>
                <w:rFonts w:ascii="Calibri" w:hAnsi="Calibri"/>
                <w:b/>
                <w:noProof/>
                <w:sz w:val="18"/>
                <w:szCs w:val="18"/>
              </w:rPr>
              <w:t>Procjena potrebnih sredstava do kraja provedbe strategije</w:t>
            </w:r>
          </w:p>
        </w:tc>
      </w:tr>
      <w:tr w:rsidR="000118EB" w:rsidRPr="00A45E31" w14:paraId="0A4A8F59" w14:textId="3A81F0F6" w:rsidTr="000118EB">
        <w:trPr>
          <w:trHeight w:val="630"/>
        </w:trPr>
        <w:tc>
          <w:tcPr>
            <w:tcW w:w="568" w:type="dxa"/>
            <w:vMerge/>
            <w:tcBorders>
              <w:left w:val="single" w:sz="4" w:space="0" w:color="auto"/>
              <w:bottom w:val="single" w:sz="4" w:space="0" w:color="auto"/>
              <w:right w:val="single" w:sz="4" w:space="0" w:color="auto"/>
            </w:tcBorders>
            <w:shd w:val="clear" w:color="auto" w:fill="auto"/>
            <w:vAlign w:val="center"/>
            <w:hideMark/>
          </w:tcPr>
          <w:p w14:paraId="479562E2" w14:textId="6CFE262B" w:rsidR="000118EB" w:rsidRPr="001C1C93" w:rsidRDefault="000118EB" w:rsidP="001C1C93">
            <w:pPr>
              <w:pStyle w:val="Txttable"/>
              <w:rPr>
                <w:rFonts w:ascii="Calibri" w:hAnsi="Calibri"/>
                <w:b/>
                <w:sz w:val="18"/>
                <w:szCs w:val="18"/>
              </w:rPr>
            </w:pPr>
          </w:p>
        </w:tc>
        <w:tc>
          <w:tcPr>
            <w:tcW w:w="1985" w:type="dxa"/>
            <w:vMerge/>
            <w:tcBorders>
              <w:left w:val="nil"/>
              <w:bottom w:val="single" w:sz="4" w:space="0" w:color="auto"/>
              <w:right w:val="single" w:sz="4" w:space="0" w:color="auto"/>
            </w:tcBorders>
            <w:shd w:val="clear" w:color="auto" w:fill="auto"/>
            <w:vAlign w:val="center"/>
            <w:hideMark/>
          </w:tcPr>
          <w:p w14:paraId="48FF6160" w14:textId="156998E7" w:rsidR="000118EB" w:rsidRPr="001C1C93" w:rsidRDefault="000118EB" w:rsidP="001C1C93">
            <w:pPr>
              <w:pStyle w:val="Txttable"/>
              <w:rPr>
                <w:rFonts w:ascii="Calibri" w:hAnsi="Calibri"/>
                <w:b/>
                <w:sz w:val="18"/>
                <w:szCs w:val="18"/>
              </w:rPr>
            </w:pPr>
          </w:p>
        </w:tc>
        <w:tc>
          <w:tcPr>
            <w:tcW w:w="1346" w:type="dxa"/>
            <w:vMerge/>
            <w:tcBorders>
              <w:left w:val="nil"/>
              <w:bottom w:val="single" w:sz="4" w:space="0" w:color="auto"/>
              <w:right w:val="single" w:sz="4" w:space="0" w:color="auto"/>
            </w:tcBorders>
            <w:shd w:val="clear" w:color="auto" w:fill="auto"/>
            <w:vAlign w:val="center"/>
            <w:hideMark/>
          </w:tcPr>
          <w:p w14:paraId="08478196" w14:textId="3A0F2EC0" w:rsidR="000118EB" w:rsidRPr="001C1C93" w:rsidRDefault="000118EB" w:rsidP="001C1C93">
            <w:pPr>
              <w:pStyle w:val="Txttable"/>
              <w:rPr>
                <w:rFonts w:ascii="Calibri" w:hAnsi="Calibri"/>
                <w:b/>
                <w:sz w:val="18"/>
                <w:szCs w:val="18"/>
              </w:rPr>
            </w:pPr>
          </w:p>
        </w:tc>
        <w:tc>
          <w:tcPr>
            <w:tcW w:w="992" w:type="dxa"/>
            <w:tcBorders>
              <w:top w:val="nil"/>
              <w:left w:val="nil"/>
              <w:bottom w:val="single" w:sz="4" w:space="0" w:color="auto"/>
              <w:right w:val="single" w:sz="4" w:space="0" w:color="auto"/>
            </w:tcBorders>
            <w:shd w:val="clear" w:color="auto" w:fill="B8CCE4" w:themeFill="accent1" w:themeFillTint="66"/>
            <w:vAlign w:val="center"/>
            <w:hideMark/>
          </w:tcPr>
          <w:p w14:paraId="3839A714" w14:textId="77777777" w:rsidR="000118EB" w:rsidRPr="001C1C93" w:rsidRDefault="000118EB" w:rsidP="001C1C93">
            <w:pPr>
              <w:pStyle w:val="Txttable"/>
              <w:rPr>
                <w:rFonts w:ascii="Calibri" w:hAnsi="Calibri"/>
                <w:b/>
                <w:sz w:val="18"/>
                <w:szCs w:val="18"/>
              </w:rPr>
            </w:pPr>
            <w:r w:rsidRPr="001C1C93">
              <w:rPr>
                <w:rFonts w:ascii="Calibri" w:hAnsi="Calibri"/>
                <w:b/>
                <w:sz w:val="18"/>
                <w:szCs w:val="18"/>
              </w:rPr>
              <w:t>Lokalni proračun</w:t>
            </w:r>
          </w:p>
        </w:tc>
        <w:tc>
          <w:tcPr>
            <w:tcW w:w="992" w:type="dxa"/>
            <w:tcBorders>
              <w:top w:val="nil"/>
              <w:left w:val="nil"/>
              <w:bottom w:val="single" w:sz="4" w:space="0" w:color="auto"/>
              <w:right w:val="single" w:sz="4" w:space="0" w:color="auto"/>
            </w:tcBorders>
            <w:shd w:val="clear" w:color="auto" w:fill="B8CCE4" w:themeFill="accent1" w:themeFillTint="66"/>
            <w:vAlign w:val="center"/>
            <w:hideMark/>
          </w:tcPr>
          <w:p w14:paraId="16CB7978" w14:textId="77777777" w:rsidR="000118EB" w:rsidRPr="001C1C93" w:rsidRDefault="000118EB" w:rsidP="001C1C93">
            <w:pPr>
              <w:pStyle w:val="Txttable"/>
              <w:rPr>
                <w:rFonts w:ascii="Calibri" w:hAnsi="Calibri"/>
                <w:b/>
                <w:sz w:val="18"/>
                <w:szCs w:val="18"/>
              </w:rPr>
            </w:pPr>
            <w:r w:rsidRPr="001C1C93">
              <w:rPr>
                <w:rFonts w:ascii="Calibri" w:hAnsi="Calibri"/>
                <w:b/>
                <w:sz w:val="18"/>
                <w:szCs w:val="18"/>
              </w:rPr>
              <w:t>Županijski proračun</w:t>
            </w:r>
          </w:p>
        </w:tc>
        <w:tc>
          <w:tcPr>
            <w:tcW w:w="993" w:type="dxa"/>
            <w:tcBorders>
              <w:top w:val="nil"/>
              <w:left w:val="nil"/>
              <w:bottom w:val="single" w:sz="4" w:space="0" w:color="auto"/>
              <w:right w:val="single" w:sz="4" w:space="0" w:color="auto"/>
            </w:tcBorders>
            <w:shd w:val="clear" w:color="auto" w:fill="B8CCE4" w:themeFill="accent1" w:themeFillTint="66"/>
            <w:vAlign w:val="center"/>
            <w:hideMark/>
          </w:tcPr>
          <w:p w14:paraId="16FFA3D9" w14:textId="77777777" w:rsidR="000118EB" w:rsidRPr="001C1C93" w:rsidRDefault="000118EB" w:rsidP="001C1C93">
            <w:pPr>
              <w:pStyle w:val="Txttable"/>
              <w:rPr>
                <w:rFonts w:ascii="Calibri" w:hAnsi="Calibri"/>
                <w:b/>
                <w:sz w:val="18"/>
                <w:szCs w:val="18"/>
              </w:rPr>
            </w:pPr>
            <w:r w:rsidRPr="001C1C93">
              <w:rPr>
                <w:rFonts w:ascii="Calibri" w:hAnsi="Calibri"/>
                <w:b/>
                <w:sz w:val="18"/>
                <w:szCs w:val="18"/>
              </w:rPr>
              <w:t>Državni proračun</w:t>
            </w:r>
          </w:p>
        </w:tc>
        <w:tc>
          <w:tcPr>
            <w:tcW w:w="992" w:type="dxa"/>
            <w:tcBorders>
              <w:top w:val="nil"/>
              <w:left w:val="nil"/>
              <w:bottom w:val="single" w:sz="4" w:space="0" w:color="auto"/>
              <w:right w:val="single" w:sz="4" w:space="0" w:color="auto"/>
            </w:tcBorders>
            <w:shd w:val="clear" w:color="auto" w:fill="B8CCE4" w:themeFill="accent1" w:themeFillTint="66"/>
            <w:vAlign w:val="center"/>
            <w:hideMark/>
          </w:tcPr>
          <w:p w14:paraId="683D7899" w14:textId="77777777" w:rsidR="000118EB" w:rsidRPr="001C1C93" w:rsidRDefault="000118EB" w:rsidP="001C1C93">
            <w:pPr>
              <w:pStyle w:val="Txttable"/>
              <w:rPr>
                <w:rFonts w:ascii="Calibri" w:hAnsi="Calibri"/>
                <w:b/>
                <w:sz w:val="18"/>
                <w:szCs w:val="18"/>
              </w:rPr>
            </w:pPr>
            <w:r w:rsidRPr="001C1C93">
              <w:rPr>
                <w:rFonts w:ascii="Calibri" w:hAnsi="Calibri"/>
                <w:b/>
                <w:sz w:val="18"/>
                <w:szCs w:val="18"/>
              </w:rPr>
              <w:t>Fondovi EU</w:t>
            </w:r>
          </w:p>
        </w:tc>
        <w:tc>
          <w:tcPr>
            <w:tcW w:w="992" w:type="dxa"/>
            <w:tcBorders>
              <w:top w:val="nil"/>
              <w:left w:val="nil"/>
              <w:bottom w:val="single" w:sz="4" w:space="0" w:color="auto"/>
              <w:right w:val="single" w:sz="4" w:space="0" w:color="auto"/>
            </w:tcBorders>
            <w:shd w:val="clear" w:color="auto" w:fill="B8CCE4" w:themeFill="accent1" w:themeFillTint="66"/>
            <w:vAlign w:val="center"/>
            <w:hideMark/>
          </w:tcPr>
          <w:p w14:paraId="19486B56" w14:textId="77777777" w:rsidR="000118EB" w:rsidRPr="001C1C93" w:rsidRDefault="000118EB" w:rsidP="001C1C93">
            <w:pPr>
              <w:pStyle w:val="Txttable"/>
              <w:rPr>
                <w:rFonts w:ascii="Calibri" w:hAnsi="Calibri"/>
                <w:b/>
                <w:sz w:val="18"/>
                <w:szCs w:val="18"/>
              </w:rPr>
            </w:pPr>
            <w:r w:rsidRPr="001C1C93">
              <w:rPr>
                <w:rFonts w:ascii="Calibri" w:hAnsi="Calibri"/>
                <w:b/>
                <w:sz w:val="18"/>
                <w:szCs w:val="18"/>
              </w:rPr>
              <w:t>Ostalo</w:t>
            </w:r>
          </w:p>
        </w:tc>
        <w:tc>
          <w:tcPr>
            <w:tcW w:w="1347" w:type="dxa"/>
            <w:vMerge/>
            <w:tcBorders>
              <w:left w:val="nil"/>
              <w:bottom w:val="single" w:sz="4" w:space="0" w:color="auto"/>
              <w:right w:val="single" w:sz="4" w:space="0" w:color="auto"/>
            </w:tcBorders>
            <w:shd w:val="clear" w:color="auto" w:fill="B8CCE4" w:themeFill="accent1" w:themeFillTint="66"/>
          </w:tcPr>
          <w:p w14:paraId="2605DAB2" w14:textId="77777777" w:rsidR="000118EB" w:rsidRPr="001C1C93" w:rsidRDefault="000118EB" w:rsidP="001C1C93">
            <w:pPr>
              <w:pStyle w:val="Txttable"/>
              <w:rPr>
                <w:rFonts w:ascii="Calibri" w:hAnsi="Calibri"/>
                <w:b/>
                <w:sz w:val="18"/>
                <w:szCs w:val="18"/>
              </w:rPr>
            </w:pPr>
          </w:p>
        </w:tc>
      </w:tr>
      <w:tr w:rsidR="004132C4" w:rsidRPr="001C1C93" w14:paraId="0EC42369" w14:textId="49A3A386" w:rsidTr="009F022C">
        <w:trPr>
          <w:trHeight w:val="300"/>
        </w:trPr>
        <w:tc>
          <w:tcPr>
            <w:tcW w:w="568" w:type="dxa"/>
            <w:tcBorders>
              <w:top w:val="single" w:sz="4" w:space="0" w:color="auto"/>
              <w:left w:val="single" w:sz="4" w:space="0" w:color="auto"/>
              <w:bottom w:val="dotted" w:sz="4" w:space="0" w:color="auto"/>
              <w:right w:val="single" w:sz="4" w:space="0" w:color="auto"/>
            </w:tcBorders>
            <w:shd w:val="clear" w:color="auto" w:fill="F2F2F2" w:themeFill="background1" w:themeFillShade="F2"/>
            <w:vAlign w:val="center"/>
            <w:hideMark/>
          </w:tcPr>
          <w:p w14:paraId="6969F949"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1.</w:t>
            </w:r>
          </w:p>
        </w:tc>
        <w:tc>
          <w:tcPr>
            <w:tcW w:w="1985" w:type="dxa"/>
            <w:tcBorders>
              <w:top w:val="single" w:sz="4" w:space="0" w:color="auto"/>
              <w:left w:val="nil"/>
              <w:bottom w:val="dotted" w:sz="4" w:space="0" w:color="auto"/>
              <w:right w:val="nil"/>
            </w:tcBorders>
            <w:shd w:val="clear" w:color="auto" w:fill="F2F2F2" w:themeFill="background1" w:themeFillShade="F2"/>
            <w:vAlign w:val="center"/>
            <w:hideMark/>
          </w:tcPr>
          <w:p w14:paraId="218D48F4" w14:textId="061B0A48" w:rsidR="004132C4" w:rsidRPr="001C1C93" w:rsidRDefault="004132C4" w:rsidP="00A23B94">
            <w:pPr>
              <w:pStyle w:val="Txttable"/>
              <w:jc w:val="left"/>
              <w:rPr>
                <w:rFonts w:ascii="Calibri" w:hAnsi="Calibri"/>
                <w:sz w:val="18"/>
                <w:szCs w:val="18"/>
              </w:rPr>
            </w:pPr>
            <w:r w:rsidRPr="001C1C93">
              <w:rPr>
                <w:sz w:val="18"/>
                <w:szCs w:val="18"/>
              </w:rPr>
              <w:t>SC1. Revitalizane urbane cjeline VUPKA</w:t>
            </w:r>
          </w:p>
        </w:tc>
        <w:tc>
          <w:tcPr>
            <w:tcW w:w="1346" w:type="dxa"/>
            <w:tcBorders>
              <w:top w:val="single" w:sz="4" w:space="0" w:color="auto"/>
              <w:left w:val="single" w:sz="4" w:space="0" w:color="auto"/>
              <w:bottom w:val="dotted" w:sz="4" w:space="0" w:color="auto"/>
              <w:right w:val="single" w:sz="4" w:space="0" w:color="auto"/>
            </w:tcBorders>
            <w:shd w:val="clear" w:color="auto" w:fill="F2F2F2" w:themeFill="background1" w:themeFillShade="F2"/>
            <w:vAlign w:val="bottom"/>
            <w:hideMark/>
          </w:tcPr>
          <w:p w14:paraId="44346D8A" w14:textId="4FDFEDF7" w:rsidR="004132C4" w:rsidRPr="001C1C93" w:rsidRDefault="004132C4" w:rsidP="003644D7">
            <w:pPr>
              <w:pStyle w:val="Txttable"/>
              <w:jc w:val="right"/>
              <w:rPr>
                <w:rFonts w:ascii="Calibri" w:hAnsi="Calibri"/>
                <w:sz w:val="18"/>
                <w:szCs w:val="18"/>
              </w:rPr>
            </w:pPr>
            <w:r>
              <w:rPr>
                <w:rFonts w:ascii="Calibri" w:eastAsia="Times New Roman" w:hAnsi="Calibri"/>
                <w:b/>
                <w:bCs/>
                <w:color w:val="000000"/>
                <w:sz w:val="18"/>
                <w:szCs w:val="18"/>
              </w:rPr>
              <w:t xml:space="preserve"> 357,407,200 </w:t>
            </w:r>
          </w:p>
        </w:tc>
        <w:tc>
          <w:tcPr>
            <w:tcW w:w="992" w:type="dxa"/>
            <w:tcBorders>
              <w:top w:val="single" w:sz="4" w:space="0" w:color="auto"/>
              <w:left w:val="nil"/>
              <w:bottom w:val="dotted" w:sz="4" w:space="0" w:color="auto"/>
              <w:right w:val="single" w:sz="4" w:space="0" w:color="auto"/>
            </w:tcBorders>
            <w:shd w:val="clear" w:color="auto" w:fill="F2F2F2" w:themeFill="background1" w:themeFillShade="F2"/>
            <w:vAlign w:val="center"/>
            <w:hideMark/>
          </w:tcPr>
          <w:p w14:paraId="066B725B" w14:textId="77777777" w:rsidR="004132C4" w:rsidRPr="001C1C93" w:rsidRDefault="004132C4" w:rsidP="00A23B94">
            <w:pPr>
              <w:pStyle w:val="Txttable"/>
              <w:jc w:val="left"/>
              <w:rPr>
                <w:rFonts w:ascii="Calibri" w:hAnsi="Calibri"/>
                <w:sz w:val="18"/>
                <w:szCs w:val="18"/>
              </w:rPr>
            </w:pPr>
            <w:r w:rsidRPr="001C1C93">
              <w:rPr>
                <w:rFonts w:ascii="Calibri" w:hAnsi="Calibri"/>
                <w:sz w:val="18"/>
                <w:szCs w:val="18"/>
              </w:rPr>
              <w:t> </w:t>
            </w:r>
          </w:p>
        </w:tc>
        <w:tc>
          <w:tcPr>
            <w:tcW w:w="992" w:type="dxa"/>
            <w:tcBorders>
              <w:top w:val="single" w:sz="4" w:space="0" w:color="auto"/>
              <w:left w:val="nil"/>
              <w:bottom w:val="dotted" w:sz="4" w:space="0" w:color="auto"/>
              <w:right w:val="single" w:sz="4" w:space="0" w:color="auto"/>
            </w:tcBorders>
            <w:shd w:val="clear" w:color="auto" w:fill="F2F2F2" w:themeFill="background1" w:themeFillShade="F2"/>
            <w:noWrap/>
            <w:vAlign w:val="center"/>
            <w:hideMark/>
          </w:tcPr>
          <w:p w14:paraId="630EBC09"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3" w:type="dxa"/>
            <w:tcBorders>
              <w:top w:val="single" w:sz="4" w:space="0" w:color="auto"/>
              <w:left w:val="nil"/>
              <w:bottom w:val="dotted" w:sz="4" w:space="0" w:color="auto"/>
              <w:right w:val="single" w:sz="4" w:space="0" w:color="auto"/>
            </w:tcBorders>
            <w:shd w:val="clear" w:color="auto" w:fill="F2F2F2" w:themeFill="background1" w:themeFillShade="F2"/>
            <w:noWrap/>
            <w:vAlign w:val="center"/>
            <w:hideMark/>
          </w:tcPr>
          <w:p w14:paraId="4750A133"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single" w:sz="4" w:space="0" w:color="auto"/>
              <w:left w:val="nil"/>
              <w:bottom w:val="dotted" w:sz="4" w:space="0" w:color="auto"/>
              <w:right w:val="single" w:sz="4" w:space="0" w:color="auto"/>
            </w:tcBorders>
            <w:shd w:val="clear" w:color="auto" w:fill="F2F2F2" w:themeFill="background1" w:themeFillShade="F2"/>
            <w:noWrap/>
            <w:vAlign w:val="center"/>
            <w:hideMark/>
          </w:tcPr>
          <w:p w14:paraId="7B450BFF"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single" w:sz="4" w:space="0" w:color="auto"/>
              <w:left w:val="nil"/>
              <w:bottom w:val="dotted" w:sz="4" w:space="0" w:color="auto"/>
              <w:right w:val="single" w:sz="4" w:space="0" w:color="auto"/>
            </w:tcBorders>
            <w:shd w:val="clear" w:color="auto" w:fill="F2F2F2" w:themeFill="background1" w:themeFillShade="F2"/>
            <w:noWrap/>
            <w:vAlign w:val="center"/>
            <w:hideMark/>
          </w:tcPr>
          <w:p w14:paraId="22EA3A1D"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1347" w:type="dxa"/>
            <w:tcBorders>
              <w:top w:val="single" w:sz="4" w:space="0" w:color="auto"/>
              <w:left w:val="nil"/>
              <w:bottom w:val="dotted" w:sz="4" w:space="0" w:color="auto"/>
              <w:right w:val="single" w:sz="4" w:space="0" w:color="auto"/>
            </w:tcBorders>
            <w:shd w:val="clear" w:color="auto" w:fill="F2F2F2" w:themeFill="background1" w:themeFillShade="F2"/>
            <w:vAlign w:val="bottom"/>
          </w:tcPr>
          <w:p w14:paraId="25C522C0" w14:textId="17A75441" w:rsidR="004132C4" w:rsidRPr="000118EB" w:rsidRDefault="004132C4" w:rsidP="000118EB">
            <w:pPr>
              <w:pStyle w:val="Txttable"/>
              <w:jc w:val="right"/>
              <w:rPr>
                <w:rFonts w:ascii="Calibri" w:eastAsia="Times New Roman" w:hAnsi="Calibri"/>
                <w:b/>
                <w:bCs/>
                <w:color w:val="000000"/>
                <w:sz w:val="18"/>
                <w:szCs w:val="18"/>
              </w:rPr>
            </w:pPr>
            <w:r w:rsidRPr="004132C4">
              <w:rPr>
                <w:rFonts w:ascii="Calibri" w:eastAsia="Times New Roman" w:hAnsi="Calibri"/>
                <w:b/>
                <w:bCs/>
                <w:color w:val="000000"/>
                <w:sz w:val="18"/>
                <w:szCs w:val="18"/>
              </w:rPr>
              <w:t xml:space="preserve"> 758,768,536 </w:t>
            </w:r>
          </w:p>
        </w:tc>
      </w:tr>
      <w:tr w:rsidR="004132C4" w:rsidRPr="001C1C93" w14:paraId="1E0B2A40" w14:textId="16D2D5C7" w:rsidTr="009F022C">
        <w:trPr>
          <w:trHeight w:val="300"/>
        </w:trPr>
        <w:tc>
          <w:tcPr>
            <w:tcW w:w="568" w:type="dxa"/>
            <w:tcBorders>
              <w:top w:val="dotted" w:sz="4" w:space="0" w:color="auto"/>
              <w:left w:val="single" w:sz="4" w:space="0" w:color="auto"/>
              <w:bottom w:val="dotted" w:sz="4" w:space="0" w:color="auto"/>
              <w:right w:val="single" w:sz="4" w:space="0" w:color="auto"/>
            </w:tcBorders>
            <w:shd w:val="clear" w:color="auto" w:fill="auto"/>
            <w:vAlign w:val="center"/>
            <w:hideMark/>
          </w:tcPr>
          <w:p w14:paraId="158F2174"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1.1.</w:t>
            </w:r>
          </w:p>
        </w:tc>
        <w:tc>
          <w:tcPr>
            <w:tcW w:w="1985" w:type="dxa"/>
            <w:tcBorders>
              <w:top w:val="dotted" w:sz="4" w:space="0" w:color="auto"/>
              <w:left w:val="nil"/>
              <w:bottom w:val="dotted" w:sz="4" w:space="0" w:color="auto"/>
              <w:right w:val="single" w:sz="4" w:space="0" w:color="auto"/>
            </w:tcBorders>
            <w:shd w:val="clear" w:color="auto" w:fill="auto"/>
            <w:vAlign w:val="center"/>
            <w:hideMark/>
          </w:tcPr>
          <w:p w14:paraId="2F031C5C" w14:textId="634E718D" w:rsidR="004132C4" w:rsidRPr="001C1C93" w:rsidRDefault="004132C4" w:rsidP="00A23B94">
            <w:pPr>
              <w:jc w:val="left"/>
              <w:rPr>
                <w:sz w:val="18"/>
                <w:szCs w:val="18"/>
              </w:rPr>
            </w:pPr>
            <w:r w:rsidRPr="001C1C93">
              <w:rPr>
                <w:sz w:val="18"/>
                <w:szCs w:val="18"/>
              </w:rPr>
              <w:t>SC1.P1 Obnova urbanih gradskih jezgri</w:t>
            </w:r>
          </w:p>
        </w:tc>
        <w:tc>
          <w:tcPr>
            <w:tcW w:w="1346" w:type="dxa"/>
            <w:tcBorders>
              <w:top w:val="dotted" w:sz="4" w:space="0" w:color="auto"/>
              <w:left w:val="nil"/>
              <w:bottom w:val="dotted" w:sz="4" w:space="0" w:color="auto"/>
              <w:right w:val="single" w:sz="4" w:space="0" w:color="auto"/>
            </w:tcBorders>
            <w:shd w:val="clear" w:color="auto" w:fill="auto"/>
            <w:vAlign w:val="bottom"/>
            <w:hideMark/>
          </w:tcPr>
          <w:p w14:paraId="2563B843" w14:textId="4017225B" w:rsidR="004132C4" w:rsidRPr="001C1C93" w:rsidRDefault="004132C4" w:rsidP="003644D7">
            <w:pPr>
              <w:pStyle w:val="Txttable"/>
              <w:jc w:val="right"/>
              <w:rPr>
                <w:rFonts w:ascii="Calibri" w:hAnsi="Calibri"/>
                <w:sz w:val="18"/>
                <w:szCs w:val="18"/>
              </w:rPr>
            </w:pPr>
            <w:r>
              <w:rPr>
                <w:rFonts w:ascii="Calibri" w:eastAsia="Times New Roman" w:hAnsi="Calibri"/>
                <w:color w:val="000000"/>
                <w:sz w:val="18"/>
                <w:szCs w:val="18"/>
              </w:rPr>
              <w:t xml:space="preserve"> 143,916,200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14:paraId="14C2C30C"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0EC171D0"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3" w:type="dxa"/>
            <w:tcBorders>
              <w:top w:val="dotted" w:sz="4" w:space="0" w:color="auto"/>
              <w:left w:val="nil"/>
              <w:bottom w:val="dotted" w:sz="4" w:space="0" w:color="auto"/>
              <w:right w:val="single" w:sz="4" w:space="0" w:color="auto"/>
            </w:tcBorders>
            <w:shd w:val="clear" w:color="auto" w:fill="auto"/>
            <w:noWrap/>
            <w:vAlign w:val="center"/>
            <w:hideMark/>
          </w:tcPr>
          <w:p w14:paraId="2E37F2DC"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336CA189"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697DE6C6"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1347" w:type="dxa"/>
            <w:tcBorders>
              <w:top w:val="dotted" w:sz="4" w:space="0" w:color="auto"/>
              <w:left w:val="nil"/>
              <w:bottom w:val="dotted" w:sz="4" w:space="0" w:color="auto"/>
              <w:right w:val="single" w:sz="4" w:space="0" w:color="auto"/>
            </w:tcBorders>
            <w:vAlign w:val="bottom"/>
          </w:tcPr>
          <w:p w14:paraId="315FE559" w14:textId="0FCC74BC" w:rsidR="004132C4" w:rsidRPr="004132C4" w:rsidRDefault="004132C4" w:rsidP="000118EB">
            <w:pPr>
              <w:pStyle w:val="Txttable"/>
              <w:jc w:val="right"/>
              <w:rPr>
                <w:rFonts w:ascii="Calibri" w:eastAsia="Times New Roman" w:hAnsi="Calibri"/>
                <w:bCs/>
                <w:color w:val="000000"/>
                <w:sz w:val="18"/>
                <w:szCs w:val="18"/>
              </w:rPr>
            </w:pPr>
            <w:r w:rsidRPr="004132C4">
              <w:rPr>
                <w:rFonts w:ascii="Calibri" w:eastAsia="Times New Roman" w:hAnsi="Calibri"/>
                <w:bCs/>
                <w:color w:val="000000"/>
                <w:sz w:val="18"/>
                <w:szCs w:val="18"/>
              </w:rPr>
              <w:t xml:space="preserve"> 30,900,000 </w:t>
            </w:r>
          </w:p>
        </w:tc>
      </w:tr>
      <w:tr w:rsidR="004132C4" w:rsidRPr="001C1C93" w14:paraId="7B7CF675" w14:textId="46EE47B2" w:rsidTr="009F022C">
        <w:trPr>
          <w:trHeight w:val="300"/>
        </w:trPr>
        <w:tc>
          <w:tcPr>
            <w:tcW w:w="568" w:type="dxa"/>
            <w:tcBorders>
              <w:top w:val="dotted" w:sz="4" w:space="0" w:color="auto"/>
              <w:left w:val="single" w:sz="4" w:space="0" w:color="auto"/>
              <w:bottom w:val="dotted" w:sz="4" w:space="0" w:color="auto"/>
              <w:right w:val="single" w:sz="4" w:space="0" w:color="auto"/>
            </w:tcBorders>
            <w:shd w:val="clear" w:color="auto" w:fill="auto"/>
            <w:vAlign w:val="center"/>
            <w:hideMark/>
          </w:tcPr>
          <w:p w14:paraId="2D609771"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1.2.</w:t>
            </w:r>
          </w:p>
        </w:tc>
        <w:tc>
          <w:tcPr>
            <w:tcW w:w="1985" w:type="dxa"/>
            <w:tcBorders>
              <w:top w:val="dotted" w:sz="4" w:space="0" w:color="auto"/>
              <w:left w:val="nil"/>
              <w:bottom w:val="dotted" w:sz="4" w:space="0" w:color="auto"/>
              <w:right w:val="single" w:sz="4" w:space="0" w:color="auto"/>
            </w:tcBorders>
            <w:shd w:val="clear" w:color="auto" w:fill="auto"/>
            <w:vAlign w:val="center"/>
            <w:hideMark/>
          </w:tcPr>
          <w:p w14:paraId="6D9E9ABF" w14:textId="3DB4FD9F" w:rsidR="004132C4" w:rsidRPr="001C1C93" w:rsidRDefault="004132C4" w:rsidP="00A23B94">
            <w:pPr>
              <w:jc w:val="left"/>
              <w:rPr>
                <w:sz w:val="18"/>
                <w:szCs w:val="18"/>
              </w:rPr>
            </w:pPr>
            <w:r w:rsidRPr="001C1C93">
              <w:rPr>
                <w:sz w:val="18"/>
                <w:szCs w:val="18"/>
              </w:rPr>
              <w:t>SC1.P2 Razvoj sadržaja za revitalizaciju gospodarskog i društvenog života</w:t>
            </w:r>
          </w:p>
        </w:tc>
        <w:tc>
          <w:tcPr>
            <w:tcW w:w="1346" w:type="dxa"/>
            <w:tcBorders>
              <w:top w:val="dotted" w:sz="4" w:space="0" w:color="auto"/>
              <w:left w:val="nil"/>
              <w:bottom w:val="dotted" w:sz="4" w:space="0" w:color="auto"/>
              <w:right w:val="single" w:sz="4" w:space="0" w:color="auto"/>
            </w:tcBorders>
            <w:shd w:val="clear" w:color="auto" w:fill="auto"/>
            <w:vAlign w:val="bottom"/>
            <w:hideMark/>
          </w:tcPr>
          <w:p w14:paraId="78A38346" w14:textId="26D8E2F6" w:rsidR="004132C4" w:rsidRPr="001C1C93" w:rsidRDefault="004132C4" w:rsidP="003644D7">
            <w:pPr>
              <w:pStyle w:val="Txttable"/>
              <w:jc w:val="right"/>
              <w:rPr>
                <w:rFonts w:ascii="Calibri" w:hAnsi="Calibri"/>
                <w:sz w:val="18"/>
                <w:szCs w:val="18"/>
              </w:rPr>
            </w:pPr>
            <w:r>
              <w:rPr>
                <w:rFonts w:ascii="Calibri" w:eastAsia="Times New Roman" w:hAnsi="Calibri"/>
                <w:color w:val="000000"/>
                <w:sz w:val="18"/>
                <w:szCs w:val="18"/>
              </w:rPr>
              <w:t xml:space="preserve"> 213,491,000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14:paraId="1CDE5665"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18A514B2"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3" w:type="dxa"/>
            <w:tcBorders>
              <w:top w:val="dotted" w:sz="4" w:space="0" w:color="auto"/>
              <w:left w:val="nil"/>
              <w:bottom w:val="dotted" w:sz="4" w:space="0" w:color="auto"/>
              <w:right w:val="single" w:sz="4" w:space="0" w:color="auto"/>
            </w:tcBorders>
            <w:shd w:val="clear" w:color="auto" w:fill="auto"/>
            <w:noWrap/>
            <w:vAlign w:val="center"/>
            <w:hideMark/>
          </w:tcPr>
          <w:p w14:paraId="1017A664"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765706DE"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03AF69DD"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1347" w:type="dxa"/>
            <w:tcBorders>
              <w:top w:val="dotted" w:sz="4" w:space="0" w:color="auto"/>
              <w:left w:val="nil"/>
              <w:bottom w:val="dotted" w:sz="4" w:space="0" w:color="auto"/>
              <w:right w:val="single" w:sz="4" w:space="0" w:color="auto"/>
            </w:tcBorders>
            <w:vAlign w:val="bottom"/>
          </w:tcPr>
          <w:p w14:paraId="3E4152A1" w14:textId="71E37698" w:rsidR="004132C4" w:rsidRPr="004132C4" w:rsidRDefault="004132C4" w:rsidP="000118EB">
            <w:pPr>
              <w:pStyle w:val="Txttable"/>
              <w:jc w:val="right"/>
              <w:rPr>
                <w:rFonts w:ascii="Calibri" w:eastAsia="Times New Roman" w:hAnsi="Calibri"/>
                <w:bCs/>
                <w:color w:val="000000"/>
                <w:sz w:val="18"/>
                <w:szCs w:val="18"/>
              </w:rPr>
            </w:pPr>
            <w:r w:rsidRPr="004132C4">
              <w:rPr>
                <w:rFonts w:ascii="Calibri" w:eastAsia="Times New Roman" w:hAnsi="Calibri"/>
                <w:bCs/>
                <w:color w:val="000000"/>
                <w:sz w:val="18"/>
                <w:szCs w:val="18"/>
              </w:rPr>
              <w:t xml:space="preserve"> 727,868,536 </w:t>
            </w:r>
          </w:p>
        </w:tc>
      </w:tr>
      <w:tr w:rsidR="004132C4" w:rsidRPr="001C1C93" w14:paraId="7A60D52B" w14:textId="6B0BB198" w:rsidTr="009F022C">
        <w:trPr>
          <w:trHeight w:val="300"/>
        </w:trPr>
        <w:tc>
          <w:tcPr>
            <w:tcW w:w="568" w:type="dxa"/>
            <w:tcBorders>
              <w:top w:val="dotted" w:sz="4" w:space="0" w:color="auto"/>
              <w:left w:val="single" w:sz="4" w:space="0" w:color="auto"/>
              <w:bottom w:val="dotted" w:sz="4" w:space="0" w:color="auto"/>
              <w:right w:val="single" w:sz="4" w:space="0" w:color="auto"/>
            </w:tcBorders>
            <w:shd w:val="clear" w:color="auto" w:fill="F2F2F2" w:themeFill="background1" w:themeFillShade="F2"/>
            <w:vAlign w:val="center"/>
            <w:hideMark/>
          </w:tcPr>
          <w:p w14:paraId="0407E908"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2.</w:t>
            </w:r>
          </w:p>
        </w:tc>
        <w:tc>
          <w:tcPr>
            <w:tcW w:w="1985" w:type="dxa"/>
            <w:tcBorders>
              <w:top w:val="dotted" w:sz="4" w:space="0" w:color="auto"/>
              <w:left w:val="nil"/>
              <w:bottom w:val="dotted" w:sz="4" w:space="0" w:color="auto"/>
              <w:right w:val="single" w:sz="4" w:space="0" w:color="auto"/>
            </w:tcBorders>
            <w:shd w:val="clear" w:color="auto" w:fill="F2F2F2" w:themeFill="background1" w:themeFillShade="F2"/>
            <w:vAlign w:val="center"/>
            <w:hideMark/>
          </w:tcPr>
          <w:p w14:paraId="3E839B91" w14:textId="3918875E"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 xml:space="preserve">SC2. </w:t>
            </w:r>
            <w:r w:rsidRPr="001C1C93">
              <w:rPr>
                <w:sz w:val="18"/>
                <w:szCs w:val="18"/>
              </w:rPr>
              <w:t>Velika infrastruktura za održivi razvoj</w:t>
            </w:r>
          </w:p>
        </w:tc>
        <w:tc>
          <w:tcPr>
            <w:tcW w:w="1346" w:type="dxa"/>
            <w:tcBorders>
              <w:top w:val="dotted" w:sz="4" w:space="0" w:color="auto"/>
              <w:left w:val="nil"/>
              <w:bottom w:val="dotted" w:sz="4" w:space="0" w:color="auto"/>
              <w:right w:val="single" w:sz="4" w:space="0" w:color="auto"/>
            </w:tcBorders>
            <w:shd w:val="clear" w:color="auto" w:fill="F2F2F2" w:themeFill="background1" w:themeFillShade="F2"/>
            <w:vAlign w:val="bottom"/>
            <w:hideMark/>
          </w:tcPr>
          <w:p w14:paraId="59F3E456" w14:textId="173E74C9" w:rsidR="004132C4" w:rsidRPr="001C1C93" w:rsidRDefault="004132C4" w:rsidP="00530818">
            <w:pPr>
              <w:pStyle w:val="Txttable"/>
              <w:jc w:val="right"/>
              <w:rPr>
                <w:rFonts w:ascii="Calibri" w:hAnsi="Calibri"/>
                <w:sz w:val="18"/>
                <w:szCs w:val="18"/>
              </w:rPr>
            </w:pPr>
            <w:r>
              <w:rPr>
                <w:rFonts w:ascii="Calibri" w:eastAsia="Times New Roman" w:hAnsi="Calibri"/>
                <w:b/>
                <w:bCs/>
                <w:color w:val="000000"/>
                <w:sz w:val="18"/>
                <w:szCs w:val="18"/>
              </w:rPr>
              <w:t xml:space="preserve"> 703,664,100 </w:t>
            </w:r>
          </w:p>
        </w:tc>
        <w:tc>
          <w:tcPr>
            <w:tcW w:w="992" w:type="dxa"/>
            <w:tcBorders>
              <w:top w:val="dotted" w:sz="4" w:space="0" w:color="auto"/>
              <w:left w:val="nil"/>
              <w:bottom w:val="dotted" w:sz="4" w:space="0" w:color="auto"/>
              <w:right w:val="single" w:sz="4" w:space="0" w:color="auto"/>
            </w:tcBorders>
            <w:shd w:val="clear" w:color="auto" w:fill="F2F2F2" w:themeFill="background1" w:themeFillShade="F2"/>
            <w:vAlign w:val="center"/>
            <w:hideMark/>
          </w:tcPr>
          <w:p w14:paraId="15CD3051" w14:textId="77777777" w:rsidR="004132C4" w:rsidRPr="001C1C93" w:rsidRDefault="004132C4" w:rsidP="00A23B94">
            <w:pPr>
              <w:pStyle w:val="Txttable"/>
              <w:jc w:val="left"/>
              <w:rPr>
                <w:rFonts w:ascii="Calibri" w:hAnsi="Calibri"/>
                <w:sz w:val="18"/>
                <w:szCs w:val="18"/>
              </w:rPr>
            </w:pPr>
            <w:r w:rsidRPr="001C1C93">
              <w:rPr>
                <w:rFonts w:ascii="Calibri" w:hAnsi="Calibri"/>
                <w:sz w:val="18"/>
                <w:szCs w:val="18"/>
              </w:rPr>
              <w:t> </w:t>
            </w:r>
          </w:p>
        </w:tc>
        <w:tc>
          <w:tcPr>
            <w:tcW w:w="992" w:type="dxa"/>
            <w:tcBorders>
              <w:top w:val="dotted" w:sz="4" w:space="0" w:color="auto"/>
              <w:left w:val="nil"/>
              <w:bottom w:val="dotted" w:sz="4" w:space="0" w:color="auto"/>
              <w:right w:val="single" w:sz="4" w:space="0" w:color="auto"/>
            </w:tcBorders>
            <w:shd w:val="clear" w:color="auto" w:fill="F2F2F2" w:themeFill="background1" w:themeFillShade="F2"/>
            <w:noWrap/>
            <w:vAlign w:val="center"/>
            <w:hideMark/>
          </w:tcPr>
          <w:p w14:paraId="7BC33F68"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3" w:type="dxa"/>
            <w:tcBorders>
              <w:top w:val="dotted" w:sz="4" w:space="0" w:color="auto"/>
              <w:left w:val="nil"/>
              <w:bottom w:val="dotted" w:sz="4" w:space="0" w:color="auto"/>
              <w:right w:val="single" w:sz="4" w:space="0" w:color="auto"/>
            </w:tcBorders>
            <w:shd w:val="clear" w:color="auto" w:fill="F2F2F2" w:themeFill="background1" w:themeFillShade="F2"/>
            <w:noWrap/>
            <w:vAlign w:val="center"/>
            <w:hideMark/>
          </w:tcPr>
          <w:p w14:paraId="0C646A87"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F2F2F2" w:themeFill="background1" w:themeFillShade="F2"/>
            <w:noWrap/>
            <w:vAlign w:val="center"/>
            <w:hideMark/>
          </w:tcPr>
          <w:p w14:paraId="03576655"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F2F2F2" w:themeFill="background1" w:themeFillShade="F2"/>
            <w:noWrap/>
            <w:vAlign w:val="center"/>
            <w:hideMark/>
          </w:tcPr>
          <w:p w14:paraId="4AFD8194"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1347" w:type="dxa"/>
            <w:tcBorders>
              <w:top w:val="dotted" w:sz="4" w:space="0" w:color="auto"/>
              <w:left w:val="nil"/>
              <w:bottom w:val="dotted" w:sz="4" w:space="0" w:color="auto"/>
              <w:right w:val="single" w:sz="4" w:space="0" w:color="auto"/>
            </w:tcBorders>
            <w:shd w:val="clear" w:color="auto" w:fill="F2F2F2" w:themeFill="background1" w:themeFillShade="F2"/>
            <w:vAlign w:val="bottom"/>
          </w:tcPr>
          <w:p w14:paraId="3AA8FC85" w14:textId="2ABDAD96" w:rsidR="004132C4" w:rsidRPr="000118EB" w:rsidRDefault="004132C4" w:rsidP="000118EB">
            <w:pPr>
              <w:pStyle w:val="Txttable"/>
              <w:jc w:val="right"/>
              <w:rPr>
                <w:rFonts w:ascii="Calibri" w:eastAsia="Times New Roman" w:hAnsi="Calibri"/>
                <w:b/>
                <w:bCs/>
                <w:color w:val="000000"/>
                <w:sz w:val="18"/>
                <w:szCs w:val="18"/>
              </w:rPr>
            </w:pPr>
            <w:r w:rsidRPr="004132C4">
              <w:rPr>
                <w:rFonts w:ascii="Calibri" w:eastAsia="Times New Roman" w:hAnsi="Calibri"/>
                <w:b/>
                <w:bCs/>
                <w:color w:val="000000"/>
                <w:sz w:val="18"/>
                <w:szCs w:val="18"/>
              </w:rPr>
              <w:t xml:space="preserve"> 399,535,499 </w:t>
            </w:r>
          </w:p>
        </w:tc>
      </w:tr>
      <w:tr w:rsidR="004132C4" w:rsidRPr="001C1C93" w14:paraId="60F2C2E1" w14:textId="7FEC4E28" w:rsidTr="009F022C">
        <w:trPr>
          <w:trHeight w:val="300"/>
        </w:trPr>
        <w:tc>
          <w:tcPr>
            <w:tcW w:w="568" w:type="dxa"/>
            <w:tcBorders>
              <w:top w:val="dotted" w:sz="4" w:space="0" w:color="auto"/>
              <w:left w:val="single" w:sz="4" w:space="0" w:color="auto"/>
              <w:bottom w:val="dotted" w:sz="4" w:space="0" w:color="auto"/>
              <w:right w:val="single" w:sz="4" w:space="0" w:color="auto"/>
            </w:tcBorders>
            <w:shd w:val="clear" w:color="auto" w:fill="auto"/>
            <w:vAlign w:val="center"/>
            <w:hideMark/>
          </w:tcPr>
          <w:p w14:paraId="6FDEBA9E"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2.1.</w:t>
            </w:r>
          </w:p>
        </w:tc>
        <w:tc>
          <w:tcPr>
            <w:tcW w:w="1985" w:type="dxa"/>
            <w:tcBorders>
              <w:top w:val="dotted" w:sz="4" w:space="0" w:color="auto"/>
              <w:left w:val="nil"/>
              <w:bottom w:val="dotted" w:sz="4" w:space="0" w:color="auto"/>
              <w:right w:val="single" w:sz="4" w:space="0" w:color="auto"/>
            </w:tcBorders>
            <w:shd w:val="clear" w:color="auto" w:fill="auto"/>
            <w:vAlign w:val="center"/>
            <w:hideMark/>
          </w:tcPr>
          <w:p w14:paraId="4EAA4419" w14:textId="4CCACDFF" w:rsidR="004132C4" w:rsidRPr="001C1C93" w:rsidRDefault="004132C4" w:rsidP="00A23B94">
            <w:pPr>
              <w:jc w:val="left"/>
              <w:rPr>
                <w:sz w:val="18"/>
                <w:szCs w:val="18"/>
              </w:rPr>
            </w:pPr>
            <w:r>
              <w:rPr>
                <w:sz w:val="18"/>
                <w:szCs w:val="18"/>
              </w:rPr>
              <w:t>SC2.P1 Unapr</w:t>
            </w:r>
            <w:r w:rsidRPr="001C1C93">
              <w:rPr>
                <w:sz w:val="18"/>
                <w:szCs w:val="18"/>
              </w:rPr>
              <w:t xml:space="preserve">jeđenje energetske </w:t>
            </w:r>
            <w:r w:rsidRPr="001C1C93">
              <w:rPr>
                <w:sz w:val="18"/>
                <w:szCs w:val="18"/>
              </w:rPr>
              <w:lastRenderedPageBreak/>
              <w:t>infrastrukture</w:t>
            </w:r>
          </w:p>
        </w:tc>
        <w:tc>
          <w:tcPr>
            <w:tcW w:w="1346" w:type="dxa"/>
            <w:tcBorders>
              <w:top w:val="dotted" w:sz="4" w:space="0" w:color="auto"/>
              <w:left w:val="nil"/>
              <w:bottom w:val="dotted" w:sz="4" w:space="0" w:color="auto"/>
              <w:right w:val="single" w:sz="4" w:space="0" w:color="auto"/>
            </w:tcBorders>
            <w:shd w:val="clear" w:color="auto" w:fill="auto"/>
            <w:vAlign w:val="bottom"/>
            <w:hideMark/>
          </w:tcPr>
          <w:p w14:paraId="750340EE" w14:textId="3FFF6FD9" w:rsidR="004132C4" w:rsidRPr="001C1C93" w:rsidRDefault="004132C4" w:rsidP="00530818">
            <w:pPr>
              <w:pStyle w:val="Txttable"/>
              <w:jc w:val="right"/>
              <w:rPr>
                <w:rFonts w:ascii="Calibri" w:hAnsi="Calibri"/>
                <w:sz w:val="18"/>
                <w:szCs w:val="18"/>
              </w:rPr>
            </w:pPr>
            <w:r>
              <w:rPr>
                <w:rFonts w:ascii="Calibri" w:eastAsia="Times New Roman" w:hAnsi="Calibri"/>
                <w:color w:val="000000"/>
                <w:sz w:val="18"/>
                <w:szCs w:val="18"/>
              </w:rPr>
              <w:lastRenderedPageBreak/>
              <w:t xml:space="preserve"> 229,350,000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14:paraId="3947FFD1"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1A2DBB83"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3" w:type="dxa"/>
            <w:tcBorders>
              <w:top w:val="dotted" w:sz="4" w:space="0" w:color="auto"/>
              <w:left w:val="nil"/>
              <w:bottom w:val="dotted" w:sz="4" w:space="0" w:color="auto"/>
              <w:right w:val="single" w:sz="4" w:space="0" w:color="auto"/>
            </w:tcBorders>
            <w:shd w:val="clear" w:color="auto" w:fill="auto"/>
            <w:noWrap/>
            <w:vAlign w:val="center"/>
            <w:hideMark/>
          </w:tcPr>
          <w:p w14:paraId="677F481C"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18FE4ADE"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6E8AE151"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1347" w:type="dxa"/>
            <w:tcBorders>
              <w:top w:val="dotted" w:sz="4" w:space="0" w:color="auto"/>
              <w:left w:val="nil"/>
              <w:bottom w:val="dotted" w:sz="4" w:space="0" w:color="auto"/>
              <w:right w:val="single" w:sz="4" w:space="0" w:color="auto"/>
            </w:tcBorders>
            <w:vAlign w:val="bottom"/>
          </w:tcPr>
          <w:p w14:paraId="277F5E8D" w14:textId="5D46E77E" w:rsidR="004132C4" w:rsidRPr="004132C4" w:rsidRDefault="004132C4" w:rsidP="000118EB">
            <w:pPr>
              <w:pStyle w:val="Txttable"/>
              <w:jc w:val="right"/>
              <w:rPr>
                <w:rFonts w:ascii="Calibri" w:eastAsia="Times New Roman" w:hAnsi="Calibri"/>
                <w:bCs/>
                <w:color w:val="000000"/>
                <w:sz w:val="18"/>
                <w:szCs w:val="18"/>
              </w:rPr>
            </w:pPr>
            <w:r w:rsidRPr="004132C4">
              <w:rPr>
                <w:rFonts w:ascii="Calibri" w:eastAsia="Times New Roman" w:hAnsi="Calibri"/>
                <w:bCs/>
                <w:color w:val="000000"/>
                <w:sz w:val="18"/>
                <w:szCs w:val="18"/>
              </w:rPr>
              <w:t xml:space="preserve"> 236,400,000 </w:t>
            </w:r>
          </w:p>
        </w:tc>
      </w:tr>
      <w:tr w:rsidR="004132C4" w:rsidRPr="001C1C93" w14:paraId="1A407169" w14:textId="5C5B112D" w:rsidTr="009F022C">
        <w:trPr>
          <w:trHeight w:val="300"/>
        </w:trPr>
        <w:tc>
          <w:tcPr>
            <w:tcW w:w="568" w:type="dxa"/>
            <w:tcBorders>
              <w:top w:val="dotted" w:sz="4" w:space="0" w:color="auto"/>
              <w:left w:val="single" w:sz="4" w:space="0" w:color="auto"/>
              <w:bottom w:val="dotted" w:sz="4" w:space="0" w:color="auto"/>
              <w:right w:val="single" w:sz="4" w:space="0" w:color="auto"/>
            </w:tcBorders>
            <w:shd w:val="clear" w:color="auto" w:fill="auto"/>
            <w:vAlign w:val="center"/>
            <w:hideMark/>
          </w:tcPr>
          <w:p w14:paraId="5C2B25A7"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lastRenderedPageBreak/>
              <w:t>2.2.</w:t>
            </w:r>
          </w:p>
        </w:tc>
        <w:tc>
          <w:tcPr>
            <w:tcW w:w="1985" w:type="dxa"/>
            <w:tcBorders>
              <w:top w:val="dotted" w:sz="4" w:space="0" w:color="auto"/>
              <w:left w:val="nil"/>
              <w:bottom w:val="dotted" w:sz="4" w:space="0" w:color="auto"/>
              <w:right w:val="single" w:sz="4" w:space="0" w:color="auto"/>
            </w:tcBorders>
            <w:shd w:val="clear" w:color="auto" w:fill="auto"/>
            <w:vAlign w:val="center"/>
            <w:hideMark/>
          </w:tcPr>
          <w:p w14:paraId="7E50516E" w14:textId="3F2353D7" w:rsidR="004132C4" w:rsidRPr="001C1C93" w:rsidRDefault="004132C4" w:rsidP="00A23B94">
            <w:pPr>
              <w:jc w:val="left"/>
              <w:rPr>
                <w:sz w:val="18"/>
                <w:szCs w:val="18"/>
              </w:rPr>
            </w:pPr>
            <w:r w:rsidRPr="001C1C93">
              <w:rPr>
                <w:sz w:val="18"/>
                <w:szCs w:val="18"/>
              </w:rPr>
              <w:t>SC2.P2 Poboljšanje mobilnosti i pristupačnosti</w:t>
            </w:r>
          </w:p>
        </w:tc>
        <w:tc>
          <w:tcPr>
            <w:tcW w:w="1346" w:type="dxa"/>
            <w:tcBorders>
              <w:top w:val="dotted" w:sz="4" w:space="0" w:color="auto"/>
              <w:left w:val="nil"/>
              <w:bottom w:val="dotted" w:sz="4" w:space="0" w:color="auto"/>
              <w:right w:val="single" w:sz="4" w:space="0" w:color="auto"/>
            </w:tcBorders>
            <w:shd w:val="clear" w:color="auto" w:fill="auto"/>
            <w:vAlign w:val="bottom"/>
            <w:hideMark/>
          </w:tcPr>
          <w:p w14:paraId="6A50DA07" w14:textId="5AE912BC" w:rsidR="004132C4" w:rsidRPr="001C1C93" w:rsidRDefault="004132C4" w:rsidP="003644D7">
            <w:pPr>
              <w:pStyle w:val="Txttable"/>
              <w:jc w:val="right"/>
              <w:rPr>
                <w:rFonts w:ascii="Calibri" w:hAnsi="Calibri"/>
                <w:sz w:val="18"/>
                <w:szCs w:val="18"/>
              </w:rPr>
            </w:pPr>
            <w:r>
              <w:rPr>
                <w:rFonts w:ascii="Calibri" w:eastAsia="Times New Roman" w:hAnsi="Calibri"/>
                <w:color w:val="000000"/>
                <w:sz w:val="18"/>
                <w:szCs w:val="18"/>
              </w:rPr>
              <w:t xml:space="preserve"> 63,270,600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14:paraId="5048F2CE"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1997BA5B"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3" w:type="dxa"/>
            <w:tcBorders>
              <w:top w:val="dotted" w:sz="4" w:space="0" w:color="auto"/>
              <w:left w:val="nil"/>
              <w:bottom w:val="dotted" w:sz="4" w:space="0" w:color="auto"/>
              <w:right w:val="single" w:sz="4" w:space="0" w:color="auto"/>
            </w:tcBorders>
            <w:shd w:val="clear" w:color="auto" w:fill="auto"/>
            <w:noWrap/>
            <w:vAlign w:val="center"/>
            <w:hideMark/>
          </w:tcPr>
          <w:p w14:paraId="6CD4EFA6"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3FFAB528"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10049122"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1347" w:type="dxa"/>
            <w:tcBorders>
              <w:top w:val="dotted" w:sz="4" w:space="0" w:color="auto"/>
              <w:left w:val="nil"/>
              <w:bottom w:val="dotted" w:sz="4" w:space="0" w:color="auto"/>
              <w:right w:val="single" w:sz="4" w:space="0" w:color="auto"/>
            </w:tcBorders>
            <w:vAlign w:val="bottom"/>
          </w:tcPr>
          <w:p w14:paraId="2CAECFE7" w14:textId="1CA3242E" w:rsidR="004132C4" w:rsidRPr="000118EB" w:rsidRDefault="004132C4" w:rsidP="000118EB">
            <w:pPr>
              <w:pStyle w:val="Txttable"/>
              <w:jc w:val="right"/>
              <w:rPr>
                <w:rFonts w:ascii="Calibri" w:eastAsia="Times New Roman" w:hAnsi="Calibri"/>
                <w:color w:val="000000"/>
                <w:sz w:val="18"/>
                <w:szCs w:val="18"/>
              </w:rPr>
            </w:pPr>
            <w:r w:rsidRPr="004132C4">
              <w:rPr>
                <w:rFonts w:ascii="Calibri" w:eastAsia="Times New Roman" w:hAnsi="Calibri"/>
                <w:color w:val="000000"/>
                <w:sz w:val="18"/>
                <w:szCs w:val="18"/>
              </w:rPr>
              <w:t xml:space="preserve"> 65,265,000 </w:t>
            </w:r>
          </w:p>
        </w:tc>
      </w:tr>
      <w:tr w:rsidR="004132C4" w:rsidRPr="001C1C93" w14:paraId="7BA5C12D" w14:textId="496AA19E" w:rsidTr="009F022C">
        <w:trPr>
          <w:trHeight w:val="300"/>
        </w:trPr>
        <w:tc>
          <w:tcPr>
            <w:tcW w:w="568" w:type="dxa"/>
            <w:tcBorders>
              <w:top w:val="dotted" w:sz="4" w:space="0" w:color="auto"/>
              <w:left w:val="single" w:sz="4" w:space="0" w:color="auto"/>
              <w:bottom w:val="dotted" w:sz="4" w:space="0" w:color="auto"/>
              <w:right w:val="single" w:sz="4" w:space="0" w:color="auto"/>
            </w:tcBorders>
            <w:shd w:val="clear" w:color="auto" w:fill="auto"/>
            <w:vAlign w:val="center"/>
          </w:tcPr>
          <w:p w14:paraId="6C2B347A" w14:textId="35E8FA3D" w:rsidR="004132C4" w:rsidRPr="001C1C93" w:rsidRDefault="004132C4" w:rsidP="00A23B94">
            <w:pPr>
              <w:pStyle w:val="Txttable"/>
              <w:jc w:val="left"/>
              <w:rPr>
                <w:rFonts w:ascii="Calibri" w:hAnsi="Calibri"/>
                <w:noProof/>
                <w:sz w:val="18"/>
                <w:szCs w:val="18"/>
              </w:rPr>
            </w:pPr>
            <w:r>
              <w:rPr>
                <w:rFonts w:ascii="Calibri" w:hAnsi="Calibri"/>
                <w:noProof/>
                <w:sz w:val="18"/>
                <w:szCs w:val="18"/>
              </w:rPr>
              <w:t>2.3</w:t>
            </w:r>
          </w:p>
        </w:tc>
        <w:tc>
          <w:tcPr>
            <w:tcW w:w="1985" w:type="dxa"/>
            <w:tcBorders>
              <w:top w:val="dotted" w:sz="4" w:space="0" w:color="auto"/>
              <w:left w:val="nil"/>
              <w:bottom w:val="dotted" w:sz="4" w:space="0" w:color="auto"/>
              <w:right w:val="single" w:sz="4" w:space="0" w:color="auto"/>
            </w:tcBorders>
            <w:shd w:val="clear" w:color="auto" w:fill="auto"/>
            <w:vAlign w:val="center"/>
          </w:tcPr>
          <w:p w14:paraId="50891D76" w14:textId="7835B310" w:rsidR="004132C4" w:rsidRPr="001C1C93" w:rsidRDefault="004132C4" w:rsidP="00A23B94">
            <w:pPr>
              <w:pStyle w:val="Txttable"/>
              <w:jc w:val="left"/>
              <w:rPr>
                <w:rFonts w:ascii="Calibri" w:hAnsi="Calibri"/>
                <w:noProof/>
                <w:sz w:val="18"/>
                <w:szCs w:val="18"/>
              </w:rPr>
            </w:pPr>
            <w:r w:rsidRPr="001C1C93">
              <w:rPr>
                <w:sz w:val="18"/>
                <w:szCs w:val="18"/>
              </w:rPr>
              <w:t>SC2.P3 Vodna i komunalna infrastruktura</w:t>
            </w:r>
          </w:p>
        </w:tc>
        <w:tc>
          <w:tcPr>
            <w:tcW w:w="1346" w:type="dxa"/>
            <w:tcBorders>
              <w:top w:val="dotted" w:sz="4" w:space="0" w:color="auto"/>
              <w:left w:val="nil"/>
              <w:bottom w:val="dotted" w:sz="4" w:space="0" w:color="auto"/>
              <w:right w:val="single" w:sz="4" w:space="0" w:color="auto"/>
            </w:tcBorders>
            <w:shd w:val="clear" w:color="auto" w:fill="auto"/>
            <w:vAlign w:val="bottom"/>
          </w:tcPr>
          <w:p w14:paraId="373C1C7F" w14:textId="72B02EAB" w:rsidR="004132C4" w:rsidRPr="001C1C93" w:rsidRDefault="004132C4" w:rsidP="003644D7">
            <w:pPr>
              <w:pStyle w:val="Txttable"/>
              <w:jc w:val="right"/>
              <w:rPr>
                <w:rFonts w:ascii="Calibri" w:hAnsi="Calibri"/>
                <w:noProof/>
                <w:sz w:val="18"/>
                <w:szCs w:val="18"/>
              </w:rPr>
            </w:pPr>
            <w:r>
              <w:rPr>
                <w:rFonts w:ascii="Calibri" w:eastAsia="Times New Roman" w:hAnsi="Calibri"/>
                <w:color w:val="000000"/>
                <w:sz w:val="18"/>
                <w:szCs w:val="18"/>
              </w:rPr>
              <w:t xml:space="preserve"> 411,043,500 </w:t>
            </w:r>
          </w:p>
        </w:tc>
        <w:tc>
          <w:tcPr>
            <w:tcW w:w="992" w:type="dxa"/>
            <w:tcBorders>
              <w:top w:val="dotted" w:sz="4" w:space="0" w:color="auto"/>
              <w:left w:val="nil"/>
              <w:bottom w:val="dotted" w:sz="4" w:space="0" w:color="auto"/>
              <w:right w:val="single" w:sz="4" w:space="0" w:color="auto"/>
            </w:tcBorders>
            <w:shd w:val="clear" w:color="auto" w:fill="auto"/>
            <w:vAlign w:val="center"/>
          </w:tcPr>
          <w:p w14:paraId="53B7A53E" w14:textId="77777777" w:rsidR="004132C4" w:rsidRPr="001C1C93" w:rsidRDefault="004132C4" w:rsidP="00A23B94">
            <w:pPr>
              <w:pStyle w:val="Txttable"/>
              <w:jc w:val="left"/>
              <w:rPr>
                <w:rFonts w:ascii="Calibri" w:hAnsi="Calibri"/>
                <w:noProof/>
                <w:sz w:val="18"/>
                <w:szCs w:val="18"/>
              </w:rPr>
            </w:pP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474B1955" w14:textId="77777777" w:rsidR="004132C4" w:rsidRPr="001C1C93" w:rsidRDefault="004132C4" w:rsidP="00A23B94">
            <w:pPr>
              <w:pStyle w:val="Txttable"/>
              <w:jc w:val="left"/>
              <w:rPr>
                <w:rFonts w:ascii="Calibri" w:hAnsi="Calibri" w:cs="Times New Roman"/>
                <w:sz w:val="18"/>
                <w:szCs w:val="18"/>
              </w:rPr>
            </w:pPr>
          </w:p>
        </w:tc>
        <w:tc>
          <w:tcPr>
            <w:tcW w:w="993" w:type="dxa"/>
            <w:tcBorders>
              <w:top w:val="dotted" w:sz="4" w:space="0" w:color="auto"/>
              <w:left w:val="nil"/>
              <w:bottom w:val="dotted" w:sz="4" w:space="0" w:color="auto"/>
              <w:right w:val="single" w:sz="4" w:space="0" w:color="auto"/>
            </w:tcBorders>
            <w:shd w:val="clear" w:color="auto" w:fill="auto"/>
            <w:noWrap/>
            <w:vAlign w:val="center"/>
          </w:tcPr>
          <w:p w14:paraId="2717BB9B" w14:textId="77777777" w:rsidR="004132C4" w:rsidRPr="001C1C93" w:rsidRDefault="004132C4" w:rsidP="00A23B94">
            <w:pPr>
              <w:pStyle w:val="Txttable"/>
              <w:jc w:val="left"/>
              <w:rPr>
                <w:rFonts w:ascii="Calibri" w:hAnsi="Calibri" w:cs="Times New Roman"/>
                <w:sz w:val="18"/>
                <w:szCs w:val="18"/>
              </w:rPr>
            </w:pP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5484E819" w14:textId="77777777" w:rsidR="004132C4" w:rsidRPr="001C1C93" w:rsidRDefault="004132C4" w:rsidP="00A23B94">
            <w:pPr>
              <w:pStyle w:val="Txttable"/>
              <w:jc w:val="left"/>
              <w:rPr>
                <w:rFonts w:ascii="Calibri" w:hAnsi="Calibri" w:cs="Times New Roman"/>
                <w:sz w:val="18"/>
                <w:szCs w:val="18"/>
              </w:rPr>
            </w:pPr>
          </w:p>
        </w:tc>
        <w:tc>
          <w:tcPr>
            <w:tcW w:w="992" w:type="dxa"/>
            <w:tcBorders>
              <w:top w:val="dotted" w:sz="4" w:space="0" w:color="auto"/>
              <w:left w:val="nil"/>
              <w:bottom w:val="dotted" w:sz="4" w:space="0" w:color="auto"/>
              <w:right w:val="single" w:sz="4" w:space="0" w:color="auto"/>
            </w:tcBorders>
            <w:shd w:val="clear" w:color="auto" w:fill="auto"/>
            <w:noWrap/>
            <w:vAlign w:val="center"/>
          </w:tcPr>
          <w:p w14:paraId="09C8E92B" w14:textId="77777777" w:rsidR="004132C4" w:rsidRPr="001C1C93" w:rsidRDefault="004132C4" w:rsidP="00A23B94">
            <w:pPr>
              <w:pStyle w:val="Txttable"/>
              <w:jc w:val="left"/>
              <w:rPr>
                <w:rFonts w:ascii="Calibri" w:hAnsi="Calibri" w:cs="Times New Roman"/>
                <w:sz w:val="18"/>
                <w:szCs w:val="18"/>
              </w:rPr>
            </w:pPr>
          </w:p>
        </w:tc>
        <w:tc>
          <w:tcPr>
            <w:tcW w:w="1347" w:type="dxa"/>
            <w:tcBorders>
              <w:top w:val="dotted" w:sz="4" w:space="0" w:color="auto"/>
              <w:left w:val="nil"/>
              <w:bottom w:val="dotted" w:sz="4" w:space="0" w:color="auto"/>
              <w:right w:val="single" w:sz="4" w:space="0" w:color="auto"/>
            </w:tcBorders>
            <w:vAlign w:val="bottom"/>
          </w:tcPr>
          <w:p w14:paraId="1AC6F5EE" w14:textId="2530CACF" w:rsidR="004132C4" w:rsidRPr="000118EB" w:rsidRDefault="004132C4" w:rsidP="000118EB">
            <w:pPr>
              <w:pStyle w:val="Txttable"/>
              <w:jc w:val="right"/>
              <w:rPr>
                <w:rFonts w:ascii="Calibri" w:eastAsia="Times New Roman" w:hAnsi="Calibri"/>
                <w:color w:val="000000"/>
                <w:sz w:val="18"/>
                <w:szCs w:val="18"/>
              </w:rPr>
            </w:pPr>
            <w:r w:rsidRPr="004132C4">
              <w:rPr>
                <w:rFonts w:ascii="Calibri" w:eastAsia="Times New Roman" w:hAnsi="Calibri"/>
                <w:color w:val="000000"/>
                <w:sz w:val="18"/>
                <w:szCs w:val="18"/>
              </w:rPr>
              <w:t xml:space="preserve"> 97,870,499 </w:t>
            </w:r>
          </w:p>
        </w:tc>
      </w:tr>
      <w:tr w:rsidR="004132C4" w:rsidRPr="000118EB" w14:paraId="7B634A95" w14:textId="5DD56288" w:rsidTr="009F022C">
        <w:trPr>
          <w:trHeight w:val="300"/>
        </w:trPr>
        <w:tc>
          <w:tcPr>
            <w:tcW w:w="568" w:type="dxa"/>
            <w:tcBorders>
              <w:top w:val="dotted" w:sz="4" w:space="0" w:color="auto"/>
              <w:left w:val="single" w:sz="4" w:space="0" w:color="auto"/>
              <w:bottom w:val="dotted" w:sz="4" w:space="0" w:color="auto"/>
              <w:right w:val="single" w:sz="4" w:space="0" w:color="auto"/>
            </w:tcBorders>
            <w:shd w:val="clear" w:color="auto" w:fill="F2F2F2" w:themeFill="background1" w:themeFillShade="F2"/>
            <w:vAlign w:val="center"/>
            <w:hideMark/>
          </w:tcPr>
          <w:p w14:paraId="354B9B7E" w14:textId="77777777" w:rsidR="004132C4" w:rsidRPr="000118EB" w:rsidRDefault="004132C4" w:rsidP="00A23B94">
            <w:pPr>
              <w:pStyle w:val="Txttable"/>
              <w:jc w:val="left"/>
              <w:rPr>
                <w:rFonts w:ascii="Calibri" w:hAnsi="Calibri"/>
                <w:b/>
                <w:sz w:val="18"/>
                <w:szCs w:val="18"/>
              </w:rPr>
            </w:pPr>
            <w:r w:rsidRPr="000118EB">
              <w:rPr>
                <w:rFonts w:ascii="Calibri" w:hAnsi="Calibri"/>
                <w:b/>
                <w:noProof/>
                <w:sz w:val="18"/>
                <w:szCs w:val="18"/>
              </w:rPr>
              <w:t>3.</w:t>
            </w:r>
          </w:p>
        </w:tc>
        <w:tc>
          <w:tcPr>
            <w:tcW w:w="1985" w:type="dxa"/>
            <w:tcBorders>
              <w:top w:val="dotted" w:sz="4" w:space="0" w:color="auto"/>
              <w:left w:val="nil"/>
              <w:bottom w:val="dotted" w:sz="4" w:space="0" w:color="auto"/>
              <w:right w:val="single" w:sz="4" w:space="0" w:color="auto"/>
            </w:tcBorders>
            <w:shd w:val="clear" w:color="auto" w:fill="F2F2F2" w:themeFill="background1" w:themeFillShade="F2"/>
            <w:vAlign w:val="center"/>
            <w:hideMark/>
          </w:tcPr>
          <w:p w14:paraId="3098FC27" w14:textId="1AA8A718" w:rsidR="004132C4" w:rsidRPr="000118EB" w:rsidRDefault="004132C4" w:rsidP="00A23B94">
            <w:pPr>
              <w:pStyle w:val="Txttable"/>
              <w:jc w:val="left"/>
              <w:rPr>
                <w:rFonts w:ascii="Calibri" w:hAnsi="Calibri"/>
                <w:b/>
                <w:sz w:val="18"/>
                <w:szCs w:val="18"/>
              </w:rPr>
            </w:pPr>
            <w:r w:rsidRPr="000118EB">
              <w:rPr>
                <w:rFonts w:ascii="Calibri" w:hAnsi="Calibri"/>
                <w:b/>
                <w:sz w:val="18"/>
                <w:szCs w:val="18"/>
              </w:rPr>
              <w:t xml:space="preserve">SC3. </w:t>
            </w:r>
            <w:r w:rsidRPr="000118EB">
              <w:rPr>
                <w:b/>
                <w:sz w:val="18"/>
                <w:szCs w:val="18"/>
              </w:rPr>
              <w:t>Konkurentno i moderno gospodarstvo VUPKA</w:t>
            </w:r>
          </w:p>
        </w:tc>
        <w:tc>
          <w:tcPr>
            <w:tcW w:w="1346" w:type="dxa"/>
            <w:tcBorders>
              <w:top w:val="dotted" w:sz="4" w:space="0" w:color="auto"/>
              <w:left w:val="nil"/>
              <w:bottom w:val="dotted" w:sz="4" w:space="0" w:color="auto"/>
              <w:right w:val="single" w:sz="4" w:space="0" w:color="auto"/>
            </w:tcBorders>
            <w:shd w:val="clear" w:color="auto" w:fill="F2F2F2" w:themeFill="background1" w:themeFillShade="F2"/>
            <w:vAlign w:val="bottom"/>
            <w:hideMark/>
          </w:tcPr>
          <w:p w14:paraId="780E33AA" w14:textId="1FFB5037" w:rsidR="004132C4" w:rsidRPr="000118EB" w:rsidRDefault="004132C4" w:rsidP="00E203FD">
            <w:pPr>
              <w:pStyle w:val="Txttable"/>
              <w:jc w:val="right"/>
              <w:rPr>
                <w:rFonts w:ascii="Calibri" w:hAnsi="Calibri"/>
                <w:b/>
                <w:sz w:val="18"/>
                <w:szCs w:val="18"/>
              </w:rPr>
            </w:pPr>
            <w:r>
              <w:rPr>
                <w:rFonts w:ascii="Calibri" w:eastAsia="Times New Roman" w:hAnsi="Calibri"/>
                <w:b/>
                <w:bCs/>
                <w:color w:val="000000"/>
                <w:sz w:val="18"/>
                <w:szCs w:val="18"/>
              </w:rPr>
              <w:t xml:space="preserve"> 183,283,721 </w:t>
            </w:r>
          </w:p>
        </w:tc>
        <w:tc>
          <w:tcPr>
            <w:tcW w:w="992" w:type="dxa"/>
            <w:tcBorders>
              <w:top w:val="dotted" w:sz="4" w:space="0" w:color="auto"/>
              <w:left w:val="nil"/>
              <w:bottom w:val="dotted" w:sz="4" w:space="0" w:color="auto"/>
              <w:right w:val="single" w:sz="4" w:space="0" w:color="auto"/>
            </w:tcBorders>
            <w:shd w:val="clear" w:color="auto" w:fill="F2F2F2" w:themeFill="background1" w:themeFillShade="F2"/>
            <w:vAlign w:val="center"/>
            <w:hideMark/>
          </w:tcPr>
          <w:p w14:paraId="7853A188" w14:textId="77777777" w:rsidR="004132C4" w:rsidRPr="000118EB" w:rsidRDefault="004132C4" w:rsidP="00A23B94">
            <w:pPr>
              <w:pStyle w:val="Txttable"/>
              <w:jc w:val="left"/>
              <w:rPr>
                <w:rFonts w:ascii="Calibri" w:hAnsi="Calibri"/>
                <w:b/>
                <w:sz w:val="18"/>
                <w:szCs w:val="18"/>
              </w:rPr>
            </w:pPr>
            <w:r w:rsidRPr="000118EB">
              <w:rPr>
                <w:rFonts w:ascii="Calibri" w:hAnsi="Calibri"/>
                <w:b/>
                <w:sz w:val="18"/>
                <w:szCs w:val="18"/>
              </w:rPr>
              <w:t> </w:t>
            </w:r>
          </w:p>
        </w:tc>
        <w:tc>
          <w:tcPr>
            <w:tcW w:w="992" w:type="dxa"/>
            <w:tcBorders>
              <w:top w:val="dotted" w:sz="4" w:space="0" w:color="auto"/>
              <w:left w:val="nil"/>
              <w:bottom w:val="dotted" w:sz="4" w:space="0" w:color="auto"/>
              <w:right w:val="single" w:sz="4" w:space="0" w:color="auto"/>
            </w:tcBorders>
            <w:shd w:val="clear" w:color="auto" w:fill="F2F2F2" w:themeFill="background1" w:themeFillShade="F2"/>
            <w:noWrap/>
            <w:vAlign w:val="center"/>
            <w:hideMark/>
          </w:tcPr>
          <w:p w14:paraId="3B68C5A8" w14:textId="77777777" w:rsidR="004132C4" w:rsidRPr="000118EB" w:rsidRDefault="004132C4" w:rsidP="00A23B94">
            <w:pPr>
              <w:pStyle w:val="Txttable"/>
              <w:jc w:val="left"/>
              <w:rPr>
                <w:rFonts w:ascii="Calibri" w:hAnsi="Calibri" w:cs="Times New Roman"/>
                <w:b/>
                <w:sz w:val="18"/>
                <w:szCs w:val="18"/>
              </w:rPr>
            </w:pPr>
            <w:r w:rsidRPr="000118EB">
              <w:rPr>
                <w:rFonts w:ascii="Calibri" w:hAnsi="Calibri" w:cs="Times New Roman"/>
                <w:b/>
                <w:sz w:val="18"/>
                <w:szCs w:val="18"/>
              </w:rPr>
              <w:t> </w:t>
            </w:r>
          </w:p>
        </w:tc>
        <w:tc>
          <w:tcPr>
            <w:tcW w:w="993" w:type="dxa"/>
            <w:tcBorders>
              <w:top w:val="dotted" w:sz="4" w:space="0" w:color="auto"/>
              <w:left w:val="nil"/>
              <w:bottom w:val="dotted" w:sz="4" w:space="0" w:color="auto"/>
              <w:right w:val="single" w:sz="4" w:space="0" w:color="auto"/>
            </w:tcBorders>
            <w:shd w:val="clear" w:color="auto" w:fill="F2F2F2" w:themeFill="background1" w:themeFillShade="F2"/>
            <w:noWrap/>
            <w:vAlign w:val="center"/>
            <w:hideMark/>
          </w:tcPr>
          <w:p w14:paraId="3D73A38F" w14:textId="77777777" w:rsidR="004132C4" w:rsidRPr="000118EB" w:rsidRDefault="004132C4" w:rsidP="00A23B94">
            <w:pPr>
              <w:pStyle w:val="Txttable"/>
              <w:jc w:val="left"/>
              <w:rPr>
                <w:rFonts w:ascii="Calibri" w:hAnsi="Calibri" w:cs="Times New Roman"/>
                <w:b/>
                <w:sz w:val="18"/>
                <w:szCs w:val="18"/>
              </w:rPr>
            </w:pPr>
            <w:r w:rsidRPr="000118EB">
              <w:rPr>
                <w:rFonts w:ascii="Calibri" w:hAnsi="Calibri" w:cs="Times New Roman"/>
                <w:b/>
                <w:sz w:val="18"/>
                <w:szCs w:val="18"/>
              </w:rPr>
              <w:t> </w:t>
            </w:r>
          </w:p>
        </w:tc>
        <w:tc>
          <w:tcPr>
            <w:tcW w:w="992" w:type="dxa"/>
            <w:tcBorders>
              <w:top w:val="dotted" w:sz="4" w:space="0" w:color="auto"/>
              <w:left w:val="nil"/>
              <w:bottom w:val="dotted" w:sz="4" w:space="0" w:color="auto"/>
              <w:right w:val="single" w:sz="4" w:space="0" w:color="auto"/>
            </w:tcBorders>
            <w:shd w:val="clear" w:color="auto" w:fill="F2F2F2" w:themeFill="background1" w:themeFillShade="F2"/>
            <w:noWrap/>
            <w:vAlign w:val="center"/>
            <w:hideMark/>
          </w:tcPr>
          <w:p w14:paraId="18568383" w14:textId="77777777" w:rsidR="004132C4" w:rsidRPr="000118EB" w:rsidRDefault="004132C4" w:rsidP="00A23B94">
            <w:pPr>
              <w:pStyle w:val="Txttable"/>
              <w:jc w:val="left"/>
              <w:rPr>
                <w:rFonts w:ascii="Calibri" w:hAnsi="Calibri" w:cs="Times New Roman"/>
                <w:b/>
                <w:sz w:val="18"/>
                <w:szCs w:val="18"/>
              </w:rPr>
            </w:pPr>
            <w:r w:rsidRPr="000118EB">
              <w:rPr>
                <w:rFonts w:ascii="Calibri" w:hAnsi="Calibri" w:cs="Times New Roman"/>
                <w:b/>
                <w:sz w:val="18"/>
                <w:szCs w:val="18"/>
              </w:rPr>
              <w:t> </w:t>
            </w:r>
          </w:p>
        </w:tc>
        <w:tc>
          <w:tcPr>
            <w:tcW w:w="992" w:type="dxa"/>
            <w:tcBorders>
              <w:top w:val="dotted" w:sz="4" w:space="0" w:color="auto"/>
              <w:left w:val="nil"/>
              <w:bottom w:val="dotted" w:sz="4" w:space="0" w:color="auto"/>
              <w:right w:val="single" w:sz="4" w:space="0" w:color="auto"/>
            </w:tcBorders>
            <w:shd w:val="clear" w:color="auto" w:fill="F2F2F2" w:themeFill="background1" w:themeFillShade="F2"/>
            <w:noWrap/>
            <w:vAlign w:val="center"/>
            <w:hideMark/>
          </w:tcPr>
          <w:p w14:paraId="49FFF4E8" w14:textId="77777777" w:rsidR="004132C4" w:rsidRPr="000118EB" w:rsidRDefault="004132C4" w:rsidP="00A23B94">
            <w:pPr>
              <w:pStyle w:val="Txttable"/>
              <w:jc w:val="left"/>
              <w:rPr>
                <w:rFonts w:ascii="Calibri" w:hAnsi="Calibri" w:cs="Times New Roman"/>
                <w:b/>
                <w:sz w:val="18"/>
                <w:szCs w:val="18"/>
              </w:rPr>
            </w:pPr>
            <w:r w:rsidRPr="000118EB">
              <w:rPr>
                <w:rFonts w:ascii="Calibri" w:hAnsi="Calibri" w:cs="Times New Roman"/>
                <w:b/>
                <w:sz w:val="18"/>
                <w:szCs w:val="18"/>
              </w:rPr>
              <w:t> </w:t>
            </w:r>
          </w:p>
        </w:tc>
        <w:tc>
          <w:tcPr>
            <w:tcW w:w="1347" w:type="dxa"/>
            <w:tcBorders>
              <w:top w:val="dotted" w:sz="4" w:space="0" w:color="auto"/>
              <w:left w:val="nil"/>
              <w:bottom w:val="dotted" w:sz="4" w:space="0" w:color="auto"/>
              <w:right w:val="single" w:sz="4" w:space="0" w:color="auto"/>
            </w:tcBorders>
            <w:shd w:val="clear" w:color="auto" w:fill="F2F2F2" w:themeFill="background1" w:themeFillShade="F2"/>
            <w:vAlign w:val="bottom"/>
          </w:tcPr>
          <w:p w14:paraId="5E31E8A6" w14:textId="667E485F" w:rsidR="004132C4" w:rsidRPr="004132C4" w:rsidRDefault="004132C4" w:rsidP="000118EB">
            <w:pPr>
              <w:pStyle w:val="Txttable"/>
              <w:jc w:val="right"/>
              <w:rPr>
                <w:rFonts w:ascii="Calibri" w:eastAsia="Times New Roman" w:hAnsi="Calibri"/>
                <w:b/>
                <w:color w:val="000000"/>
                <w:sz w:val="18"/>
                <w:szCs w:val="18"/>
              </w:rPr>
            </w:pPr>
            <w:r w:rsidRPr="004132C4">
              <w:rPr>
                <w:rFonts w:ascii="Calibri" w:eastAsia="Times New Roman" w:hAnsi="Calibri"/>
                <w:b/>
                <w:color w:val="000000"/>
                <w:sz w:val="18"/>
                <w:szCs w:val="18"/>
              </w:rPr>
              <w:t xml:space="preserve"> 128,153,671 </w:t>
            </w:r>
          </w:p>
        </w:tc>
      </w:tr>
      <w:tr w:rsidR="004132C4" w:rsidRPr="001C1C93" w14:paraId="018C060C" w14:textId="3BB72210" w:rsidTr="009F022C">
        <w:trPr>
          <w:trHeight w:val="300"/>
        </w:trPr>
        <w:tc>
          <w:tcPr>
            <w:tcW w:w="568" w:type="dxa"/>
            <w:tcBorders>
              <w:top w:val="dotted" w:sz="4" w:space="0" w:color="auto"/>
              <w:left w:val="single" w:sz="4" w:space="0" w:color="auto"/>
              <w:bottom w:val="dotted" w:sz="4" w:space="0" w:color="auto"/>
              <w:right w:val="single" w:sz="4" w:space="0" w:color="auto"/>
            </w:tcBorders>
            <w:shd w:val="clear" w:color="auto" w:fill="auto"/>
            <w:vAlign w:val="center"/>
            <w:hideMark/>
          </w:tcPr>
          <w:p w14:paraId="2B314252"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3.1.</w:t>
            </w:r>
          </w:p>
        </w:tc>
        <w:tc>
          <w:tcPr>
            <w:tcW w:w="1985" w:type="dxa"/>
            <w:tcBorders>
              <w:top w:val="dotted" w:sz="4" w:space="0" w:color="auto"/>
              <w:left w:val="nil"/>
              <w:bottom w:val="dotted" w:sz="4" w:space="0" w:color="auto"/>
              <w:right w:val="single" w:sz="4" w:space="0" w:color="auto"/>
            </w:tcBorders>
            <w:shd w:val="clear" w:color="auto" w:fill="auto"/>
            <w:vAlign w:val="center"/>
            <w:hideMark/>
          </w:tcPr>
          <w:p w14:paraId="1BCA17F0" w14:textId="27BEF1C9" w:rsidR="004132C4" w:rsidRPr="001C1C93" w:rsidRDefault="004132C4" w:rsidP="00A23B94">
            <w:pPr>
              <w:jc w:val="left"/>
              <w:rPr>
                <w:sz w:val="18"/>
                <w:szCs w:val="18"/>
              </w:rPr>
            </w:pPr>
            <w:r w:rsidRPr="001C1C93">
              <w:rPr>
                <w:sz w:val="18"/>
                <w:szCs w:val="18"/>
              </w:rPr>
              <w:t>SC3.P1 Podrška malom i srednjem poduzetništvu</w:t>
            </w:r>
          </w:p>
        </w:tc>
        <w:tc>
          <w:tcPr>
            <w:tcW w:w="1346" w:type="dxa"/>
            <w:tcBorders>
              <w:top w:val="dotted" w:sz="4" w:space="0" w:color="auto"/>
              <w:left w:val="nil"/>
              <w:bottom w:val="dotted" w:sz="4" w:space="0" w:color="auto"/>
              <w:right w:val="single" w:sz="4" w:space="0" w:color="auto"/>
            </w:tcBorders>
            <w:shd w:val="clear" w:color="auto" w:fill="auto"/>
            <w:vAlign w:val="bottom"/>
            <w:hideMark/>
          </w:tcPr>
          <w:p w14:paraId="330504FD" w14:textId="664E9B3D" w:rsidR="004132C4" w:rsidRPr="001C1C93" w:rsidRDefault="004132C4" w:rsidP="003644D7">
            <w:pPr>
              <w:pStyle w:val="Txttable"/>
              <w:jc w:val="right"/>
              <w:rPr>
                <w:rFonts w:ascii="Calibri" w:hAnsi="Calibri"/>
                <w:sz w:val="18"/>
                <w:szCs w:val="18"/>
              </w:rPr>
            </w:pPr>
            <w:r>
              <w:rPr>
                <w:rFonts w:ascii="Calibri" w:eastAsia="Times New Roman" w:hAnsi="Calibri"/>
                <w:color w:val="000000"/>
                <w:sz w:val="18"/>
                <w:szCs w:val="18"/>
              </w:rPr>
              <w:t xml:space="preserve"> 20,610,947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14:paraId="4550C856"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47225618"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3" w:type="dxa"/>
            <w:tcBorders>
              <w:top w:val="dotted" w:sz="4" w:space="0" w:color="auto"/>
              <w:left w:val="nil"/>
              <w:bottom w:val="dotted" w:sz="4" w:space="0" w:color="auto"/>
              <w:right w:val="single" w:sz="4" w:space="0" w:color="auto"/>
            </w:tcBorders>
            <w:shd w:val="clear" w:color="auto" w:fill="auto"/>
            <w:noWrap/>
            <w:vAlign w:val="center"/>
            <w:hideMark/>
          </w:tcPr>
          <w:p w14:paraId="0B4DC22B"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411EB13B"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5181F475"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1347" w:type="dxa"/>
            <w:tcBorders>
              <w:top w:val="dotted" w:sz="4" w:space="0" w:color="auto"/>
              <w:left w:val="nil"/>
              <w:bottom w:val="dotted" w:sz="4" w:space="0" w:color="auto"/>
              <w:right w:val="single" w:sz="4" w:space="0" w:color="auto"/>
            </w:tcBorders>
            <w:vAlign w:val="bottom"/>
          </w:tcPr>
          <w:p w14:paraId="7BA2A004" w14:textId="66C8A5C0" w:rsidR="004132C4" w:rsidRPr="000118EB" w:rsidRDefault="004132C4" w:rsidP="000118EB">
            <w:pPr>
              <w:pStyle w:val="Txttable"/>
              <w:jc w:val="right"/>
              <w:rPr>
                <w:rFonts w:ascii="Calibri" w:eastAsia="Times New Roman" w:hAnsi="Calibri"/>
                <w:color w:val="000000"/>
                <w:sz w:val="18"/>
                <w:szCs w:val="18"/>
              </w:rPr>
            </w:pPr>
            <w:r w:rsidRPr="004132C4">
              <w:rPr>
                <w:rFonts w:ascii="Calibri" w:eastAsia="Times New Roman" w:hAnsi="Calibri"/>
                <w:color w:val="000000"/>
                <w:sz w:val="18"/>
                <w:szCs w:val="18"/>
              </w:rPr>
              <w:t xml:space="preserve"> 12,900,000 </w:t>
            </w:r>
          </w:p>
        </w:tc>
      </w:tr>
      <w:tr w:rsidR="004132C4" w:rsidRPr="001C1C93" w14:paraId="6B07BBFC" w14:textId="28E1C259" w:rsidTr="009F022C">
        <w:trPr>
          <w:trHeight w:val="300"/>
        </w:trPr>
        <w:tc>
          <w:tcPr>
            <w:tcW w:w="568" w:type="dxa"/>
            <w:tcBorders>
              <w:top w:val="dotted" w:sz="4" w:space="0" w:color="auto"/>
              <w:left w:val="single" w:sz="4" w:space="0" w:color="auto"/>
              <w:bottom w:val="dotted" w:sz="4" w:space="0" w:color="auto"/>
              <w:right w:val="single" w:sz="4" w:space="0" w:color="auto"/>
            </w:tcBorders>
            <w:shd w:val="clear" w:color="auto" w:fill="auto"/>
            <w:vAlign w:val="center"/>
            <w:hideMark/>
          </w:tcPr>
          <w:p w14:paraId="73D0B028"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3.2.</w:t>
            </w:r>
          </w:p>
        </w:tc>
        <w:tc>
          <w:tcPr>
            <w:tcW w:w="1985" w:type="dxa"/>
            <w:tcBorders>
              <w:top w:val="dotted" w:sz="4" w:space="0" w:color="auto"/>
              <w:left w:val="nil"/>
              <w:bottom w:val="dotted" w:sz="4" w:space="0" w:color="auto"/>
              <w:right w:val="single" w:sz="4" w:space="0" w:color="auto"/>
            </w:tcBorders>
            <w:shd w:val="clear" w:color="auto" w:fill="auto"/>
            <w:vAlign w:val="center"/>
            <w:hideMark/>
          </w:tcPr>
          <w:p w14:paraId="2802D868" w14:textId="53671DA4" w:rsidR="004132C4" w:rsidRPr="001C1C93" w:rsidRDefault="004132C4" w:rsidP="00A23B94">
            <w:pPr>
              <w:jc w:val="left"/>
              <w:rPr>
                <w:sz w:val="18"/>
                <w:szCs w:val="18"/>
              </w:rPr>
            </w:pPr>
            <w:r w:rsidRPr="001C1C93">
              <w:rPr>
                <w:sz w:val="18"/>
                <w:szCs w:val="18"/>
              </w:rPr>
              <w:t>SC3.P2 Razvoj vještina, znanja i kapaciteta za moderno gospodarstvo</w:t>
            </w:r>
          </w:p>
        </w:tc>
        <w:tc>
          <w:tcPr>
            <w:tcW w:w="1346" w:type="dxa"/>
            <w:tcBorders>
              <w:top w:val="dotted" w:sz="4" w:space="0" w:color="auto"/>
              <w:left w:val="nil"/>
              <w:bottom w:val="dotted" w:sz="4" w:space="0" w:color="auto"/>
              <w:right w:val="single" w:sz="4" w:space="0" w:color="auto"/>
            </w:tcBorders>
            <w:shd w:val="clear" w:color="auto" w:fill="auto"/>
            <w:vAlign w:val="bottom"/>
            <w:hideMark/>
          </w:tcPr>
          <w:p w14:paraId="1034E620" w14:textId="3B6856AF" w:rsidR="004132C4" w:rsidRPr="001C1C93" w:rsidRDefault="004132C4" w:rsidP="00E203FD">
            <w:pPr>
              <w:pStyle w:val="Txttable"/>
              <w:jc w:val="right"/>
              <w:rPr>
                <w:rFonts w:ascii="Calibri" w:hAnsi="Calibri"/>
                <w:sz w:val="18"/>
                <w:szCs w:val="18"/>
              </w:rPr>
            </w:pPr>
            <w:r>
              <w:rPr>
                <w:rFonts w:ascii="Calibri" w:eastAsia="Times New Roman" w:hAnsi="Calibri"/>
                <w:color w:val="000000"/>
                <w:sz w:val="18"/>
                <w:szCs w:val="18"/>
              </w:rPr>
              <w:t xml:space="preserve"> 143,872,774 </w:t>
            </w:r>
          </w:p>
        </w:tc>
        <w:tc>
          <w:tcPr>
            <w:tcW w:w="992" w:type="dxa"/>
            <w:tcBorders>
              <w:top w:val="dotted" w:sz="4" w:space="0" w:color="auto"/>
              <w:left w:val="nil"/>
              <w:bottom w:val="dotted" w:sz="4" w:space="0" w:color="auto"/>
              <w:right w:val="single" w:sz="4" w:space="0" w:color="auto"/>
            </w:tcBorders>
            <w:shd w:val="clear" w:color="auto" w:fill="auto"/>
            <w:vAlign w:val="center"/>
            <w:hideMark/>
          </w:tcPr>
          <w:p w14:paraId="6B7F85E6" w14:textId="77777777" w:rsidR="004132C4" w:rsidRPr="001C1C93" w:rsidRDefault="004132C4" w:rsidP="00A23B94">
            <w:pPr>
              <w:pStyle w:val="Txttable"/>
              <w:jc w:val="left"/>
              <w:rPr>
                <w:rFonts w:ascii="Calibri" w:hAnsi="Calibri"/>
                <w:sz w:val="18"/>
                <w:szCs w:val="18"/>
              </w:rPr>
            </w:pPr>
            <w:r w:rsidRPr="001C1C93">
              <w:rPr>
                <w:rFonts w:ascii="Calibri" w:hAnsi="Calibri"/>
                <w:noProof/>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1640B5A7"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3" w:type="dxa"/>
            <w:tcBorders>
              <w:top w:val="dotted" w:sz="4" w:space="0" w:color="auto"/>
              <w:left w:val="nil"/>
              <w:bottom w:val="dotted" w:sz="4" w:space="0" w:color="auto"/>
              <w:right w:val="single" w:sz="4" w:space="0" w:color="auto"/>
            </w:tcBorders>
            <w:shd w:val="clear" w:color="auto" w:fill="auto"/>
            <w:noWrap/>
            <w:vAlign w:val="center"/>
            <w:hideMark/>
          </w:tcPr>
          <w:p w14:paraId="4B858D20"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5D83ED13"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992" w:type="dxa"/>
            <w:tcBorders>
              <w:top w:val="dotted" w:sz="4" w:space="0" w:color="auto"/>
              <w:left w:val="nil"/>
              <w:bottom w:val="dotted" w:sz="4" w:space="0" w:color="auto"/>
              <w:right w:val="single" w:sz="4" w:space="0" w:color="auto"/>
            </w:tcBorders>
            <w:shd w:val="clear" w:color="auto" w:fill="auto"/>
            <w:noWrap/>
            <w:vAlign w:val="center"/>
            <w:hideMark/>
          </w:tcPr>
          <w:p w14:paraId="292AD3AF" w14:textId="77777777" w:rsidR="004132C4" w:rsidRPr="001C1C93" w:rsidRDefault="004132C4" w:rsidP="00A23B94">
            <w:pPr>
              <w:pStyle w:val="Txttable"/>
              <w:jc w:val="left"/>
              <w:rPr>
                <w:rFonts w:ascii="Calibri" w:hAnsi="Calibri" w:cs="Times New Roman"/>
                <w:sz w:val="18"/>
                <w:szCs w:val="18"/>
              </w:rPr>
            </w:pPr>
            <w:r w:rsidRPr="001C1C93">
              <w:rPr>
                <w:rFonts w:ascii="Calibri" w:hAnsi="Calibri" w:cs="Times New Roman"/>
                <w:sz w:val="18"/>
                <w:szCs w:val="18"/>
              </w:rPr>
              <w:t> </w:t>
            </w:r>
          </w:p>
        </w:tc>
        <w:tc>
          <w:tcPr>
            <w:tcW w:w="1347" w:type="dxa"/>
            <w:tcBorders>
              <w:top w:val="dotted" w:sz="4" w:space="0" w:color="auto"/>
              <w:left w:val="nil"/>
              <w:bottom w:val="dotted" w:sz="4" w:space="0" w:color="auto"/>
              <w:right w:val="single" w:sz="4" w:space="0" w:color="auto"/>
            </w:tcBorders>
            <w:vAlign w:val="bottom"/>
          </w:tcPr>
          <w:p w14:paraId="77E9A4C6" w14:textId="1C192A46" w:rsidR="004132C4" w:rsidRPr="000118EB" w:rsidRDefault="004132C4" w:rsidP="000118EB">
            <w:pPr>
              <w:pStyle w:val="Txttable"/>
              <w:jc w:val="right"/>
              <w:rPr>
                <w:rFonts w:ascii="Calibri" w:eastAsia="Times New Roman" w:hAnsi="Calibri"/>
                <w:color w:val="000000"/>
                <w:sz w:val="18"/>
                <w:szCs w:val="18"/>
              </w:rPr>
            </w:pPr>
            <w:r w:rsidRPr="004132C4">
              <w:rPr>
                <w:rFonts w:ascii="Calibri" w:eastAsia="Times New Roman" w:hAnsi="Calibri"/>
                <w:color w:val="000000"/>
                <w:sz w:val="18"/>
                <w:szCs w:val="18"/>
              </w:rPr>
              <w:t xml:space="preserve"> 46,773,671 </w:t>
            </w:r>
          </w:p>
        </w:tc>
      </w:tr>
      <w:tr w:rsidR="004132C4" w:rsidRPr="001C1C93" w14:paraId="3186E33A" w14:textId="596334F7" w:rsidTr="009F022C">
        <w:trPr>
          <w:trHeight w:val="300"/>
        </w:trPr>
        <w:tc>
          <w:tcPr>
            <w:tcW w:w="568" w:type="dxa"/>
            <w:tcBorders>
              <w:top w:val="dotted" w:sz="4" w:space="0" w:color="auto"/>
              <w:left w:val="single" w:sz="4" w:space="0" w:color="auto"/>
              <w:bottom w:val="single" w:sz="4" w:space="0" w:color="auto"/>
              <w:right w:val="single" w:sz="4" w:space="0" w:color="auto"/>
            </w:tcBorders>
            <w:shd w:val="clear" w:color="auto" w:fill="auto"/>
            <w:vAlign w:val="center"/>
          </w:tcPr>
          <w:p w14:paraId="6079B21E" w14:textId="10871E50" w:rsidR="004132C4" w:rsidRPr="001C1C93" w:rsidRDefault="004132C4" w:rsidP="00A23B94">
            <w:pPr>
              <w:pStyle w:val="Txttable"/>
              <w:jc w:val="left"/>
              <w:rPr>
                <w:rFonts w:ascii="Calibri" w:hAnsi="Calibri"/>
                <w:noProof/>
                <w:sz w:val="18"/>
                <w:szCs w:val="18"/>
              </w:rPr>
            </w:pPr>
            <w:r>
              <w:rPr>
                <w:rFonts w:ascii="Calibri" w:hAnsi="Calibri"/>
                <w:noProof/>
                <w:sz w:val="18"/>
                <w:szCs w:val="18"/>
              </w:rPr>
              <w:t>3.3.</w:t>
            </w:r>
          </w:p>
        </w:tc>
        <w:tc>
          <w:tcPr>
            <w:tcW w:w="1985" w:type="dxa"/>
            <w:tcBorders>
              <w:top w:val="dotted" w:sz="4" w:space="0" w:color="auto"/>
              <w:left w:val="nil"/>
              <w:bottom w:val="single" w:sz="4" w:space="0" w:color="auto"/>
              <w:right w:val="single" w:sz="4" w:space="0" w:color="auto"/>
            </w:tcBorders>
            <w:shd w:val="clear" w:color="auto" w:fill="auto"/>
            <w:vAlign w:val="center"/>
          </w:tcPr>
          <w:p w14:paraId="37B304FC" w14:textId="26445D60" w:rsidR="004132C4" w:rsidRPr="001C1C93" w:rsidRDefault="004132C4" w:rsidP="00A23B94">
            <w:pPr>
              <w:jc w:val="left"/>
              <w:rPr>
                <w:sz w:val="18"/>
                <w:szCs w:val="18"/>
              </w:rPr>
            </w:pPr>
            <w:r w:rsidRPr="001C1C93">
              <w:rPr>
                <w:sz w:val="18"/>
                <w:szCs w:val="18"/>
              </w:rPr>
              <w:t>SC3. P3 Razvoj održive bio-ekonomije</w:t>
            </w:r>
          </w:p>
        </w:tc>
        <w:tc>
          <w:tcPr>
            <w:tcW w:w="1346" w:type="dxa"/>
            <w:tcBorders>
              <w:top w:val="dotted" w:sz="4" w:space="0" w:color="auto"/>
              <w:left w:val="nil"/>
              <w:bottom w:val="single" w:sz="4" w:space="0" w:color="auto"/>
              <w:right w:val="single" w:sz="4" w:space="0" w:color="auto"/>
            </w:tcBorders>
            <w:shd w:val="clear" w:color="auto" w:fill="auto"/>
            <w:vAlign w:val="bottom"/>
          </w:tcPr>
          <w:p w14:paraId="69D31A73" w14:textId="1A6AAE1D" w:rsidR="004132C4" w:rsidRPr="001C1C93" w:rsidRDefault="004132C4" w:rsidP="003644D7">
            <w:pPr>
              <w:pStyle w:val="Txttable"/>
              <w:jc w:val="right"/>
              <w:rPr>
                <w:rFonts w:ascii="Calibri" w:hAnsi="Calibri"/>
                <w:noProof/>
                <w:sz w:val="18"/>
                <w:szCs w:val="18"/>
              </w:rPr>
            </w:pPr>
            <w:r>
              <w:rPr>
                <w:rFonts w:ascii="Calibri" w:eastAsia="Times New Roman" w:hAnsi="Calibri"/>
                <w:color w:val="000000"/>
                <w:sz w:val="18"/>
                <w:szCs w:val="18"/>
              </w:rPr>
              <w:t xml:space="preserve"> 18,800,000 </w:t>
            </w:r>
          </w:p>
        </w:tc>
        <w:tc>
          <w:tcPr>
            <w:tcW w:w="992" w:type="dxa"/>
            <w:tcBorders>
              <w:top w:val="dotted" w:sz="4" w:space="0" w:color="auto"/>
              <w:left w:val="nil"/>
              <w:bottom w:val="single" w:sz="4" w:space="0" w:color="auto"/>
              <w:right w:val="single" w:sz="4" w:space="0" w:color="auto"/>
            </w:tcBorders>
            <w:shd w:val="clear" w:color="auto" w:fill="auto"/>
            <w:vAlign w:val="center"/>
          </w:tcPr>
          <w:p w14:paraId="47885760" w14:textId="77777777" w:rsidR="004132C4" w:rsidRPr="001C1C93" w:rsidRDefault="004132C4" w:rsidP="00A23B94">
            <w:pPr>
              <w:pStyle w:val="Txttable"/>
              <w:jc w:val="left"/>
              <w:rPr>
                <w:rFonts w:ascii="Calibri" w:hAnsi="Calibri"/>
                <w:noProof/>
                <w:sz w:val="18"/>
                <w:szCs w:val="18"/>
              </w:rPr>
            </w:pPr>
          </w:p>
        </w:tc>
        <w:tc>
          <w:tcPr>
            <w:tcW w:w="992" w:type="dxa"/>
            <w:tcBorders>
              <w:top w:val="dotted" w:sz="4" w:space="0" w:color="auto"/>
              <w:left w:val="nil"/>
              <w:bottom w:val="single" w:sz="4" w:space="0" w:color="auto"/>
              <w:right w:val="single" w:sz="4" w:space="0" w:color="auto"/>
            </w:tcBorders>
            <w:shd w:val="clear" w:color="auto" w:fill="auto"/>
            <w:noWrap/>
            <w:vAlign w:val="center"/>
          </w:tcPr>
          <w:p w14:paraId="548CD311" w14:textId="77777777" w:rsidR="004132C4" w:rsidRPr="001C1C93" w:rsidRDefault="004132C4" w:rsidP="00A23B94">
            <w:pPr>
              <w:pStyle w:val="Txttable"/>
              <w:jc w:val="left"/>
              <w:rPr>
                <w:rFonts w:ascii="Calibri" w:hAnsi="Calibri" w:cs="Times New Roman"/>
                <w:sz w:val="18"/>
                <w:szCs w:val="18"/>
              </w:rPr>
            </w:pPr>
          </w:p>
        </w:tc>
        <w:tc>
          <w:tcPr>
            <w:tcW w:w="993" w:type="dxa"/>
            <w:tcBorders>
              <w:top w:val="dotted" w:sz="4" w:space="0" w:color="auto"/>
              <w:left w:val="nil"/>
              <w:bottom w:val="single" w:sz="4" w:space="0" w:color="auto"/>
              <w:right w:val="single" w:sz="4" w:space="0" w:color="auto"/>
            </w:tcBorders>
            <w:shd w:val="clear" w:color="auto" w:fill="auto"/>
            <w:noWrap/>
            <w:vAlign w:val="center"/>
          </w:tcPr>
          <w:p w14:paraId="398A212C" w14:textId="77777777" w:rsidR="004132C4" w:rsidRPr="001C1C93" w:rsidRDefault="004132C4" w:rsidP="00A23B94">
            <w:pPr>
              <w:pStyle w:val="Txttable"/>
              <w:jc w:val="left"/>
              <w:rPr>
                <w:rFonts w:ascii="Calibri" w:hAnsi="Calibri" w:cs="Times New Roman"/>
                <w:sz w:val="18"/>
                <w:szCs w:val="18"/>
              </w:rPr>
            </w:pPr>
          </w:p>
        </w:tc>
        <w:tc>
          <w:tcPr>
            <w:tcW w:w="992" w:type="dxa"/>
            <w:tcBorders>
              <w:top w:val="dotted" w:sz="4" w:space="0" w:color="auto"/>
              <w:left w:val="nil"/>
              <w:bottom w:val="single" w:sz="4" w:space="0" w:color="auto"/>
              <w:right w:val="single" w:sz="4" w:space="0" w:color="auto"/>
            </w:tcBorders>
            <w:shd w:val="clear" w:color="auto" w:fill="auto"/>
            <w:noWrap/>
            <w:vAlign w:val="center"/>
          </w:tcPr>
          <w:p w14:paraId="03276157" w14:textId="77777777" w:rsidR="004132C4" w:rsidRPr="001C1C93" w:rsidRDefault="004132C4" w:rsidP="00A23B94">
            <w:pPr>
              <w:pStyle w:val="Txttable"/>
              <w:jc w:val="left"/>
              <w:rPr>
                <w:rFonts w:ascii="Calibri" w:hAnsi="Calibri" w:cs="Times New Roman"/>
                <w:sz w:val="18"/>
                <w:szCs w:val="18"/>
              </w:rPr>
            </w:pPr>
          </w:p>
        </w:tc>
        <w:tc>
          <w:tcPr>
            <w:tcW w:w="992" w:type="dxa"/>
            <w:tcBorders>
              <w:top w:val="dotted" w:sz="4" w:space="0" w:color="auto"/>
              <w:left w:val="nil"/>
              <w:bottom w:val="single" w:sz="4" w:space="0" w:color="auto"/>
              <w:right w:val="single" w:sz="4" w:space="0" w:color="auto"/>
            </w:tcBorders>
            <w:shd w:val="clear" w:color="auto" w:fill="auto"/>
            <w:noWrap/>
            <w:vAlign w:val="center"/>
          </w:tcPr>
          <w:p w14:paraId="18CDFD9B" w14:textId="77777777" w:rsidR="004132C4" w:rsidRPr="001C1C93" w:rsidRDefault="004132C4" w:rsidP="00A23B94">
            <w:pPr>
              <w:pStyle w:val="Txttable"/>
              <w:jc w:val="left"/>
              <w:rPr>
                <w:rFonts w:ascii="Calibri" w:hAnsi="Calibri" w:cs="Times New Roman"/>
                <w:sz w:val="18"/>
                <w:szCs w:val="18"/>
              </w:rPr>
            </w:pPr>
          </w:p>
        </w:tc>
        <w:tc>
          <w:tcPr>
            <w:tcW w:w="1347" w:type="dxa"/>
            <w:tcBorders>
              <w:top w:val="dotted" w:sz="4" w:space="0" w:color="auto"/>
              <w:left w:val="nil"/>
              <w:bottom w:val="single" w:sz="4" w:space="0" w:color="auto"/>
              <w:right w:val="single" w:sz="4" w:space="0" w:color="auto"/>
            </w:tcBorders>
            <w:vAlign w:val="bottom"/>
          </w:tcPr>
          <w:p w14:paraId="4DF3DD71" w14:textId="5EFE4EC0" w:rsidR="004132C4" w:rsidRPr="000118EB" w:rsidRDefault="004132C4" w:rsidP="000118EB">
            <w:pPr>
              <w:pStyle w:val="Txttable"/>
              <w:jc w:val="right"/>
              <w:rPr>
                <w:rFonts w:ascii="Calibri" w:eastAsia="Times New Roman" w:hAnsi="Calibri"/>
                <w:color w:val="000000"/>
                <w:sz w:val="18"/>
                <w:szCs w:val="18"/>
              </w:rPr>
            </w:pPr>
            <w:r w:rsidRPr="004132C4">
              <w:rPr>
                <w:rFonts w:ascii="Calibri" w:eastAsia="Times New Roman" w:hAnsi="Calibri"/>
                <w:color w:val="000000"/>
                <w:sz w:val="18"/>
                <w:szCs w:val="18"/>
              </w:rPr>
              <w:t xml:space="preserve"> 68,480,000 </w:t>
            </w:r>
          </w:p>
        </w:tc>
      </w:tr>
      <w:tr w:rsidR="004132C4" w:rsidRPr="009836C4" w14:paraId="486F490B" w14:textId="1F831F9B" w:rsidTr="004132C4">
        <w:trPr>
          <w:trHeight w:val="300"/>
        </w:trPr>
        <w:tc>
          <w:tcPr>
            <w:tcW w:w="568" w:type="dxa"/>
            <w:tcBorders>
              <w:top w:val="single" w:sz="4" w:space="0" w:color="auto"/>
              <w:left w:val="single" w:sz="4" w:space="0" w:color="auto"/>
              <w:bottom w:val="single" w:sz="4" w:space="0" w:color="auto"/>
              <w:right w:val="single" w:sz="4" w:space="0" w:color="auto"/>
            </w:tcBorders>
            <w:shd w:val="clear" w:color="auto" w:fill="365F91" w:themeFill="accent1" w:themeFillShade="BF"/>
            <w:vAlign w:val="center"/>
          </w:tcPr>
          <w:p w14:paraId="52BBC14A" w14:textId="77777777" w:rsidR="004132C4" w:rsidRPr="000118EB" w:rsidRDefault="004132C4" w:rsidP="00A23B94">
            <w:pPr>
              <w:pStyle w:val="Txttable"/>
              <w:jc w:val="left"/>
              <w:rPr>
                <w:rFonts w:ascii="Calibri" w:hAnsi="Calibri"/>
                <w:b/>
                <w:noProof/>
                <w:color w:val="FFFFFF" w:themeColor="background1"/>
                <w:sz w:val="18"/>
                <w:szCs w:val="18"/>
              </w:rPr>
            </w:pPr>
          </w:p>
        </w:tc>
        <w:tc>
          <w:tcPr>
            <w:tcW w:w="1985" w:type="dxa"/>
            <w:tcBorders>
              <w:top w:val="single" w:sz="4" w:space="0" w:color="auto"/>
              <w:left w:val="nil"/>
              <w:bottom w:val="single" w:sz="4" w:space="0" w:color="auto"/>
              <w:right w:val="single" w:sz="4" w:space="0" w:color="auto"/>
            </w:tcBorders>
            <w:shd w:val="clear" w:color="auto" w:fill="365F91" w:themeFill="accent1" w:themeFillShade="BF"/>
            <w:vAlign w:val="center"/>
          </w:tcPr>
          <w:p w14:paraId="07F3045C" w14:textId="162010F3" w:rsidR="004132C4" w:rsidRPr="000118EB" w:rsidRDefault="004132C4" w:rsidP="00A23B94">
            <w:pPr>
              <w:jc w:val="left"/>
              <w:rPr>
                <w:b/>
                <w:color w:val="FFFFFF" w:themeColor="background1"/>
                <w:sz w:val="18"/>
                <w:szCs w:val="18"/>
              </w:rPr>
            </w:pPr>
            <w:r w:rsidRPr="000118EB">
              <w:rPr>
                <w:b/>
                <w:color w:val="FFFFFF" w:themeColor="background1"/>
                <w:sz w:val="18"/>
                <w:szCs w:val="18"/>
              </w:rPr>
              <w:t>TOTAL</w:t>
            </w:r>
          </w:p>
        </w:tc>
        <w:tc>
          <w:tcPr>
            <w:tcW w:w="1346" w:type="dxa"/>
            <w:tcBorders>
              <w:top w:val="single" w:sz="4" w:space="0" w:color="auto"/>
              <w:left w:val="nil"/>
              <w:bottom w:val="single" w:sz="4" w:space="0" w:color="auto"/>
              <w:right w:val="single" w:sz="4" w:space="0" w:color="auto"/>
            </w:tcBorders>
            <w:shd w:val="clear" w:color="auto" w:fill="365F91" w:themeFill="accent1" w:themeFillShade="BF"/>
            <w:vAlign w:val="center"/>
          </w:tcPr>
          <w:p w14:paraId="10FAF40C" w14:textId="12364B57" w:rsidR="004132C4" w:rsidRPr="004132C4" w:rsidRDefault="004132C4" w:rsidP="004132C4">
            <w:pPr>
              <w:spacing w:before="0" w:after="0"/>
              <w:jc w:val="right"/>
              <w:rPr>
                <w:rFonts w:eastAsia="Times New Roman"/>
                <w:b/>
                <w:color w:val="FFFFFF" w:themeColor="background1"/>
                <w:sz w:val="18"/>
                <w:szCs w:val="18"/>
              </w:rPr>
            </w:pPr>
            <w:r w:rsidRPr="004132C4">
              <w:rPr>
                <w:rFonts w:eastAsia="Times New Roman"/>
                <w:b/>
                <w:bCs/>
                <w:color w:val="FFFFFF" w:themeColor="background1"/>
                <w:sz w:val="18"/>
                <w:szCs w:val="18"/>
              </w:rPr>
              <w:t xml:space="preserve">1,244,355,021 </w:t>
            </w:r>
          </w:p>
        </w:tc>
        <w:tc>
          <w:tcPr>
            <w:tcW w:w="992" w:type="dxa"/>
            <w:tcBorders>
              <w:top w:val="single" w:sz="4" w:space="0" w:color="auto"/>
              <w:left w:val="nil"/>
              <w:bottom w:val="single" w:sz="4" w:space="0" w:color="auto"/>
              <w:right w:val="single" w:sz="4" w:space="0" w:color="auto"/>
            </w:tcBorders>
            <w:shd w:val="clear" w:color="auto" w:fill="365F91" w:themeFill="accent1" w:themeFillShade="BF"/>
            <w:vAlign w:val="center"/>
          </w:tcPr>
          <w:p w14:paraId="3FDCDEDE" w14:textId="77777777" w:rsidR="004132C4" w:rsidRPr="009F022C" w:rsidRDefault="004132C4" w:rsidP="009F022C">
            <w:pPr>
              <w:pStyle w:val="Txttable"/>
              <w:jc w:val="right"/>
              <w:rPr>
                <w:rFonts w:ascii="Calibri" w:eastAsia="Times New Roman" w:hAnsi="Calibri"/>
                <w:b/>
                <w:color w:val="FFFFFF" w:themeColor="background1"/>
                <w:sz w:val="18"/>
                <w:szCs w:val="18"/>
              </w:rPr>
            </w:pPr>
          </w:p>
        </w:tc>
        <w:tc>
          <w:tcPr>
            <w:tcW w:w="992" w:type="dxa"/>
            <w:tcBorders>
              <w:top w:val="single" w:sz="4" w:space="0" w:color="auto"/>
              <w:left w:val="nil"/>
              <w:bottom w:val="single" w:sz="4" w:space="0" w:color="auto"/>
              <w:right w:val="single" w:sz="4" w:space="0" w:color="auto"/>
            </w:tcBorders>
            <w:shd w:val="clear" w:color="auto" w:fill="365F91" w:themeFill="accent1" w:themeFillShade="BF"/>
            <w:noWrap/>
            <w:vAlign w:val="center"/>
          </w:tcPr>
          <w:p w14:paraId="175EC89C" w14:textId="77777777" w:rsidR="004132C4" w:rsidRPr="000118EB" w:rsidRDefault="004132C4" w:rsidP="00A23B94">
            <w:pPr>
              <w:pStyle w:val="Txttable"/>
              <w:jc w:val="left"/>
              <w:rPr>
                <w:rFonts w:ascii="Calibri" w:hAnsi="Calibri" w:cs="Times New Roman"/>
                <w:b/>
                <w:color w:val="FFFFFF" w:themeColor="background1"/>
                <w:sz w:val="18"/>
                <w:szCs w:val="18"/>
              </w:rPr>
            </w:pPr>
          </w:p>
        </w:tc>
        <w:tc>
          <w:tcPr>
            <w:tcW w:w="993" w:type="dxa"/>
            <w:tcBorders>
              <w:top w:val="single" w:sz="4" w:space="0" w:color="auto"/>
              <w:left w:val="nil"/>
              <w:bottom w:val="single" w:sz="4" w:space="0" w:color="auto"/>
              <w:right w:val="single" w:sz="4" w:space="0" w:color="auto"/>
            </w:tcBorders>
            <w:shd w:val="clear" w:color="auto" w:fill="365F91" w:themeFill="accent1" w:themeFillShade="BF"/>
            <w:noWrap/>
            <w:vAlign w:val="center"/>
          </w:tcPr>
          <w:p w14:paraId="2A42D9F9" w14:textId="77777777" w:rsidR="004132C4" w:rsidRPr="000118EB" w:rsidRDefault="004132C4" w:rsidP="00A23B94">
            <w:pPr>
              <w:pStyle w:val="Txttable"/>
              <w:jc w:val="left"/>
              <w:rPr>
                <w:rFonts w:ascii="Calibri" w:hAnsi="Calibri" w:cs="Times New Roman"/>
                <w:b/>
                <w:color w:val="FFFFFF" w:themeColor="background1"/>
                <w:sz w:val="18"/>
                <w:szCs w:val="18"/>
              </w:rPr>
            </w:pPr>
          </w:p>
        </w:tc>
        <w:tc>
          <w:tcPr>
            <w:tcW w:w="992" w:type="dxa"/>
            <w:tcBorders>
              <w:top w:val="single" w:sz="4" w:space="0" w:color="auto"/>
              <w:left w:val="nil"/>
              <w:bottom w:val="single" w:sz="4" w:space="0" w:color="auto"/>
              <w:right w:val="single" w:sz="4" w:space="0" w:color="auto"/>
            </w:tcBorders>
            <w:shd w:val="clear" w:color="auto" w:fill="365F91" w:themeFill="accent1" w:themeFillShade="BF"/>
            <w:noWrap/>
            <w:vAlign w:val="center"/>
          </w:tcPr>
          <w:p w14:paraId="61B0DC01" w14:textId="77777777" w:rsidR="004132C4" w:rsidRPr="000118EB" w:rsidRDefault="004132C4" w:rsidP="00A23B94">
            <w:pPr>
              <w:pStyle w:val="Txttable"/>
              <w:jc w:val="left"/>
              <w:rPr>
                <w:rFonts w:ascii="Calibri" w:hAnsi="Calibri" w:cs="Times New Roman"/>
                <w:b/>
                <w:color w:val="FFFFFF" w:themeColor="background1"/>
                <w:sz w:val="18"/>
                <w:szCs w:val="18"/>
              </w:rPr>
            </w:pPr>
          </w:p>
        </w:tc>
        <w:tc>
          <w:tcPr>
            <w:tcW w:w="992" w:type="dxa"/>
            <w:tcBorders>
              <w:top w:val="single" w:sz="4" w:space="0" w:color="auto"/>
              <w:left w:val="nil"/>
              <w:bottom w:val="single" w:sz="4" w:space="0" w:color="auto"/>
              <w:right w:val="single" w:sz="4" w:space="0" w:color="auto"/>
            </w:tcBorders>
            <w:shd w:val="clear" w:color="auto" w:fill="365F91" w:themeFill="accent1" w:themeFillShade="BF"/>
            <w:noWrap/>
            <w:vAlign w:val="center"/>
          </w:tcPr>
          <w:p w14:paraId="58F4F531" w14:textId="77777777" w:rsidR="004132C4" w:rsidRPr="000118EB" w:rsidRDefault="004132C4" w:rsidP="00A23B94">
            <w:pPr>
              <w:pStyle w:val="Txttable"/>
              <w:jc w:val="left"/>
              <w:rPr>
                <w:rFonts w:ascii="Calibri" w:hAnsi="Calibri" w:cs="Times New Roman"/>
                <w:b/>
                <w:color w:val="FFFFFF" w:themeColor="background1"/>
                <w:sz w:val="18"/>
                <w:szCs w:val="18"/>
              </w:rPr>
            </w:pPr>
          </w:p>
        </w:tc>
        <w:tc>
          <w:tcPr>
            <w:tcW w:w="1347" w:type="dxa"/>
            <w:tcBorders>
              <w:top w:val="single" w:sz="4" w:space="0" w:color="auto"/>
              <w:left w:val="nil"/>
              <w:bottom w:val="single" w:sz="4" w:space="0" w:color="auto"/>
              <w:right w:val="single" w:sz="4" w:space="0" w:color="auto"/>
            </w:tcBorders>
            <w:shd w:val="clear" w:color="auto" w:fill="365F91" w:themeFill="accent1" w:themeFillShade="BF"/>
            <w:vAlign w:val="center"/>
          </w:tcPr>
          <w:p w14:paraId="046031D6" w14:textId="3225651A" w:rsidR="004132C4" w:rsidRPr="004132C4" w:rsidRDefault="004132C4" w:rsidP="004132C4">
            <w:pPr>
              <w:pStyle w:val="Txttable"/>
              <w:jc w:val="right"/>
              <w:rPr>
                <w:rFonts w:ascii="Calibri" w:eastAsia="Times New Roman" w:hAnsi="Calibri"/>
                <w:b/>
                <w:color w:val="FFFFFF" w:themeColor="background1"/>
                <w:sz w:val="18"/>
                <w:szCs w:val="18"/>
              </w:rPr>
            </w:pPr>
            <w:r w:rsidRPr="004132C4">
              <w:rPr>
                <w:rFonts w:ascii="Calibri" w:eastAsia="Times New Roman" w:hAnsi="Calibri"/>
                <w:b/>
                <w:color w:val="FFFFFF" w:themeColor="background1"/>
                <w:sz w:val="18"/>
                <w:szCs w:val="18"/>
              </w:rPr>
              <w:t xml:space="preserve"> 1,286,457,706 </w:t>
            </w:r>
          </w:p>
        </w:tc>
      </w:tr>
    </w:tbl>
    <w:p w14:paraId="44A4E797" w14:textId="01E3787D" w:rsidR="003644D7" w:rsidRDefault="00A45E31" w:rsidP="00073AD7">
      <w:pPr>
        <w:rPr>
          <w:rFonts w:ascii="Arial" w:hAnsi="Arial" w:cs="Arial"/>
          <w:b/>
          <w:i/>
          <w:noProof/>
        </w:rPr>
      </w:pPr>
      <w:r>
        <w:rPr>
          <w:rFonts w:ascii="Arial" w:hAnsi="Arial" w:cs="Arial"/>
          <w:b/>
          <w:i/>
          <w:noProof/>
        </w:rPr>
        <w:t>*</w:t>
      </w:r>
      <w:r w:rsidRPr="00A45E31">
        <w:rPr>
          <w:rFonts w:ascii="Arial" w:hAnsi="Arial" w:cs="Arial"/>
          <w:b/>
          <w:i/>
          <w:noProof/>
          <w:sz w:val="16"/>
          <w:szCs w:val="16"/>
        </w:rPr>
        <w:t>podaci se preuzimaju iz Akcijskog plana</w:t>
      </w:r>
      <w:r>
        <w:rPr>
          <w:rFonts w:ascii="Arial" w:hAnsi="Arial" w:cs="Arial"/>
          <w:b/>
          <w:i/>
          <w:noProof/>
        </w:rPr>
        <w:t xml:space="preserve"> </w:t>
      </w:r>
    </w:p>
    <w:p w14:paraId="599A23CC" w14:textId="77777777" w:rsidR="00A45E31" w:rsidRPr="00073AD7" w:rsidRDefault="00A45E31" w:rsidP="00073AD7">
      <w:pPr>
        <w:rPr>
          <w:rFonts w:ascii="Arial" w:hAnsi="Arial" w:cs="Arial"/>
          <w:b/>
          <w:i/>
          <w:noProof/>
        </w:rPr>
      </w:pPr>
    </w:p>
    <w:p w14:paraId="095C39E1" w14:textId="389AC315" w:rsidR="00073AD7" w:rsidRPr="007552E0" w:rsidRDefault="000B2F42" w:rsidP="001A5F94">
      <w:pPr>
        <w:pStyle w:val="Heading2"/>
        <w:rPr>
          <w:noProof/>
        </w:rPr>
      </w:pPr>
      <w:bookmarkStart w:id="103" w:name="_Toc437390604"/>
      <w:r>
        <w:rPr>
          <w:noProof/>
        </w:rPr>
        <w:t>Institucionalni okvir</w:t>
      </w:r>
      <w:bookmarkEnd w:id="103"/>
    </w:p>
    <w:p w14:paraId="30FB1ACA" w14:textId="3B62A073" w:rsidR="00E03E8D" w:rsidRDefault="00E03E8D" w:rsidP="00E03E8D">
      <w:pPr>
        <w:autoSpaceDE w:val="0"/>
        <w:autoSpaceDN w:val="0"/>
        <w:adjustRightInd w:val="0"/>
        <w:spacing w:after="60" w:line="276" w:lineRule="auto"/>
        <w:rPr>
          <w:rFonts w:eastAsia="Calibri-Bold" w:cstheme="minorHAnsi"/>
          <w:color w:val="000000"/>
        </w:rPr>
      </w:pPr>
      <w:r w:rsidRPr="00672306">
        <w:rPr>
          <w:rFonts w:eastAsia="Calibri-Bold" w:cstheme="minorHAnsi"/>
          <w:color w:val="000000"/>
        </w:rPr>
        <w:t xml:space="preserve">Institucionalni okvir za izradu, donošenje, provedbu i praćenje provedbe Strategije </w:t>
      </w:r>
      <w:r w:rsidR="004D0C15">
        <w:rPr>
          <w:rFonts w:eastAsia="Calibri-Bold" w:cstheme="minorHAnsi"/>
          <w:color w:val="000000"/>
        </w:rPr>
        <w:t xml:space="preserve">razvoja Većeg urbanog područja Karlovac </w:t>
      </w:r>
      <w:r w:rsidRPr="00672306">
        <w:rPr>
          <w:rFonts w:eastAsia="Calibri-Bold" w:cstheme="minorHAnsi"/>
          <w:color w:val="000000"/>
        </w:rPr>
        <w:t>svoju podlogu nalazi ponajprije u jednom od</w:t>
      </w:r>
      <w:r>
        <w:rPr>
          <w:rFonts w:eastAsia="Calibri-Bold" w:cstheme="minorHAnsi"/>
          <w:color w:val="000000"/>
        </w:rPr>
        <w:t xml:space="preserve"> </w:t>
      </w:r>
      <w:r w:rsidRPr="00672306">
        <w:rPr>
          <w:rFonts w:eastAsia="Calibri-Bold" w:cstheme="minorHAnsi"/>
          <w:color w:val="000000"/>
        </w:rPr>
        <w:t>temeljnih načela politike regionalnog razvoja – načelu partnerstva i suradnje između javnog,</w:t>
      </w:r>
      <w:r>
        <w:rPr>
          <w:rFonts w:eastAsia="Calibri-Bold" w:cstheme="minorHAnsi"/>
          <w:color w:val="000000"/>
        </w:rPr>
        <w:t xml:space="preserve"> </w:t>
      </w:r>
      <w:r w:rsidRPr="00672306">
        <w:rPr>
          <w:rFonts w:eastAsia="Calibri-Bold" w:cstheme="minorHAnsi"/>
          <w:color w:val="000000"/>
        </w:rPr>
        <w:t>privatnog i civilnog sektora te u tom smislu obuhvaća sve dionike uključene u navedene aktivnosti.</w:t>
      </w:r>
      <w:r>
        <w:rPr>
          <w:rFonts w:eastAsia="Calibri-Bold" w:cstheme="minorHAnsi"/>
          <w:color w:val="000000"/>
        </w:rPr>
        <w:t xml:space="preserve"> </w:t>
      </w:r>
      <w:r w:rsidRPr="00672306">
        <w:rPr>
          <w:rFonts w:eastAsia="Calibri-Bold" w:cstheme="minorHAnsi"/>
          <w:color w:val="000000"/>
        </w:rPr>
        <w:t>Proces provedbe navedenih aktivnosti odvija se slijedeći principe međusektorske suradnje (partnerski</w:t>
      </w:r>
      <w:r>
        <w:rPr>
          <w:rFonts w:eastAsia="Calibri-Bold" w:cstheme="minorHAnsi"/>
          <w:color w:val="000000"/>
        </w:rPr>
        <w:t xml:space="preserve"> </w:t>
      </w:r>
      <w:r w:rsidRPr="00672306">
        <w:rPr>
          <w:rFonts w:eastAsia="Calibri-Bold" w:cstheme="minorHAnsi"/>
          <w:color w:val="000000"/>
        </w:rPr>
        <w:t>pristup) i horiz</w:t>
      </w:r>
      <w:r w:rsidR="004D0C15">
        <w:rPr>
          <w:rFonts w:eastAsia="Calibri-Bold" w:cstheme="minorHAnsi"/>
          <w:color w:val="000000"/>
        </w:rPr>
        <w:t xml:space="preserve">ontalne zastupljenosti dionika što </w:t>
      </w:r>
      <w:r w:rsidRPr="00672306">
        <w:rPr>
          <w:rFonts w:eastAsia="Calibri-Bold" w:cstheme="minorHAnsi"/>
          <w:color w:val="000000"/>
        </w:rPr>
        <w:t xml:space="preserve">znači da su sve jedinice lokalne samouprave </w:t>
      </w:r>
      <w:r w:rsidR="004D0C15">
        <w:rPr>
          <w:rFonts w:eastAsia="Calibri-Bold" w:cstheme="minorHAnsi"/>
          <w:color w:val="000000"/>
        </w:rPr>
        <w:t xml:space="preserve">koje su </w:t>
      </w:r>
      <w:r w:rsidRPr="00672306">
        <w:rPr>
          <w:rFonts w:eastAsia="Calibri-Bold" w:cstheme="minorHAnsi"/>
          <w:color w:val="000000"/>
        </w:rPr>
        <w:t xml:space="preserve">uključene u obuhvat </w:t>
      </w:r>
      <w:r w:rsidR="004D0C15">
        <w:rPr>
          <w:rFonts w:eastAsia="Calibri-Bold" w:cstheme="minorHAnsi"/>
          <w:color w:val="000000"/>
        </w:rPr>
        <w:t>Većeg u</w:t>
      </w:r>
      <w:r>
        <w:rPr>
          <w:rFonts w:eastAsia="Calibri-Bold" w:cstheme="minorHAnsi"/>
          <w:color w:val="000000"/>
        </w:rPr>
        <w:t>rbanog područja Karlovac</w:t>
      </w:r>
      <w:r w:rsidRPr="00672306">
        <w:rPr>
          <w:rFonts w:eastAsia="Calibri-Bold" w:cstheme="minorHAnsi"/>
          <w:color w:val="000000"/>
        </w:rPr>
        <w:t xml:space="preserve"> </w:t>
      </w:r>
      <w:r>
        <w:rPr>
          <w:rFonts w:eastAsia="Calibri-Bold" w:cstheme="minorHAnsi"/>
          <w:color w:val="000000"/>
        </w:rPr>
        <w:t>i</w:t>
      </w:r>
      <w:r w:rsidRPr="00672306">
        <w:rPr>
          <w:rFonts w:eastAsia="Calibri-Bold" w:cstheme="minorHAnsi"/>
          <w:color w:val="000000"/>
        </w:rPr>
        <w:t xml:space="preserve"> svi sudionici iz</w:t>
      </w:r>
      <w:r>
        <w:rPr>
          <w:rFonts w:eastAsia="Calibri-Bold" w:cstheme="minorHAnsi"/>
          <w:color w:val="000000"/>
        </w:rPr>
        <w:t xml:space="preserve"> </w:t>
      </w:r>
      <w:r w:rsidRPr="00672306">
        <w:rPr>
          <w:rFonts w:eastAsia="Calibri-Bold" w:cstheme="minorHAnsi"/>
          <w:color w:val="000000"/>
        </w:rPr>
        <w:t xml:space="preserve">javnog, privatnog i civilnog </w:t>
      </w:r>
      <w:r w:rsidR="004D0C15">
        <w:rPr>
          <w:rFonts w:eastAsia="Calibri-Bold" w:cstheme="minorHAnsi"/>
          <w:color w:val="000000"/>
        </w:rPr>
        <w:t>sektora, u ovim aktivnostima</w:t>
      </w:r>
      <w:r w:rsidRPr="00672306">
        <w:rPr>
          <w:rFonts w:eastAsia="Calibri-Bold" w:cstheme="minorHAnsi"/>
          <w:color w:val="000000"/>
        </w:rPr>
        <w:t xml:space="preserve"> zastupljeni sukladno svojim ulogama</w:t>
      </w:r>
      <w:r w:rsidR="004D0C15">
        <w:rPr>
          <w:rFonts w:eastAsia="Calibri-Bold" w:cstheme="minorHAnsi"/>
          <w:color w:val="000000"/>
        </w:rPr>
        <w:t xml:space="preserve">. </w:t>
      </w:r>
      <w:r w:rsidRPr="00672306">
        <w:rPr>
          <w:rFonts w:eastAsia="Calibri-Bold" w:cstheme="minorHAnsi"/>
          <w:color w:val="000000"/>
        </w:rPr>
        <w:t xml:space="preserve">Na ovaj način </w:t>
      </w:r>
      <w:r w:rsidR="004D0C15">
        <w:rPr>
          <w:rFonts w:eastAsia="Calibri-Bold" w:cstheme="minorHAnsi"/>
          <w:color w:val="000000"/>
        </w:rPr>
        <w:t xml:space="preserve">se svim dionicima važnim za društveni i gospodarski razvoj VUPKA </w:t>
      </w:r>
      <w:r w:rsidRPr="00672306">
        <w:rPr>
          <w:rFonts w:eastAsia="Calibri-Bold" w:cstheme="minorHAnsi"/>
          <w:color w:val="000000"/>
        </w:rPr>
        <w:t>omoguć</w:t>
      </w:r>
      <w:r>
        <w:rPr>
          <w:rFonts w:eastAsia="Calibri-Bold" w:cstheme="minorHAnsi"/>
          <w:color w:val="000000"/>
        </w:rPr>
        <w:t>uje</w:t>
      </w:r>
      <w:r w:rsidRPr="00672306">
        <w:rPr>
          <w:rFonts w:eastAsia="Calibri-Bold" w:cstheme="minorHAnsi"/>
          <w:color w:val="000000"/>
        </w:rPr>
        <w:t xml:space="preserve"> kontinuirani pristup i sudjelovanje u</w:t>
      </w:r>
      <w:r>
        <w:rPr>
          <w:rFonts w:eastAsia="Calibri-Bold" w:cstheme="minorHAnsi"/>
          <w:color w:val="000000"/>
        </w:rPr>
        <w:t xml:space="preserve"> </w:t>
      </w:r>
      <w:r w:rsidR="004D0C15">
        <w:rPr>
          <w:rFonts w:eastAsia="Calibri-Bold" w:cstheme="minorHAnsi"/>
          <w:color w:val="000000"/>
        </w:rPr>
        <w:t>donošenju strateških odluka.</w:t>
      </w:r>
    </w:p>
    <w:p w14:paraId="3C4145C3" w14:textId="77777777" w:rsidR="004D0C15" w:rsidRDefault="004D0C15" w:rsidP="004D0C15">
      <w:pPr>
        <w:autoSpaceDE w:val="0"/>
        <w:autoSpaceDN w:val="0"/>
        <w:adjustRightInd w:val="0"/>
        <w:spacing w:after="60" w:line="276" w:lineRule="auto"/>
        <w:rPr>
          <w:rFonts w:eastAsia="Calibri-Bold" w:cstheme="minorHAnsi"/>
          <w:color w:val="000000"/>
        </w:rPr>
      </w:pPr>
      <w:r w:rsidRPr="00373A68">
        <w:rPr>
          <w:rFonts w:eastAsia="Calibri-Bold" w:cstheme="minorHAnsi"/>
          <w:color w:val="000000"/>
        </w:rPr>
        <w:t>Veće urbano područje Karlovac utvrđeno je sukladno odredbama članka 14</w:t>
      </w:r>
      <w:r>
        <w:rPr>
          <w:rFonts w:eastAsia="Calibri-Bold" w:cstheme="minorHAnsi"/>
          <w:color w:val="000000"/>
        </w:rPr>
        <w:t>.</w:t>
      </w:r>
      <w:r w:rsidRPr="00373A68">
        <w:rPr>
          <w:rFonts w:eastAsia="Calibri-Bold" w:cstheme="minorHAnsi"/>
          <w:color w:val="000000"/>
        </w:rPr>
        <w:t xml:space="preserve"> Zakona o regionalnom razvoju (NN 147/14, 123/17, 118/18).</w:t>
      </w:r>
      <w:r>
        <w:rPr>
          <w:rFonts w:eastAsia="Calibri-Bold" w:cstheme="minorHAnsi"/>
          <w:color w:val="000000"/>
        </w:rPr>
        <w:t xml:space="preserve"> </w:t>
      </w:r>
      <w:r>
        <w:t xml:space="preserve">Nositelj procesa utvrđivanja obuhvata urbanog područja je Grad Karlovac kao središte većeg urbanog područja. Gradsko vijeće Grada Karlovca donijelo je na sjednici održanoj dana 26. veljače 2019. godine Odluku o sastavu Većeg urbanog područja Karlovac, a nakon prethodno dobivenih suglasnosti gradskih vijeća jedinica lokalne samouprave iz sastava većeg urbanog područja te pozitivnog mišljenja Ministarstva regionalnoga razvoja i fondova Europske unije. Dana 9. travnja 2019. godine potpisan je Sporazum o suradnji na izradi i provedbi Strategije razvoja Većeg urbanog područja Karlovac kojim je uspostavljeno pridržavanje načela partnerstva i suradnje svih jedinica lokalne samouprave u sastavu VUPKA. Po utvrđivanju većeg urbanog područja, Grad Karlovac je preuzeo ulogu nositelja izrade Strategije razvoja Većeg urbanog područja te organizirao proces izrade iste i uključivanja svih ključnih dionika. </w:t>
      </w:r>
    </w:p>
    <w:p w14:paraId="2C3F7FB1" w14:textId="77777777" w:rsidR="00E03E8D" w:rsidRPr="00672306" w:rsidRDefault="00E03E8D" w:rsidP="00E03E8D">
      <w:pPr>
        <w:autoSpaceDE w:val="0"/>
        <w:autoSpaceDN w:val="0"/>
        <w:adjustRightInd w:val="0"/>
        <w:spacing w:after="60" w:line="276" w:lineRule="auto"/>
        <w:rPr>
          <w:rFonts w:eastAsia="Calibri-Bold" w:cstheme="minorHAnsi"/>
          <w:color w:val="000000"/>
        </w:rPr>
      </w:pPr>
    </w:p>
    <w:p w14:paraId="1B1267A5" w14:textId="77777777" w:rsidR="00E03E8D" w:rsidRPr="00E03E8D" w:rsidRDefault="00E03E8D" w:rsidP="00E03E8D">
      <w:pPr>
        <w:pStyle w:val="Heading3"/>
      </w:pPr>
      <w:bookmarkStart w:id="104" w:name="_Toc437390605"/>
      <w:r w:rsidRPr="00E03E8D">
        <w:t>Ključni dionici, uloge i zadaće</w:t>
      </w:r>
      <w:bookmarkEnd w:id="104"/>
    </w:p>
    <w:p w14:paraId="2C1EDD37" w14:textId="58C197CC" w:rsidR="00E03E8D" w:rsidRDefault="004D0C15" w:rsidP="00D45BAB">
      <w:r>
        <w:t xml:space="preserve">Temeljem </w:t>
      </w:r>
      <w:r w:rsidRPr="001C5BDC">
        <w:rPr>
          <w:i/>
          <w:iCs/>
        </w:rPr>
        <w:t>Smjernica za izradu Strategije razvoja urbanih područja, praćenje njihove provedbe i vrednovanje</w:t>
      </w:r>
      <w:r>
        <w:t>, koje je donijelo Ministarstvo regionalnoga razvoja i fondova Europske unije u rujnu 2015. godine, u izradi SRVUPKA sudjelovali su dionici s područja triju gradova (Karlovac, Ozalj i Duga Resa) te predstavnici Karlovačke županije. Sudjelovanje dionika u izradi i provedbi Strategije osigurava se putem</w:t>
      </w:r>
      <w:r w:rsidRPr="00C971B0">
        <w:t xml:space="preserve"> </w:t>
      </w:r>
      <w:r>
        <w:t xml:space="preserve">sljedećih </w:t>
      </w:r>
      <w:r w:rsidRPr="00C971B0">
        <w:t xml:space="preserve">mehanizama </w:t>
      </w:r>
      <w:r>
        <w:t xml:space="preserve">i </w:t>
      </w:r>
      <w:r w:rsidRPr="00C971B0">
        <w:t>na način opisan u sljedećim poglavljima</w:t>
      </w:r>
      <w:r w:rsidR="00E03E8D">
        <w:t xml:space="preserve">: </w:t>
      </w:r>
    </w:p>
    <w:p w14:paraId="37194A44" w14:textId="3E118361" w:rsidR="00E03E8D" w:rsidRDefault="009D1C21" w:rsidP="00F950C3">
      <w:pPr>
        <w:pStyle w:val="ListParagraph"/>
        <w:numPr>
          <w:ilvl w:val="0"/>
          <w:numId w:val="4"/>
        </w:numPr>
        <w:autoSpaceDE w:val="0"/>
        <w:autoSpaceDN w:val="0"/>
        <w:adjustRightInd w:val="0"/>
        <w:spacing w:before="0" w:line="276" w:lineRule="auto"/>
        <w:rPr>
          <w:rFonts w:eastAsia="Calibri-Bold" w:cstheme="minorHAnsi"/>
          <w:color w:val="000000"/>
        </w:rPr>
      </w:pPr>
      <w:r>
        <w:rPr>
          <w:rFonts w:eastAsia="Calibri-Bold" w:cstheme="minorHAnsi"/>
          <w:color w:val="000000"/>
        </w:rPr>
        <w:t>Nositelj i koordinator</w:t>
      </w:r>
      <w:r w:rsidR="00E03E8D" w:rsidRPr="00C971B0">
        <w:rPr>
          <w:rFonts w:eastAsia="Calibri-Bold" w:cstheme="minorHAnsi"/>
          <w:color w:val="000000"/>
        </w:rPr>
        <w:t xml:space="preserve"> izrade i provedbe Strategije</w:t>
      </w:r>
      <w:r w:rsidR="00E03E8D">
        <w:rPr>
          <w:rFonts w:eastAsia="Calibri-Bold" w:cstheme="minorHAnsi"/>
          <w:color w:val="000000"/>
        </w:rPr>
        <w:t>;</w:t>
      </w:r>
    </w:p>
    <w:p w14:paraId="6042F0E3" w14:textId="37D171F0" w:rsidR="00E03E8D" w:rsidRDefault="009D1C21" w:rsidP="00F950C3">
      <w:pPr>
        <w:pStyle w:val="ListParagraph"/>
        <w:numPr>
          <w:ilvl w:val="0"/>
          <w:numId w:val="4"/>
        </w:numPr>
        <w:autoSpaceDE w:val="0"/>
        <w:autoSpaceDN w:val="0"/>
        <w:adjustRightInd w:val="0"/>
        <w:spacing w:before="0" w:line="276" w:lineRule="auto"/>
        <w:rPr>
          <w:rFonts w:eastAsia="Calibri-Bold" w:cstheme="minorHAnsi"/>
          <w:color w:val="000000"/>
        </w:rPr>
      </w:pPr>
      <w:r>
        <w:rPr>
          <w:rFonts w:eastAsia="Calibri-Bold" w:cstheme="minorHAnsi"/>
          <w:color w:val="000000"/>
        </w:rPr>
        <w:t>Radna skupina</w:t>
      </w:r>
      <w:r w:rsidR="00E03E8D" w:rsidRPr="00C971B0">
        <w:rPr>
          <w:rFonts w:eastAsia="Calibri-Bold" w:cstheme="minorHAnsi"/>
          <w:color w:val="000000"/>
        </w:rPr>
        <w:t xml:space="preserve"> za izradu i praćenje provedbe Strategije</w:t>
      </w:r>
      <w:r w:rsidR="00E03E8D">
        <w:rPr>
          <w:rFonts w:eastAsia="Calibri-Bold" w:cstheme="minorHAnsi"/>
          <w:color w:val="000000"/>
        </w:rPr>
        <w:t xml:space="preserve">; </w:t>
      </w:r>
    </w:p>
    <w:p w14:paraId="03201AAC" w14:textId="61F1C6D3" w:rsidR="00E03E8D" w:rsidRDefault="009D1C21" w:rsidP="00F950C3">
      <w:pPr>
        <w:pStyle w:val="ListParagraph"/>
        <w:numPr>
          <w:ilvl w:val="0"/>
          <w:numId w:val="4"/>
        </w:numPr>
        <w:autoSpaceDE w:val="0"/>
        <w:autoSpaceDN w:val="0"/>
        <w:adjustRightInd w:val="0"/>
        <w:spacing w:before="0" w:line="276" w:lineRule="auto"/>
        <w:rPr>
          <w:rFonts w:eastAsia="Calibri-Bold" w:cstheme="minorHAnsi"/>
          <w:color w:val="000000"/>
        </w:rPr>
      </w:pPr>
      <w:r>
        <w:rPr>
          <w:rFonts w:eastAsia="Calibri-Bold" w:cstheme="minorHAnsi"/>
          <w:color w:val="000000"/>
        </w:rPr>
        <w:t>Partnersko vijeće</w:t>
      </w:r>
      <w:r w:rsidR="00E03E8D">
        <w:rPr>
          <w:rFonts w:eastAsia="Calibri-Bold" w:cstheme="minorHAnsi"/>
          <w:color w:val="000000"/>
        </w:rPr>
        <w:t>;</w:t>
      </w:r>
    </w:p>
    <w:p w14:paraId="01ABE2AC" w14:textId="6D57D568" w:rsidR="00E03E8D" w:rsidRDefault="009D1C21" w:rsidP="00F950C3">
      <w:pPr>
        <w:pStyle w:val="ListParagraph"/>
        <w:numPr>
          <w:ilvl w:val="0"/>
          <w:numId w:val="4"/>
        </w:numPr>
        <w:autoSpaceDE w:val="0"/>
        <w:autoSpaceDN w:val="0"/>
        <w:adjustRightInd w:val="0"/>
        <w:spacing w:before="0" w:line="276" w:lineRule="auto"/>
        <w:rPr>
          <w:rFonts w:eastAsia="Calibri-Bold" w:cstheme="minorHAnsi"/>
          <w:color w:val="000000"/>
        </w:rPr>
      </w:pPr>
      <w:r>
        <w:rPr>
          <w:rFonts w:eastAsia="Calibri-Bold" w:cstheme="minorHAnsi"/>
          <w:color w:val="000000"/>
        </w:rPr>
        <w:t>Radna skupina</w:t>
      </w:r>
      <w:r w:rsidR="00E03E8D">
        <w:rPr>
          <w:rFonts w:eastAsia="Calibri-Bold" w:cstheme="minorHAnsi"/>
          <w:color w:val="000000"/>
        </w:rPr>
        <w:t xml:space="preserve"> za vrednovanje.</w:t>
      </w:r>
      <w:r w:rsidR="00E03E8D" w:rsidRPr="00C971B0">
        <w:rPr>
          <w:rFonts w:eastAsia="Calibri-Bold" w:cstheme="minorHAnsi"/>
          <w:color w:val="000000"/>
        </w:rPr>
        <w:t xml:space="preserve"> </w:t>
      </w:r>
    </w:p>
    <w:p w14:paraId="3A239E14" w14:textId="77777777" w:rsidR="00E03E8D" w:rsidRPr="007E09D5" w:rsidRDefault="00E03E8D" w:rsidP="00E03E8D">
      <w:pPr>
        <w:autoSpaceDE w:val="0"/>
        <w:autoSpaceDN w:val="0"/>
        <w:adjustRightInd w:val="0"/>
        <w:spacing w:after="60" w:line="276" w:lineRule="auto"/>
        <w:rPr>
          <w:rFonts w:eastAsia="Calibri-Bold" w:cstheme="minorHAnsi"/>
          <w:color w:val="000000"/>
        </w:rPr>
      </w:pPr>
    </w:p>
    <w:p w14:paraId="03743B95" w14:textId="77777777" w:rsidR="00E03E8D" w:rsidRPr="00FC615B" w:rsidRDefault="00E03E8D" w:rsidP="002F10B5">
      <w:pPr>
        <w:autoSpaceDE w:val="0"/>
        <w:autoSpaceDN w:val="0"/>
        <w:adjustRightInd w:val="0"/>
        <w:spacing w:before="0" w:line="276" w:lineRule="auto"/>
        <w:ind w:firstLine="360"/>
        <w:rPr>
          <w:rFonts w:eastAsia="Calibri-Bold" w:cstheme="minorHAnsi"/>
          <w:b/>
          <w:bCs/>
          <w:color w:val="000000"/>
        </w:rPr>
      </w:pPr>
      <w:r w:rsidRPr="00FC615B">
        <w:rPr>
          <w:rFonts w:eastAsia="Calibri-Bold" w:cstheme="minorHAnsi"/>
          <w:b/>
          <w:bCs/>
          <w:color w:val="000000"/>
        </w:rPr>
        <w:t>Nositelj i koordinator izrade i provedbe Strategije</w:t>
      </w:r>
    </w:p>
    <w:p w14:paraId="1D1E788E" w14:textId="0D8F22D3" w:rsidR="00E03E8D" w:rsidRDefault="00E03E8D" w:rsidP="00D45BAB">
      <w:r w:rsidRPr="00672306">
        <w:t xml:space="preserve">Nositelj </w:t>
      </w:r>
      <w:r>
        <w:t xml:space="preserve">i koordinator </w:t>
      </w:r>
      <w:r w:rsidRPr="00672306">
        <w:t xml:space="preserve">izrade </w:t>
      </w:r>
      <w:r>
        <w:t xml:space="preserve">i provedbe </w:t>
      </w:r>
      <w:r w:rsidRPr="00672306">
        <w:t xml:space="preserve">Strategije je Grad </w:t>
      </w:r>
      <w:r>
        <w:t>Karlovac</w:t>
      </w:r>
      <w:r w:rsidR="004D0C15">
        <w:t xml:space="preserve"> kao središte Većeg u</w:t>
      </w:r>
      <w:r w:rsidRPr="00672306">
        <w:t>rban</w:t>
      </w:r>
      <w:r>
        <w:t>og</w:t>
      </w:r>
      <w:r w:rsidRPr="00672306">
        <w:t xml:space="preserve"> </w:t>
      </w:r>
      <w:r>
        <w:t>područja</w:t>
      </w:r>
      <w:r w:rsidRPr="00672306">
        <w:t xml:space="preserve"> </w:t>
      </w:r>
      <w:r>
        <w:t xml:space="preserve">Karlovac. Uz gradonačelnika koji </w:t>
      </w:r>
      <w:r w:rsidR="00FC615B">
        <w:t xml:space="preserve">donosi </w:t>
      </w:r>
      <w:r w:rsidR="00FC615B" w:rsidRPr="00C971B0">
        <w:t xml:space="preserve">sve </w:t>
      </w:r>
      <w:r w:rsidR="00FC615B">
        <w:t>relevantne</w:t>
      </w:r>
      <w:r w:rsidR="00FC615B" w:rsidRPr="00C971B0">
        <w:t xml:space="preserve"> odluke u ime Grada Karlovca</w:t>
      </w:r>
      <w:r>
        <w:t xml:space="preserve">, predmetne poslove u okviru Grada </w:t>
      </w:r>
      <w:r w:rsidR="00FC615B">
        <w:t>predvodi</w:t>
      </w:r>
      <w:r>
        <w:t xml:space="preserve"> </w:t>
      </w:r>
      <w:r w:rsidRPr="00FC615B">
        <w:rPr>
          <w:b/>
        </w:rPr>
        <w:t>Upravni odjel za razvoj grada i EU fondove</w:t>
      </w:r>
      <w:r w:rsidR="00FC615B">
        <w:t>, u čijem djelokrugu su poslovi vezani</w:t>
      </w:r>
      <w:r>
        <w:t xml:space="preserve"> za </w:t>
      </w:r>
      <w:r w:rsidRPr="00FD421C">
        <w:t>definiranje i izradu strateških dokumenata za Grad Karlovac</w:t>
      </w:r>
      <w:r>
        <w:t xml:space="preserve">, provjeru strateške sukladnosti, sudjelovanje u </w:t>
      </w:r>
      <w:r w:rsidRPr="00FD421C">
        <w:t>priprem</w:t>
      </w:r>
      <w:r>
        <w:t>i</w:t>
      </w:r>
      <w:r w:rsidRPr="00FD421C">
        <w:t xml:space="preserve"> razvojnih projekata Grada Karlovca </w:t>
      </w:r>
      <w:r>
        <w:t>te</w:t>
      </w:r>
      <w:r w:rsidRPr="00FD421C">
        <w:t xml:space="preserve"> kandidiranje </w:t>
      </w:r>
      <w:r>
        <w:t>istih za sufinanciranje sredstvima EU fondova,</w:t>
      </w:r>
      <w:r w:rsidRPr="009D67A6">
        <w:t xml:space="preserve"> vođenje baze podataka o međunarodnim i EU projektima na području Grada</w:t>
      </w:r>
      <w:r>
        <w:t xml:space="preserve"> te praćenje provedbe istih. </w:t>
      </w:r>
      <w:r w:rsidR="004D0C15">
        <w:t>U okviru ovog Upravnog odjela, provode se i aktivnosti tehničkog tajništva.</w:t>
      </w:r>
      <w:r w:rsidR="00FC615B">
        <w:t xml:space="preserve"> Prema potrebi i u skladu s odlukom čelništva Grada, </w:t>
      </w:r>
      <w:r w:rsidR="004D0C15">
        <w:t>Upravni odjel za razvoj grada i EU fondove</w:t>
      </w:r>
      <w:r w:rsidR="00FC615B">
        <w:t xml:space="preserve"> se u obavljanju zadaća koje se tiču </w:t>
      </w:r>
      <w:r w:rsidR="004D0C15">
        <w:t>izrade SRVUPKA</w:t>
      </w:r>
      <w:r w:rsidR="00FC615B">
        <w:t xml:space="preserve"> oslanja i na stručni doprinos ostalih upravnih odjela Grada.</w:t>
      </w:r>
    </w:p>
    <w:p w14:paraId="3503A69E" w14:textId="77777777" w:rsidR="00E03E8D" w:rsidRDefault="00E03E8D" w:rsidP="00D45BAB">
      <w:r>
        <w:t>U svrhu kvalitetne izrade i provedbe Strategije, gradonačelnik te Upravni odjel za razvoj grada i EU fondove provode sljedeće aktivnosti:</w:t>
      </w:r>
    </w:p>
    <w:p w14:paraId="681BDCBA" w14:textId="77777777" w:rsidR="00E03E8D" w:rsidRDefault="00E03E8D" w:rsidP="00F950C3">
      <w:pPr>
        <w:pStyle w:val="ListParagraph"/>
        <w:numPr>
          <w:ilvl w:val="0"/>
          <w:numId w:val="3"/>
        </w:numPr>
        <w:autoSpaceDE w:val="0"/>
        <w:autoSpaceDN w:val="0"/>
        <w:adjustRightInd w:val="0"/>
        <w:spacing w:before="0" w:after="60" w:line="276" w:lineRule="auto"/>
        <w:contextualSpacing w:val="0"/>
        <w:rPr>
          <w:rFonts w:eastAsia="Calibri-Bold" w:cstheme="minorHAnsi"/>
          <w:color w:val="000000"/>
        </w:rPr>
      </w:pPr>
      <w:r>
        <w:rPr>
          <w:rFonts w:eastAsia="Calibri-Bold" w:cstheme="minorHAnsi"/>
          <w:color w:val="000000"/>
        </w:rPr>
        <w:t>cjelokupna koordinacija izrade i provedbe Strategije te pripadajućih akcijskih i operativnih planova, što uključuje različite oblike konzultacija s dionicima, prikupljanje i razmjenu podataka te poticanje aktivnog sudjelovanja svih dionika u izradi i provedbi Strategije;</w:t>
      </w:r>
    </w:p>
    <w:p w14:paraId="0FEFC9E7" w14:textId="77777777" w:rsidR="00E03E8D" w:rsidRDefault="00E03E8D" w:rsidP="00F950C3">
      <w:pPr>
        <w:pStyle w:val="ListParagraph"/>
        <w:numPr>
          <w:ilvl w:val="0"/>
          <w:numId w:val="3"/>
        </w:numPr>
        <w:autoSpaceDE w:val="0"/>
        <w:autoSpaceDN w:val="0"/>
        <w:adjustRightInd w:val="0"/>
        <w:spacing w:before="0" w:after="60" w:line="276" w:lineRule="auto"/>
        <w:contextualSpacing w:val="0"/>
        <w:rPr>
          <w:rFonts w:eastAsia="Calibri-Bold" w:cstheme="minorHAnsi"/>
          <w:color w:val="000000"/>
        </w:rPr>
      </w:pPr>
      <w:r>
        <w:rPr>
          <w:rFonts w:eastAsia="Calibri-Bold" w:cstheme="minorHAnsi"/>
          <w:color w:val="000000"/>
        </w:rPr>
        <w:t>uspostava Radne skupine te upravljanje radom iste u svojstvu predsjedavatelja i tehničkog tajništva, što uključuje različite administrativne poslove vezano za članstvo te organizaciju i provedbu sjednica kao i pripremu svih potrebnih materijala i analitičkih podloga;</w:t>
      </w:r>
    </w:p>
    <w:p w14:paraId="7D215FD5" w14:textId="77777777" w:rsidR="00E03E8D" w:rsidRDefault="00E03E8D" w:rsidP="00F950C3">
      <w:pPr>
        <w:pStyle w:val="ListParagraph"/>
        <w:numPr>
          <w:ilvl w:val="0"/>
          <w:numId w:val="3"/>
        </w:numPr>
        <w:spacing w:before="0" w:after="60" w:line="259" w:lineRule="auto"/>
        <w:contextualSpacing w:val="0"/>
        <w:rPr>
          <w:rFonts w:eastAsia="Calibri-Bold" w:cstheme="minorHAnsi"/>
          <w:color w:val="000000"/>
        </w:rPr>
      </w:pPr>
      <w:r w:rsidRPr="007C5A60">
        <w:rPr>
          <w:rFonts w:eastAsia="Calibri-Bold" w:cstheme="minorHAnsi"/>
          <w:color w:val="000000"/>
        </w:rPr>
        <w:t>uspostava Partnerskog vijeća</w:t>
      </w:r>
      <w:r w:rsidRPr="007C5A60">
        <w:t xml:space="preserve"> </w:t>
      </w:r>
      <w:r w:rsidRPr="007C5A60">
        <w:rPr>
          <w:rFonts w:eastAsia="Calibri-Bold" w:cstheme="minorHAnsi"/>
          <w:color w:val="000000"/>
        </w:rPr>
        <w:t>te upravljanje radom ist</w:t>
      </w:r>
      <w:r>
        <w:rPr>
          <w:rFonts w:eastAsia="Calibri-Bold" w:cstheme="minorHAnsi"/>
          <w:color w:val="000000"/>
        </w:rPr>
        <w:t>og</w:t>
      </w:r>
      <w:r w:rsidRPr="007C5A60">
        <w:rPr>
          <w:rFonts w:eastAsia="Calibri-Bold" w:cstheme="minorHAnsi"/>
          <w:color w:val="000000"/>
        </w:rPr>
        <w:t xml:space="preserve"> u svojstvu predsjedavatelja i</w:t>
      </w:r>
      <w:r>
        <w:rPr>
          <w:rFonts w:eastAsia="Calibri-Bold" w:cstheme="minorHAnsi"/>
          <w:color w:val="000000"/>
        </w:rPr>
        <w:t xml:space="preserve"> </w:t>
      </w:r>
      <w:r w:rsidRPr="007C5A60">
        <w:rPr>
          <w:rFonts w:eastAsia="Calibri-Bold" w:cstheme="minorHAnsi"/>
          <w:color w:val="000000"/>
        </w:rPr>
        <w:t>tehničkog tajništva, što uključuje različite administrativne poslove vezano za članstvo te organizaciju i provedbu sjednica kao i pripremu svih potrebnih materijala i analitičkih podloga;</w:t>
      </w:r>
    </w:p>
    <w:p w14:paraId="04666212" w14:textId="77777777" w:rsidR="00E03E8D" w:rsidRDefault="00E03E8D" w:rsidP="00F950C3">
      <w:pPr>
        <w:pStyle w:val="ListParagraph"/>
        <w:numPr>
          <w:ilvl w:val="0"/>
          <w:numId w:val="3"/>
        </w:numPr>
        <w:spacing w:before="0" w:after="60" w:line="259" w:lineRule="auto"/>
        <w:ind w:left="714" w:hanging="357"/>
        <w:contextualSpacing w:val="0"/>
        <w:rPr>
          <w:rFonts w:eastAsia="Calibri-Bold" w:cstheme="minorHAnsi"/>
          <w:color w:val="000000"/>
        </w:rPr>
      </w:pPr>
      <w:r>
        <w:rPr>
          <w:rFonts w:eastAsia="Calibri-Bold" w:cstheme="minorHAnsi"/>
          <w:color w:val="000000"/>
        </w:rPr>
        <w:t>praćenje i vrednovanje učinaka provedbe Strategije;</w:t>
      </w:r>
    </w:p>
    <w:p w14:paraId="66CD1165" w14:textId="77777777" w:rsidR="00E03E8D" w:rsidRDefault="00E03E8D" w:rsidP="00F950C3">
      <w:pPr>
        <w:pStyle w:val="ListParagraph"/>
        <w:numPr>
          <w:ilvl w:val="0"/>
          <w:numId w:val="3"/>
        </w:numPr>
        <w:spacing w:before="0" w:after="60" w:line="259" w:lineRule="auto"/>
        <w:ind w:left="714" w:hanging="357"/>
        <w:contextualSpacing w:val="0"/>
        <w:rPr>
          <w:rFonts w:eastAsia="Calibri-Bold" w:cstheme="minorHAnsi"/>
          <w:color w:val="000000"/>
        </w:rPr>
      </w:pPr>
      <w:r w:rsidRPr="007C5A60">
        <w:rPr>
          <w:rFonts w:eastAsia="Calibri-Bold" w:cstheme="minorHAnsi"/>
          <w:color w:val="000000"/>
        </w:rPr>
        <w:t>informiranj</w:t>
      </w:r>
      <w:r>
        <w:rPr>
          <w:rFonts w:eastAsia="Calibri-Bold" w:cstheme="minorHAnsi"/>
          <w:color w:val="000000"/>
        </w:rPr>
        <w:t>e</w:t>
      </w:r>
      <w:r w:rsidRPr="007C5A60">
        <w:rPr>
          <w:rFonts w:eastAsia="Calibri-Bold" w:cstheme="minorHAnsi"/>
          <w:color w:val="000000"/>
        </w:rPr>
        <w:t xml:space="preserve"> javnosti i dionika o</w:t>
      </w:r>
      <w:r>
        <w:rPr>
          <w:rFonts w:eastAsia="Calibri-Bold" w:cstheme="minorHAnsi"/>
          <w:color w:val="000000"/>
        </w:rPr>
        <w:t xml:space="preserve"> </w:t>
      </w:r>
      <w:r w:rsidRPr="007C5A60">
        <w:rPr>
          <w:rFonts w:eastAsia="Calibri-Bold" w:cstheme="minorHAnsi"/>
          <w:color w:val="000000"/>
        </w:rPr>
        <w:t>postupcima izrade, donošenja, provedbe i praćenja provedbe Strategije</w:t>
      </w:r>
      <w:r>
        <w:rPr>
          <w:rFonts w:eastAsia="Calibri-Bold" w:cstheme="minorHAnsi"/>
          <w:color w:val="000000"/>
        </w:rPr>
        <w:t>.</w:t>
      </w:r>
    </w:p>
    <w:p w14:paraId="6CF61B91" w14:textId="77777777" w:rsidR="00E03E8D" w:rsidRDefault="00E03E8D" w:rsidP="00E03E8D">
      <w:pPr>
        <w:autoSpaceDE w:val="0"/>
        <w:autoSpaceDN w:val="0"/>
        <w:adjustRightInd w:val="0"/>
        <w:spacing w:after="60" w:line="276" w:lineRule="auto"/>
        <w:rPr>
          <w:rFonts w:eastAsia="Calibri-Bold" w:cstheme="minorHAnsi"/>
          <w:color w:val="000000"/>
        </w:rPr>
      </w:pPr>
    </w:p>
    <w:p w14:paraId="388C8B01" w14:textId="77777777" w:rsidR="00E03E8D" w:rsidRPr="002F10B5" w:rsidRDefault="00E03E8D" w:rsidP="002F10B5">
      <w:pPr>
        <w:autoSpaceDE w:val="0"/>
        <w:autoSpaceDN w:val="0"/>
        <w:adjustRightInd w:val="0"/>
        <w:spacing w:before="0" w:line="276" w:lineRule="auto"/>
        <w:ind w:firstLine="720"/>
        <w:rPr>
          <w:rFonts w:eastAsia="Calibri-Bold" w:cstheme="minorHAnsi"/>
          <w:b/>
          <w:color w:val="000000"/>
        </w:rPr>
      </w:pPr>
      <w:r w:rsidRPr="002F10B5">
        <w:rPr>
          <w:rFonts w:eastAsia="Calibri-Bold" w:cstheme="minorHAnsi"/>
          <w:b/>
          <w:color w:val="000000"/>
        </w:rPr>
        <w:t>Radna skupina za izradu Strategije</w:t>
      </w:r>
    </w:p>
    <w:p w14:paraId="02BD6CA0" w14:textId="2A1FFA31" w:rsidR="00E03E8D" w:rsidRDefault="00E03E8D" w:rsidP="00D45BAB">
      <w:r w:rsidRPr="007E09D5">
        <w:t>Radna skupina za izradu Strategije osn</w:t>
      </w:r>
      <w:r>
        <w:t>i</w:t>
      </w:r>
      <w:r w:rsidRPr="007E09D5">
        <w:t xml:space="preserve">va </w:t>
      </w:r>
      <w:r>
        <w:t>se u cilju</w:t>
      </w:r>
      <w:r w:rsidRPr="007E09D5">
        <w:t xml:space="preserve"> osigurava</w:t>
      </w:r>
      <w:r>
        <w:t>nja</w:t>
      </w:r>
      <w:r w:rsidRPr="007E09D5">
        <w:t xml:space="preserve"> stručn</w:t>
      </w:r>
      <w:r>
        <w:t>e</w:t>
      </w:r>
      <w:r w:rsidRPr="007E09D5">
        <w:t xml:space="preserve"> i pravovremen</w:t>
      </w:r>
      <w:r>
        <w:t>e</w:t>
      </w:r>
      <w:r w:rsidRPr="007E09D5">
        <w:t xml:space="preserve"> priprem</w:t>
      </w:r>
      <w:r>
        <w:t>e</w:t>
      </w:r>
      <w:r w:rsidRPr="007E09D5">
        <w:t xml:space="preserve"> i </w:t>
      </w:r>
      <w:r>
        <w:t>razmjene</w:t>
      </w:r>
      <w:r w:rsidRPr="007E09D5">
        <w:t xml:space="preserve"> svih</w:t>
      </w:r>
      <w:r>
        <w:t xml:space="preserve"> </w:t>
      </w:r>
      <w:r w:rsidRPr="007E09D5">
        <w:t>podatak</w:t>
      </w:r>
      <w:r w:rsidR="004D0C15">
        <w:t>a i materijala, kao i učinkovite i kvalitetne provedbe</w:t>
      </w:r>
      <w:r w:rsidRPr="007E09D5">
        <w:t xml:space="preserve"> ostalih aktivnosti </w:t>
      </w:r>
      <w:r w:rsidRPr="007E09D5">
        <w:lastRenderedPageBreak/>
        <w:t>povezanih s izradom</w:t>
      </w:r>
      <w:r>
        <w:t xml:space="preserve"> Strategije. </w:t>
      </w:r>
      <w:r w:rsidRPr="007E09D5">
        <w:t>Radnu skupinu čine</w:t>
      </w:r>
      <w:r>
        <w:t xml:space="preserve"> predstavnici </w:t>
      </w:r>
      <w:r w:rsidR="004D0C15">
        <w:t xml:space="preserve">lokalnih i regionalnih </w:t>
      </w:r>
      <w:r>
        <w:t>institucija koji aktivno i kontinuirano sudjeluju u procesu izrade Strategije:</w:t>
      </w:r>
    </w:p>
    <w:p w14:paraId="37FCDFA3" w14:textId="244389B4" w:rsidR="00E03E8D" w:rsidRDefault="002F10B5"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 xml:space="preserve">upravna tijela triju </w:t>
      </w:r>
      <w:r w:rsidR="00E03E8D" w:rsidRPr="00100971">
        <w:rPr>
          <w:rFonts w:eastAsia="Calibri-Bold" w:cstheme="minorHAnsi"/>
          <w:color w:val="000000"/>
        </w:rPr>
        <w:t xml:space="preserve">jedinica lokalne samouprave u sastavu </w:t>
      </w:r>
      <w:r w:rsidR="004D0C15">
        <w:rPr>
          <w:rFonts w:eastAsia="Calibri-Bold" w:cstheme="minorHAnsi"/>
          <w:color w:val="000000"/>
        </w:rPr>
        <w:t>Većeg u</w:t>
      </w:r>
      <w:r>
        <w:rPr>
          <w:rFonts w:eastAsia="Calibri-Bold" w:cstheme="minorHAnsi"/>
          <w:color w:val="000000"/>
        </w:rPr>
        <w:t>rbanog područja Karlovac;</w:t>
      </w:r>
    </w:p>
    <w:p w14:paraId="7B1C3BD1" w14:textId="00188837" w:rsidR="00E03E8D" w:rsidRDefault="002F10B5"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Karlovačka županija</w:t>
      </w:r>
      <w:r w:rsidR="00E03E8D">
        <w:rPr>
          <w:rFonts w:eastAsia="Calibri-Bold" w:cstheme="minorHAnsi"/>
          <w:color w:val="000000"/>
        </w:rPr>
        <w:t>;</w:t>
      </w:r>
    </w:p>
    <w:p w14:paraId="052FBC56" w14:textId="0F2D80E9" w:rsidR="00E03E8D" w:rsidRDefault="002F10B5"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Javna ustanova Regionalna razvojna agencija Karlovačke županije (regionalni koordinator).</w:t>
      </w:r>
    </w:p>
    <w:p w14:paraId="14632629" w14:textId="4E067803" w:rsidR="00E03E8D" w:rsidRDefault="00E03E8D" w:rsidP="00D45BAB">
      <w:r w:rsidRPr="00C971B0">
        <w:t>Predsjed</w:t>
      </w:r>
      <w:r>
        <w:t>avatelj R</w:t>
      </w:r>
      <w:r w:rsidRPr="007E09D5">
        <w:t xml:space="preserve">adne skupine je </w:t>
      </w:r>
      <w:r w:rsidR="002F10B5">
        <w:t>zamjenica gradonačelnika</w:t>
      </w:r>
      <w:r w:rsidRPr="007E09D5">
        <w:t xml:space="preserve"> Grada </w:t>
      </w:r>
      <w:r>
        <w:t xml:space="preserve">Karlovca u svojstvu </w:t>
      </w:r>
      <w:r w:rsidRPr="007E09D5">
        <w:t>predstavnik</w:t>
      </w:r>
      <w:r>
        <w:t>a</w:t>
      </w:r>
      <w:r w:rsidRPr="007E09D5">
        <w:t xml:space="preserve"> </w:t>
      </w:r>
      <w:r>
        <w:t>N</w:t>
      </w:r>
      <w:r w:rsidRPr="007E09D5">
        <w:t xml:space="preserve">ositelja </w:t>
      </w:r>
      <w:r>
        <w:t xml:space="preserve">i koordinatora </w:t>
      </w:r>
      <w:r w:rsidRPr="007E09D5">
        <w:t>izrade</w:t>
      </w:r>
      <w:r>
        <w:t xml:space="preserve"> i provedbe</w:t>
      </w:r>
      <w:r w:rsidRPr="007E09D5">
        <w:t xml:space="preserve"> Strategije.</w:t>
      </w:r>
      <w:r>
        <w:t xml:space="preserve"> </w:t>
      </w:r>
    </w:p>
    <w:p w14:paraId="4EE419E9" w14:textId="6936D8B7" w:rsidR="00E03E8D" w:rsidRPr="007E09D5" w:rsidRDefault="00E03E8D" w:rsidP="00D45BAB">
      <w:r w:rsidRPr="007E09D5">
        <w:t>U svom radu</w:t>
      </w:r>
      <w:r w:rsidR="004D0C15">
        <w:t>,</w:t>
      </w:r>
      <w:r w:rsidRPr="007E09D5">
        <w:t xml:space="preserve"> Radna skupina ostvaruje suradnju s tijelima državne uprave,</w:t>
      </w:r>
      <w:r>
        <w:t xml:space="preserve"> </w:t>
      </w:r>
      <w:r w:rsidRPr="007E09D5">
        <w:t>gospodarskim subjektima, znanstvenom zajednicom,</w:t>
      </w:r>
      <w:r>
        <w:t xml:space="preserve"> </w:t>
      </w:r>
      <w:r w:rsidRPr="007E09D5">
        <w:t>socijalnim partnerima, organizacijama civilnog društva i drugim dionicima razvoja, a osobito s</w:t>
      </w:r>
      <w:r>
        <w:t xml:space="preserve"> </w:t>
      </w:r>
      <w:r w:rsidRPr="007E09D5">
        <w:t>Partnerskim vijećem. U radu Radne skupine, po potrebi, povremeno sudjeluju i drugi predstavnici.</w:t>
      </w:r>
      <w:r>
        <w:t xml:space="preserve"> </w:t>
      </w:r>
      <w:r w:rsidRPr="007E09D5">
        <w:t>Ukoliko se tijekom procesa provedbe i izrade Strategije ukaže potreba, uspostavljaju se tematske</w:t>
      </w:r>
      <w:r>
        <w:t xml:space="preserve"> </w:t>
      </w:r>
      <w:r w:rsidRPr="007E09D5">
        <w:t xml:space="preserve">radne </w:t>
      </w:r>
      <w:r>
        <w:t>(pod)</w:t>
      </w:r>
      <w:r w:rsidRPr="007E09D5">
        <w:t>skupine za provedb</w:t>
      </w:r>
      <w:r w:rsidR="002F10B5">
        <w:t>u pojedinih dijelova Strategije.</w:t>
      </w:r>
    </w:p>
    <w:p w14:paraId="0E92004C" w14:textId="77777777" w:rsidR="00D45BAB" w:rsidRDefault="00D45BAB" w:rsidP="002F10B5">
      <w:pPr>
        <w:autoSpaceDE w:val="0"/>
        <w:autoSpaceDN w:val="0"/>
        <w:adjustRightInd w:val="0"/>
        <w:spacing w:before="0" w:line="276" w:lineRule="auto"/>
        <w:ind w:firstLine="720"/>
        <w:rPr>
          <w:rFonts w:eastAsia="Calibri-Bold" w:cstheme="minorHAnsi"/>
          <w:b/>
          <w:color w:val="000000"/>
        </w:rPr>
      </w:pPr>
    </w:p>
    <w:p w14:paraId="1FC2ED7E" w14:textId="77777777" w:rsidR="00E03E8D" w:rsidRPr="002F10B5" w:rsidRDefault="00E03E8D" w:rsidP="002F10B5">
      <w:pPr>
        <w:autoSpaceDE w:val="0"/>
        <w:autoSpaceDN w:val="0"/>
        <w:adjustRightInd w:val="0"/>
        <w:spacing w:before="0" w:line="276" w:lineRule="auto"/>
        <w:ind w:firstLine="720"/>
        <w:rPr>
          <w:rFonts w:eastAsia="Calibri-Bold" w:cstheme="minorHAnsi"/>
          <w:b/>
          <w:color w:val="000000"/>
        </w:rPr>
      </w:pPr>
      <w:r w:rsidRPr="002F10B5">
        <w:rPr>
          <w:rFonts w:eastAsia="Calibri-Bold" w:cstheme="minorHAnsi"/>
          <w:b/>
          <w:color w:val="000000"/>
        </w:rPr>
        <w:t>Partnersko vijeće</w:t>
      </w:r>
    </w:p>
    <w:p w14:paraId="141DB931" w14:textId="77777777" w:rsidR="00E03E8D" w:rsidRDefault="00E03E8D" w:rsidP="00D45BAB">
      <w:r w:rsidRPr="000F11D4">
        <w:t xml:space="preserve">Partnersko </w:t>
      </w:r>
      <w:r>
        <w:t>vijeće uspostavlja se s ciljem osiguravanja odgovarajućeg s</w:t>
      </w:r>
      <w:r w:rsidRPr="000F11D4">
        <w:t>udjelovanj</w:t>
      </w:r>
      <w:r>
        <w:t>a šireg kruga dionika</w:t>
      </w:r>
      <w:r w:rsidRPr="000F11D4">
        <w:t xml:space="preserve"> u izradi i praćenju provedbe Strategije</w:t>
      </w:r>
      <w:r>
        <w:t xml:space="preserve">, što uključuje </w:t>
      </w:r>
      <w:r w:rsidRPr="000F11D4">
        <w:t>provedb</w:t>
      </w:r>
      <w:r>
        <w:t>u</w:t>
      </w:r>
      <w:r w:rsidRPr="000F11D4">
        <w:t xml:space="preserve"> svih aktivnosti utvrđenih propisima o regionalnom</w:t>
      </w:r>
      <w:r>
        <w:t xml:space="preserve"> </w:t>
      </w:r>
      <w:r w:rsidRPr="000F11D4">
        <w:t xml:space="preserve">razvoju i Smjernicama </w:t>
      </w:r>
      <w:r>
        <w:t>Ministarstva regionalnoga razvoja i fondova Europske unije</w:t>
      </w:r>
      <w:r w:rsidRPr="000F11D4">
        <w:t xml:space="preserve"> za izradu strategij</w:t>
      </w:r>
      <w:r>
        <w:t>a</w:t>
      </w:r>
      <w:r w:rsidRPr="000F11D4">
        <w:t xml:space="preserve"> razvoja urbanih područja, praćenje njihove</w:t>
      </w:r>
      <w:r>
        <w:t xml:space="preserve"> </w:t>
      </w:r>
      <w:r w:rsidRPr="000F11D4">
        <w:t>provedbe i vrednovanje.</w:t>
      </w:r>
      <w:r>
        <w:t xml:space="preserve"> Partnersko vijeće čine predstavnici:</w:t>
      </w:r>
    </w:p>
    <w:p w14:paraId="53564C0A" w14:textId="77777777" w:rsidR="00E03E8D" w:rsidRPr="004171CD" w:rsidRDefault="00E03E8D" w:rsidP="00F950C3">
      <w:pPr>
        <w:pStyle w:val="ListParagraph"/>
        <w:numPr>
          <w:ilvl w:val="0"/>
          <w:numId w:val="3"/>
        </w:numPr>
        <w:autoSpaceDE w:val="0"/>
        <w:autoSpaceDN w:val="0"/>
        <w:adjustRightInd w:val="0"/>
        <w:spacing w:before="0" w:after="60" w:line="276" w:lineRule="auto"/>
        <w:rPr>
          <w:rFonts w:cstheme="minorHAnsi"/>
          <w:color w:val="000000"/>
        </w:rPr>
      </w:pPr>
      <w:r w:rsidRPr="004171CD">
        <w:rPr>
          <w:rFonts w:cstheme="minorHAnsi"/>
          <w:color w:val="000000"/>
        </w:rPr>
        <w:t>jedinica lokalne samouprave u sastavu Urbanog područja Karlovac (upravna tijela te predstavnička tijela)</w:t>
      </w:r>
      <w:r>
        <w:rPr>
          <w:rFonts w:cstheme="minorHAnsi"/>
          <w:color w:val="000000"/>
        </w:rPr>
        <w:t xml:space="preserve"> te, prema potrebi, drugih (susjednih) jedinica lokalne samouprave</w:t>
      </w:r>
      <w:r w:rsidRPr="004171CD">
        <w:rPr>
          <w:rFonts w:cstheme="minorHAnsi"/>
          <w:color w:val="000000"/>
        </w:rPr>
        <w:t>;</w:t>
      </w:r>
    </w:p>
    <w:p w14:paraId="30B00129" w14:textId="77777777" w:rsidR="00E03E8D" w:rsidRDefault="00E03E8D" w:rsidP="00F950C3">
      <w:pPr>
        <w:pStyle w:val="ListParagraph"/>
        <w:numPr>
          <w:ilvl w:val="0"/>
          <w:numId w:val="3"/>
        </w:numPr>
        <w:autoSpaceDE w:val="0"/>
        <w:autoSpaceDN w:val="0"/>
        <w:adjustRightInd w:val="0"/>
        <w:spacing w:before="0" w:after="60" w:line="276" w:lineRule="auto"/>
        <w:rPr>
          <w:rFonts w:cstheme="minorHAnsi"/>
          <w:color w:val="000000"/>
        </w:rPr>
      </w:pPr>
      <w:r w:rsidRPr="004171CD">
        <w:rPr>
          <w:rFonts w:cstheme="minorHAnsi"/>
          <w:color w:val="000000"/>
        </w:rPr>
        <w:t>županije</w:t>
      </w:r>
      <w:r>
        <w:rPr>
          <w:rFonts w:cstheme="minorHAnsi"/>
          <w:color w:val="000000"/>
        </w:rPr>
        <w:t xml:space="preserve"> te, prema potrebi, drugih (susjednih) jedinica područne samouprave</w:t>
      </w:r>
      <w:r w:rsidRPr="004171CD">
        <w:rPr>
          <w:rFonts w:cstheme="minorHAnsi"/>
          <w:color w:val="000000"/>
        </w:rPr>
        <w:t>;</w:t>
      </w:r>
    </w:p>
    <w:p w14:paraId="6B296074" w14:textId="77777777" w:rsidR="00E03E8D" w:rsidRPr="004171CD" w:rsidRDefault="00E03E8D" w:rsidP="00F950C3">
      <w:pPr>
        <w:pStyle w:val="ListParagraph"/>
        <w:numPr>
          <w:ilvl w:val="0"/>
          <w:numId w:val="3"/>
        </w:numPr>
        <w:autoSpaceDE w:val="0"/>
        <w:autoSpaceDN w:val="0"/>
        <w:adjustRightInd w:val="0"/>
        <w:spacing w:before="0" w:after="60" w:line="276" w:lineRule="auto"/>
        <w:rPr>
          <w:rFonts w:cstheme="minorHAnsi"/>
          <w:color w:val="000000"/>
        </w:rPr>
      </w:pPr>
      <w:r w:rsidRPr="004171CD">
        <w:rPr>
          <w:rFonts w:cstheme="minorHAnsi"/>
          <w:color w:val="000000"/>
        </w:rPr>
        <w:t>drugih javnih tijela čije je</w:t>
      </w:r>
      <w:r>
        <w:rPr>
          <w:rFonts w:cstheme="minorHAnsi"/>
          <w:color w:val="000000"/>
        </w:rPr>
        <w:t xml:space="preserve"> </w:t>
      </w:r>
      <w:r w:rsidRPr="004171CD">
        <w:rPr>
          <w:rFonts w:cstheme="minorHAnsi"/>
          <w:color w:val="000000"/>
        </w:rPr>
        <w:t>sudjelovanje značajno za razvoj urbanog područja</w:t>
      </w:r>
      <w:r>
        <w:rPr>
          <w:rFonts w:cstheme="minorHAnsi"/>
          <w:color w:val="000000"/>
        </w:rPr>
        <w:t>;</w:t>
      </w:r>
    </w:p>
    <w:p w14:paraId="2D6624D3" w14:textId="77777777" w:rsidR="00E03E8D" w:rsidRPr="004171CD" w:rsidRDefault="00E03E8D" w:rsidP="00F950C3">
      <w:pPr>
        <w:pStyle w:val="ListParagraph"/>
        <w:numPr>
          <w:ilvl w:val="0"/>
          <w:numId w:val="3"/>
        </w:numPr>
        <w:autoSpaceDE w:val="0"/>
        <w:autoSpaceDN w:val="0"/>
        <w:adjustRightInd w:val="0"/>
        <w:spacing w:before="0" w:after="60" w:line="276" w:lineRule="auto"/>
        <w:rPr>
          <w:rFonts w:cstheme="minorHAnsi"/>
          <w:color w:val="000000"/>
        </w:rPr>
      </w:pPr>
      <w:r w:rsidRPr="004171CD">
        <w:rPr>
          <w:rFonts w:cstheme="minorHAnsi"/>
          <w:color w:val="000000"/>
        </w:rPr>
        <w:t>regionalnih koordinatora;</w:t>
      </w:r>
    </w:p>
    <w:p w14:paraId="429F6EAC" w14:textId="77777777" w:rsidR="00E03E8D" w:rsidRPr="00194272" w:rsidRDefault="00E03E8D" w:rsidP="00F950C3">
      <w:pPr>
        <w:pStyle w:val="ListParagraph"/>
        <w:numPr>
          <w:ilvl w:val="0"/>
          <w:numId w:val="3"/>
        </w:numPr>
        <w:autoSpaceDE w:val="0"/>
        <w:autoSpaceDN w:val="0"/>
        <w:adjustRightInd w:val="0"/>
        <w:spacing w:before="0" w:after="60" w:line="276" w:lineRule="auto"/>
        <w:rPr>
          <w:rFonts w:cstheme="minorHAnsi"/>
          <w:color w:val="000000"/>
        </w:rPr>
      </w:pPr>
      <w:r>
        <w:rPr>
          <w:rFonts w:cstheme="minorHAnsi"/>
          <w:color w:val="000000"/>
        </w:rPr>
        <w:t xml:space="preserve">visokoškolskih, </w:t>
      </w:r>
      <w:r w:rsidRPr="004171CD">
        <w:rPr>
          <w:rFonts w:cstheme="minorHAnsi"/>
          <w:color w:val="000000"/>
        </w:rPr>
        <w:t>znanstvenih i stručnih institucija;</w:t>
      </w:r>
    </w:p>
    <w:p w14:paraId="796582EA" w14:textId="77777777" w:rsidR="00E03E8D" w:rsidRPr="00194272" w:rsidRDefault="00E03E8D" w:rsidP="00F950C3">
      <w:pPr>
        <w:pStyle w:val="ListParagraph"/>
        <w:numPr>
          <w:ilvl w:val="0"/>
          <w:numId w:val="3"/>
        </w:numPr>
        <w:autoSpaceDE w:val="0"/>
        <w:autoSpaceDN w:val="0"/>
        <w:adjustRightInd w:val="0"/>
        <w:spacing w:before="0" w:after="60" w:line="276" w:lineRule="auto"/>
        <w:rPr>
          <w:rFonts w:cstheme="minorHAnsi"/>
          <w:color w:val="000000"/>
        </w:rPr>
      </w:pPr>
      <w:r w:rsidRPr="00093DD6">
        <w:rPr>
          <w:rFonts w:cstheme="minorHAnsi"/>
          <w:color w:val="000000"/>
        </w:rPr>
        <w:t>gospodarskih i socijalnih partnera, uključujući</w:t>
      </w:r>
      <w:r>
        <w:rPr>
          <w:rFonts w:cstheme="minorHAnsi"/>
          <w:color w:val="000000"/>
        </w:rPr>
        <w:t xml:space="preserve"> </w:t>
      </w:r>
      <w:r w:rsidRPr="00194272">
        <w:rPr>
          <w:rFonts w:cstheme="minorHAnsi"/>
          <w:color w:val="000000"/>
        </w:rPr>
        <w:t>istaknute organizacije gospodarskih i socijalnih partnera te predstavnike gospodarskih i obrtničkih komora ili poslovnih udruženja iz urbanog područja te organizacija civilnog društva, posebno iz područja zaštite okoliša, promicanja socijalne uključenosti, jednakosti među spolovima i nediskriminacije, zaštite prava nacionalnih manjina uzimajući u obzir geografsku i tematsku pokrivenost, sposobnost upravljanja, stručnost i inovativne pristupe.</w:t>
      </w:r>
    </w:p>
    <w:p w14:paraId="465C4152" w14:textId="77777777" w:rsidR="00E03E8D" w:rsidRPr="004171CD" w:rsidRDefault="00E03E8D" w:rsidP="00F950C3">
      <w:pPr>
        <w:pStyle w:val="ListParagraph"/>
        <w:numPr>
          <w:ilvl w:val="0"/>
          <w:numId w:val="3"/>
        </w:numPr>
        <w:autoSpaceDE w:val="0"/>
        <w:autoSpaceDN w:val="0"/>
        <w:adjustRightInd w:val="0"/>
        <w:spacing w:before="0" w:after="60" w:line="276" w:lineRule="auto"/>
        <w:ind w:left="714" w:hanging="357"/>
        <w:rPr>
          <w:rFonts w:cstheme="minorHAnsi"/>
          <w:color w:val="000000"/>
        </w:rPr>
      </w:pPr>
      <w:r w:rsidRPr="004171CD">
        <w:rPr>
          <w:rFonts w:cstheme="minorHAnsi"/>
          <w:color w:val="000000"/>
        </w:rPr>
        <w:t>drugih dionika</w:t>
      </w:r>
      <w:r>
        <w:rPr>
          <w:rFonts w:cstheme="minorHAnsi"/>
          <w:color w:val="000000"/>
        </w:rPr>
        <w:t xml:space="preserve"> relevantnih za razvoj urbanog područja.</w:t>
      </w:r>
      <w:r w:rsidRPr="004171CD">
        <w:rPr>
          <w:rFonts w:cstheme="minorHAnsi"/>
          <w:color w:val="000000"/>
        </w:rPr>
        <w:t xml:space="preserve"> </w:t>
      </w:r>
    </w:p>
    <w:p w14:paraId="5C42B96F" w14:textId="77777777" w:rsidR="00E03E8D" w:rsidRDefault="00E03E8D" w:rsidP="00D45BAB">
      <w:r w:rsidRPr="000F11D4">
        <w:t xml:space="preserve">Partnersko vijeće </w:t>
      </w:r>
      <w:r>
        <w:t>osniva se</w:t>
      </w:r>
      <w:r w:rsidRPr="000F11D4">
        <w:t xml:space="preserve"> kao savjetodavno tijelo putem kojeg se</w:t>
      </w:r>
      <w:r>
        <w:t xml:space="preserve"> </w:t>
      </w:r>
      <w:r w:rsidRPr="000F11D4">
        <w:t>osigurava ostvarenje načela partnerstva u pripremi, izradi i praćenju provedbe Strategije, s</w:t>
      </w:r>
      <w:r>
        <w:t xml:space="preserve"> </w:t>
      </w:r>
      <w:r w:rsidRPr="000F11D4">
        <w:t xml:space="preserve">primarnim ciljem utvrđivanja zajedničkih prioriteta na razini </w:t>
      </w:r>
      <w:r>
        <w:t>urbanog područja</w:t>
      </w:r>
      <w:r w:rsidRPr="000F11D4">
        <w:t xml:space="preserve"> i predlaganja</w:t>
      </w:r>
      <w:r>
        <w:t xml:space="preserve"> </w:t>
      </w:r>
      <w:r w:rsidRPr="000F11D4">
        <w:t xml:space="preserve">strateških projekata važnih za razvoj </w:t>
      </w:r>
      <w:r>
        <w:t>istog</w:t>
      </w:r>
      <w:r w:rsidRPr="000F11D4">
        <w:t>. Osim toga, Partnersko vijeće ocjenjuje</w:t>
      </w:r>
      <w:r>
        <w:t xml:space="preserve"> </w:t>
      </w:r>
      <w:r w:rsidRPr="000F11D4">
        <w:t>napredak u provedbi, raspravlja o planu provedbe razvojnih prioriteta, mjera i ključnih projekata te</w:t>
      </w:r>
      <w:r>
        <w:t xml:space="preserve"> </w:t>
      </w:r>
      <w:r w:rsidRPr="000F11D4">
        <w:t>predlaže izmjene i poboljšanja u načinu provedbe i sadržaju Strategije. Odluke Partnerskog</w:t>
      </w:r>
      <w:r>
        <w:t xml:space="preserve"> </w:t>
      </w:r>
      <w:r w:rsidRPr="000F11D4">
        <w:t>vijeća</w:t>
      </w:r>
      <w:r>
        <w:t xml:space="preserve"> </w:t>
      </w:r>
      <w:r w:rsidRPr="000F11D4">
        <w:t>donose se konsenzusom svih partnera zastupljenih u Partnerskom vijeću te se</w:t>
      </w:r>
      <w:r>
        <w:t xml:space="preserve">, putem tehničkog tajništva, </w:t>
      </w:r>
      <w:r w:rsidRPr="000F11D4">
        <w:t>predaju</w:t>
      </w:r>
      <w:r>
        <w:t xml:space="preserve"> Nositelju i k</w:t>
      </w:r>
      <w:r w:rsidRPr="000F11D4">
        <w:t xml:space="preserve">oordinatoru izrade i provedbe </w:t>
      </w:r>
      <w:r>
        <w:t xml:space="preserve">Strategije </w:t>
      </w:r>
      <w:r w:rsidRPr="000F11D4">
        <w:t>na daljnje razmatranje i postupanje. Odluke, preporuke i mišljenja</w:t>
      </w:r>
      <w:r>
        <w:t xml:space="preserve"> </w:t>
      </w:r>
      <w:r w:rsidRPr="000F11D4">
        <w:t>Partnerskog vijeća su savjetodavne naravi, ali predstavljaju mišljenje i konsenzus dionika oko</w:t>
      </w:r>
      <w:r>
        <w:t xml:space="preserve"> </w:t>
      </w:r>
      <w:r w:rsidRPr="000F11D4">
        <w:t>najvažnijih pitanja vezanih uz izradu i provedbu Strategije. Rad Partnerskog vijeća osigurava</w:t>
      </w:r>
      <w:r>
        <w:t xml:space="preserve"> </w:t>
      </w:r>
      <w:r w:rsidRPr="000F11D4">
        <w:t>kontinuiranu zastupljenost i informiranost ključnih dionika o napretku izrade i provedbe Strategije</w:t>
      </w:r>
      <w:r>
        <w:t xml:space="preserve"> </w:t>
      </w:r>
      <w:r w:rsidRPr="000F11D4">
        <w:t>sukladno principima dobrog upravljanja.</w:t>
      </w:r>
    </w:p>
    <w:p w14:paraId="112BF2C9" w14:textId="6080E75F" w:rsidR="00E03E8D" w:rsidRPr="00173B46" w:rsidRDefault="00E03E8D" w:rsidP="00D45BAB">
      <w:r w:rsidRPr="00006BED">
        <w:lastRenderedPageBreak/>
        <w:t>Način rada Partnerskog vijeća (osnivanje i imenovanje članova i zamjenika članova, način izbora predsjedavatelja i zamjenika predsjedavatelja i njihove ovlasti i zadaće, prava i obveze članova, djelokrug rada, način rada i način odlučivanja i glasovanja, javnost i transparentnost rada i dr.) utvrđuje se Poslovnikom o radu Parterskog vijeća koji, na prijedlog tehničkog tajništva i predsjedavatelja, usvaja samo Partnersko vijeće. Aktivnosti tehničkog tajn</w:t>
      </w:r>
      <w:r w:rsidR="004D0C15">
        <w:t xml:space="preserve">ištva Partnerskog vijeća provode se u okviru Upravnog </w:t>
      </w:r>
      <w:r w:rsidRPr="00006BED">
        <w:t>odjel</w:t>
      </w:r>
      <w:r w:rsidR="004D0C15">
        <w:t>a</w:t>
      </w:r>
      <w:r w:rsidRPr="00006BED">
        <w:t xml:space="preserve"> za razvoj grada i EU fondove</w:t>
      </w:r>
      <w:r w:rsidR="002F10B5">
        <w:t>,</w:t>
      </w:r>
      <w:r w:rsidRPr="00006BED">
        <w:t xml:space="preserve"> a imenovanja članova provode se u skladu s Poslovnikom Partnerskog vijeća.</w:t>
      </w:r>
    </w:p>
    <w:p w14:paraId="12222685" w14:textId="77777777" w:rsidR="00D45BAB" w:rsidRDefault="00D45BAB" w:rsidP="002F10B5">
      <w:pPr>
        <w:autoSpaceDE w:val="0"/>
        <w:autoSpaceDN w:val="0"/>
        <w:adjustRightInd w:val="0"/>
        <w:spacing w:before="0" w:line="276" w:lineRule="auto"/>
        <w:ind w:firstLine="720"/>
        <w:rPr>
          <w:rFonts w:eastAsia="Calibri-Bold" w:cstheme="minorHAnsi"/>
          <w:b/>
          <w:color w:val="000000"/>
        </w:rPr>
      </w:pPr>
    </w:p>
    <w:p w14:paraId="5E0DB347" w14:textId="77777777" w:rsidR="00E03E8D" w:rsidRPr="002F10B5" w:rsidRDefault="00E03E8D" w:rsidP="002F10B5">
      <w:pPr>
        <w:autoSpaceDE w:val="0"/>
        <w:autoSpaceDN w:val="0"/>
        <w:adjustRightInd w:val="0"/>
        <w:spacing w:before="0" w:line="276" w:lineRule="auto"/>
        <w:ind w:firstLine="720"/>
        <w:rPr>
          <w:rFonts w:eastAsia="Calibri-Bold" w:cstheme="minorHAnsi"/>
          <w:b/>
          <w:color w:val="000000"/>
        </w:rPr>
      </w:pPr>
      <w:r w:rsidRPr="002F10B5">
        <w:rPr>
          <w:rFonts w:eastAsia="Calibri-Bold" w:cstheme="minorHAnsi"/>
          <w:b/>
          <w:color w:val="000000"/>
        </w:rPr>
        <w:t>Radna skupina za vrednovanje</w:t>
      </w:r>
    </w:p>
    <w:p w14:paraId="4EA395B7" w14:textId="435CFB34" w:rsidR="00E03E8D" w:rsidRDefault="00E03E8D" w:rsidP="00D45BAB">
      <w:r>
        <w:t xml:space="preserve">Radna skupina za vrednovanje osniva se u cilju provedbe neovisnog vrednovanja uspješnosti provedbe te ostvarenja ciljeva Strategije. Radnu skupinu za vrednovanje čine predstavnici jedinica lokalne samouprave iz obuhvata </w:t>
      </w:r>
      <w:r w:rsidR="004D0C15">
        <w:t>Većeg u</w:t>
      </w:r>
      <w:r>
        <w:t>rbanog područja Karlovac s ciljem cjelokupne koordinacije</w:t>
      </w:r>
      <w:r w:rsidRPr="00F708DE">
        <w:t xml:space="preserve"> svih aspekata vrednovanja</w:t>
      </w:r>
      <w:r>
        <w:t xml:space="preserve"> - </w:t>
      </w:r>
      <w:r w:rsidRPr="00F708DE">
        <w:t>pripreme vrednovanja</w:t>
      </w:r>
      <w:r>
        <w:t xml:space="preserve">, </w:t>
      </w:r>
      <w:r w:rsidRPr="002A2E1B">
        <w:t>nadziranj</w:t>
      </w:r>
      <w:r>
        <w:t>a</w:t>
      </w:r>
      <w:r w:rsidRPr="002A2E1B">
        <w:t xml:space="preserve"> svih ključnih koraka tijekom cijelog procesa kako bi se osigurala uspješna</w:t>
      </w:r>
      <w:r>
        <w:t xml:space="preserve"> </w:t>
      </w:r>
      <w:r w:rsidRPr="002A2E1B">
        <w:t>realizacija vrednovanja, pružanje stručnog doprinosa tijekom</w:t>
      </w:r>
      <w:r>
        <w:t xml:space="preserve"> </w:t>
      </w:r>
      <w:r w:rsidRPr="002A2E1B">
        <w:t xml:space="preserve">vrednovanja, </w:t>
      </w:r>
      <w:r>
        <w:t>osiguravanja</w:t>
      </w:r>
      <w:r w:rsidRPr="002A2E1B">
        <w:t xml:space="preserve"> dostupnosti potrebnih informacija, </w:t>
      </w:r>
      <w:r>
        <w:t>osiguravanja</w:t>
      </w:r>
      <w:r w:rsidRPr="002A2E1B">
        <w:t xml:space="preserve"> nepristranosti i korisnosti</w:t>
      </w:r>
      <w:r>
        <w:t xml:space="preserve"> </w:t>
      </w:r>
      <w:r w:rsidRPr="002A2E1B">
        <w:t>vrednovanja</w:t>
      </w:r>
      <w:r>
        <w:t xml:space="preserve"> te </w:t>
      </w:r>
      <w:r w:rsidRPr="002A2E1B">
        <w:t>kontrole kvalitete</w:t>
      </w:r>
      <w:r>
        <w:t xml:space="preserve"> i usvajanja </w:t>
      </w:r>
      <w:r w:rsidRPr="00F708DE">
        <w:t>završnog izvještaja o provedenom vrednovanju</w:t>
      </w:r>
      <w:r>
        <w:t>.</w:t>
      </w:r>
    </w:p>
    <w:p w14:paraId="22B79924" w14:textId="4DC9BBB4" w:rsidR="00E03E8D" w:rsidRPr="007C0158" w:rsidRDefault="00E03E8D" w:rsidP="00D45BAB">
      <w:r>
        <w:t>U cilju osiguranja nepristranosti, Radna skupina za vrednovanja osniva se na prijedlog Nositelja i koordinatora izrade i provedbe Strategije kao zasebno radno tijelo, a u svojem radu prema potrebi može koristiti i u</w:t>
      </w:r>
      <w:r w:rsidR="004D0C15">
        <w:t>sluge vanjskih pružatelja usluge</w:t>
      </w:r>
      <w:r>
        <w:t xml:space="preserve"> vrednovanja.  </w:t>
      </w:r>
    </w:p>
    <w:p w14:paraId="432C7009" w14:textId="77777777" w:rsidR="00D45BAB" w:rsidRDefault="00D45BAB" w:rsidP="002F10B5">
      <w:pPr>
        <w:autoSpaceDE w:val="0"/>
        <w:autoSpaceDN w:val="0"/>
        <w:adjustRightInd w:val="0"/>
        <w:spacing w:before="0" w:line="276" w:lineRule="auto"/>
        <w:ind w:firstLine="720"/>
        <w:rPr>
          <w:rFonts w:eastAsia="Calibri-Bold" w:cstheme="minorHAnsi"/>
          <w:b/>
          <w:color w:val="000000"/>
        </w:rPr>
      </w:pPr>
    </w:p>
    <w:p w14:paraId="787AD111" w14:textId="77777777" w:rsidR="00E03E8D" w:rsidRPr="002F10B5" w:rsidRDefault="00E03E8D" w:rsidP="002F10B5">
      <w:pPr>
        <w:autoSpaceDE w:val="0"/>
        <w:autoSpaceDN w:val="0"/>
        <w:adjustRightInd w:val="0"/>
        <w:spacing w:before="0" w:line="276" w:lineRule="auto"/>
        <w:ind w:firstLine="720"/>
        <w:rPr>
          <w:rFonts w:eastAsia="Calibri-Bold" w:cstheme="minorHAnsi"/>
          <w:b/>
          <w:color w:val="000000"/>
        </w:rPr>
      </w:pPr>
      <w:r w:rsidRPr="002F10B5">
        <w:rPr>
          <w:rFonts w:eastAsia="Calibri-Bold" w:cstheme="minorHAnsi"/>
          <w:b/>
          <w:color w:val="000000"/>
        </w:rPr>
        <w:t>Uloge ostalih dionika</w:t>
      </w:r>
    </w:p>
    <w:p w14:paraId="1AB374F6" w14:textId="49E3C913" w:rsidR="00E03E8D" w:rsidRDefault="00E03E8D" w:rsidP="00D45BAB">
      <w:r w:rsidRPr="00C517C4">
        <w:t xml:space="preserve">Osim kroz sudjelovanje u radu Radne skupine za izradu Strategije te Partnerskog vijeća na način opisan u prethodnim točkama, </w:t>
      </w:r>
      <w:r>
        <w:t>sudjelovanje ostalih dionika očekivano je kroz (neisc</w:t>
      </w:r>
      <w:r w:rsidR="000A42BF">
        <w:t>r</w:t>
      </w:r>
      <w:r>
        <w:t>pna lista aktivnosti):</w:t>
      </w:r>
    </w:p>
    <w:p w14:paraId="719AB78A" w14:textId="77777777" w:rsidR="00E03E8D" w:rsidRPr="009C002A"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p</w:t>
      </w:r>
      <w:r w:rsidRPr="009C002A">
        <w:rPr>
          <w:rFonts w:eastAsia="Calibri-Bold" w:cstheme="minorHAnsi"/>
          <w:color w:val="000000"/>
        </w:rPr>
        <w:t>riprem</w:t>
      </w:r>
      <w:r>
        <w:rPr>
          <w:rFonts w:eastAsia="Calibri-Bold" w:cstheme="minorHAnsi"/>
          <w:color w:val="000000"/>
        </w:rPr>
        <w:t>u</w:t>
      </w:r>
      <w:r w:rsidRPr="009C002A">
        <w:rPr>
          <w:rFonts w:eastAsia="Calibri-Bold" w:cstheme="minorHAnsi"/>
          <w:color w:val="000000"/>
        </w:rPr>
        <w:t xml:space="preserve"> i dostav</w:t>
      </w:r>
      <w:r>
        <w:rPr>
          <w:rFonts w:eastAsia="Calibri-Bold" w:cstheme="minorHAnsi"/>
          <w:color w:val="000000"/>
        </w:rPr>
        <w:t>u</w:t>
      </w:r>
      <w:r w:rsidRPr="009C002A">
        <w:rPr>
          <w:rFonts w:eastAsia="Calibri-Bold" w:cstheme="minorHAnsi"/>
          <w:color w:val="000000"/>
        </w:rPr>
        <w:t xml:space="preserve">, na traženje </w:t>
      </w:r>
      <w:r>
        <w:rPr>
          <w:rFonts w:eastAsia="Calibri-Bold" w:cstheme="minorHAnsi"/>
          <w:color w:val="000000"/>
        </w:rPr>
        <w:t>N</w:t>
      </w:r>
      <w:r w:rsidRPr="009C002A">
        <w:rPr>
          <w:rFonts w:eastAsia="Calibri-Bold" w:cstheme="minorHAnsi"/>
          <w:color w:val="000000"/>
        </w:rPr>
        <w:t xml:space="preserve">ositelja i koordinatora </w:t>
      </w:r>
      <w:r>
        <w:rPr>
          <w:rFonts w:eastAsia="Calibri-Bold" w:cstheme="minorHAnsi"/>
          <w:color w:val="000000"/>
        </w:rPr>
        <w:t xml:space="preserve">izrade Strategije, </w:t>
      </w:r>
      <w:r w:rsidRPr="009C002A">
        <w:rPr>
          <w:rFonts w:eastAsia="Calibri-Bold" w:cstheme="minorHAnsi"/>
          <w:color w:val="000000"/>
        </w:rPr>
        <w:t>relevantn</w:t>
      </w:r>
      <w:r>
        <w:rPr>
          <w:rFonts w:eastAsia="Calibri-Bold" w:cstheme="minorHAnsi"/>
          <w:color w:val="000000"/>
        </w:rPr>
        <w:t>ih</w:t>
      </w:r>
      <w:r w:rsidRPr="009C002A">
        <w:rPr>
          <w:rFonts w:eastAsia="Calibri-Bold" w:cstheme="minorHAnsi"/>
          <w:color w:val="000000"/>
        </w:rPr>
        <w:t xml:space="preserve"> podat</w:t>
      </w:r>
      <w:r>
        <w:rPr>
          <w:rFonts w:eastAsia="Calibri-Bold" w:cstheme="minorHAnsi"/>
          <w:color w:val="000000"/>
        </w:rPr>
        <w:t>a</w:t>
      </w:r>
      <w:r w:rsidRPr="009C002A">
        <w:rPr>
          <w:rFonts w:eastAsia="Calibri-Bold" w:cstheme="minorHAnsi"/>
          <w:color w:val="000000"/>
        </w:rPr>
        <w:t>k</w:t>
      </w:r>
      <w:r>
        <w:rPr>
          <w:rFonts w:eastAsia="Calibri-Bold" w:cstheme="minorHAnsi"/>
          <w:color w:val="000000"/>
        </w:rPr>
        <w:t>a i dokumenata;</w:t>
      </w:r>
    </w:p>
    <w:p w14:paraId="57800F7C" w14:textId="77777777" w:rsidR="00E03E8D"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p</w:t>
      </w:r>
      <w:r w:rsidRPr="009C002A">
        <w:rPr>
          <w:rFonts w:eastAsia="Calibri-Bold" w:cstheme="minorHAnsi"/>
          <w:color w:val="000000"/>
        </w:rPr>
        <w:t>rikuplja</w:t>
      </w:r>
      <w:r>
        <w:rPr>
          <w:rFonts w:eastAsia="Calibri-Bold" w:cstheme="minorHAnsi"/>
          <w:color w:val="000000"/>
        </w:rPr>
        <w:t>nje</w:t>
      </w:r>
      <w:r w:rsidRPr="009C002A">
        <w:rPr>
          <w:rFonts w:eastAsia="Calibri-Bold" w:cstheme="minorHAnsi"/>
          <w:color w:val="000000"/>
        </w:rPr>
        <w:t xml:space="preserve"> i dostav</w:t>
      </w:r>
      <w:r>
        <w:rPr>
          <w:rFonts w:eastAsia="Calibri-Bold" w:cstheme="minorHAnsi"/>
          <w:color w:val="000000"/>
        </w:rPr>
        <w:t>u</w:t>
      </w:r>
      <w:r w:rsidRPr="009C002A">
        <w:rPr>
          <w:rFonts w:eastAsia="Calibri-Bold" w:cstheme="minorHAnsi"/>
          <w:color w:val="000000"/>
        </w:rPr>
        <w:t xml:space="preserve"> podat</w:t>
      </w:r>
      <w:r>
        <w:rPr>
          <w:rFonts w:eastAsia="Calibri-Bold" w:cstheme="minorHAnsi"/>
          <w:color w:val="000000"/>
        </w:rPr>
        <w:t>a</w:t>
      </w:r>
      <w:r w:rsidRPr="009C002A">
        <w:rPr>
          <w:rFonts w:eastAsia="Calibri-Bold" w:cstheme="minorHAnsi"/>
          <w:color w:val="000000"/>
        </w:rPr>
        <w:t>k</w:t>
      </w:r>
      <w:r>
        <w:rPr>
          <w:rFonts w:eastAsia="Calibri-Bold" w:cstheme="minorHAnsi"/>
          <w:color w:val="000000"/>
        </w:rPr>
        <w:t>a</w:t>
      </w:r>
      <w:r w:rsidRPr="009C002A">
        <w:rPr>
          <w:rFonts w:eastAsia="Calibri-Bold" w:cstheme="minorHAnsi"/>
          <w:color w:val="000000"/>
        </w:rPr>
        <w:t xml:space="preserve"> o projektima, aktivnostima i programima značajnim</w:t>
      </w:r>
      <w:r>
        <w:rPr>
          <w:rFonts w:eastAsia="Calibri-Bold" w:cstheme="minorHAnsi"/>
          <w:color w:val="000000"/>
        </w:rPr>
        <w:t>a</w:t>
      </w:r>
      <w:r w:rsidRPr="009C002A">
        <w:rPr>
          <w:rFonts w:eastAsia="Calibri-Bold" w:cstheme="minorHAnsi"/>
          <w:color w:val="000000"/>
        </w:rPr>
        <w:t xml:space="preserve"> za</w:t>
      </w:r>
      <w:r>
        <w:rPr>
          <w:rFonts w:eastAsia="Calibri-Bold" w:cstheme="minorHAnsi"/>
          <w:color w:val="000000"/>
        </w:rPr>
        <w:t xml:space="preserve"> urbano područje;</w:t>
      </w:r>
    </w:p>
    <w:p w14:paraId="66DEE6AE" w14:textId="77777777" w:rsidR="00E03E8D" w:rsidRPr="009C002A"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sidRPr="009C002A">
        <w:rPr>
          <w:rFonts w:eastAsia="Calibri-Bold" w:cstheme="minorHAnsi"/>
          <w:color w:val="000000"/>
        </w:rPr>
        <w:t>podršku u procesu pribavljanja mišljenja u proce</w:t>
      </w:r>
      <w:r>
        <w:rPr>
          <w:rFonts w:eastAsia="Calibri-Bold" w:cstheme="minorHAnsi"/>
          <w:color w:val="000000"/>
        </w:rPr>
        <w:t>su</w:t>
      </w:r>
      <w:r w:rsidRPr="009C002A">
        <w:rPr>
          <w:rFonts w:eastAsia="Calibri-Bold" w:cstheme="minorHAnsi"/>
          <w:color w:val="000000"/>
        </w:rPr>
        <w:t xml:space="preserve"> donošenja Strategije</w:t>
      </w:r>
      <w:r>
        <w:rPr>
          <w:rFonts w:eastAsia="Calibri-Bold" w:cstheme="minorHAnsi"/>
          <w:color w:val="000000"/>
        </w:rPr>
        <w:t>;</w:t>
      </w:r>
    </w:p>
    <w:p w14:paraId="10448ADD" w14:textId="77777777" w:rsidR="00E03E8D" w:rsidRPr="009C002A"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i</w:t>
      </w:r>
      <w:r w:rsidRPr="009C002A">
        <w:rPr>
          <w:rFonts w:eastAsia="Calibri-Bold" w:cstheme="minorHAnsi"/>
          <w:color w:val="000000"/>
        </w:rPr>
        <w:t>mplement</w:t>
      </w:r>
      <w:r>
        <w:rPr>
          <w:rFonts w:eastAsia="Calibri-Bold" w:cstheme="minorHAnsi"/>
          <w:color w:val="000000"/>
        </w:rPr>
        <w:t>aciju</w:t>
      </w:r>
      <w:r w:rsidRPr="009C002A">
        <w:rPr>
          <w:rFonts w:eastAsia="Calibri-Bold" w:cstheme="minorHAnsi"/>
          <w:color w:val="000000"/>
        </w:rPr>
        <w:t xml:space="preserve"> i/ili koordin</w:t>
      </w:r>
      <w:r>
        <w:rPr>
          <w:rFonts w:eastAsia="Calibri-Bold" w:cstheme="minorHAnsi"/>
          <w:color w:val="000000"/>
        </w:rPr>
        <w:t>aciju</w:t>
      </w:r>
      <w:r w:rsidRPr="009C002A">
        <w:rPr>
          <w:rFonts w:eastAsia="Calibri-Bold" w:cstheme="minorHAnsi"/>
          <w:color w:val="000000"/>
        </w:rPr>
        <w:t xml:space="preserve"> aktivnosti, program</w:t>
      </w:r>
      <w:r>
        <w:rPr>
          <w:rFonts w:eastAsia="Calibri-Bold" w:cstheme="minorHAnsi"/>
          <w:color w:val="000000"/>
        </w:rPr>
        <w:t>a</w:t>
      </w:r>
      <w:r w:rsidRPr="009C002A">
        <w:rPr>
          <w:rFonts w:eastAsia="Calibri-Bold" w:cstheme="minorHAnsi"/>
          <w:color w:val="000000"/>
        </w:rPr>
        <w:t xml:space="preserve"> i projek</w:t>
      </w:r>
      <w:r>
        <w:rPr>
          <w:rFonts w:eastAsia="Calibri-Bold" w:cstheme="minorHAnsi"/>
          <w:color w:val="000000"/>
        </w:rPr>
        <w:t>a</w:t>
      </w:r>
      <w:r w:rsidRPr="009C002A">
        <w:rPr>
          <w:rFonts w:eastAsia="Calibri-Bold" w:cstheme="minorHAnsi"/>
          <w:color w:val="000000"/>
        </w:rPr>
        <w:t>t</w:t>
      </w:r>
      <w:r>
        <w:rPr>
          <w:rFonts w:eastAsia="Calibri-Bold" w:cstheme="minorHAnsi"/>
          <w:color w:val="000000"/>
        </w:rPr>
        <w:t>a</w:t>
      </w:r>
      <w:r w:rsidRPr="009C002A">
        <w:rPr>
          <w:rFonts w:eastAsia="Calibri-Bold" w:cstheme="minorHAnsi"/>
          <w:color w:val="000000"/>
        </w:rPr>
        <w:t xml:space="preserve"> na svom području</w:t>
      </w:r>
      <w:r>
        <w:rPr>
          <w:rFonts w:eastAsia="Calibri-Bold" w:cstheme="minorHAnsi"/>
          <w:color w:val="000000"/>
        </w:rPr>
        <w:t>;</w:t>
      </w:r>
    </w:p>
    <w:p w14:paraId="308FF81C" w14:textId="77777777" w:rsidR="00E03E8D" w:rsidRPr="009C002A"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p</w:t>
      </w:r>
      <w:r w:rsidRPr="009C002A">
        <w:rPr>
          <w:rFonts w:eastAsia="Calibri-Bold" w:cstheme="minorHAnsi"/>
          <w:color w:val="000000"/>
        </w:rPr>
        <w:t>ra</w:t>
      </w:r>
      <w:r>
        <w:rPr>
          <w:rFonts w:eastAsia="Calibri-Bold" w:cstheme="minorHAnsi"/>
          <w:color w:val="000000"/>
        </w:rPr>
        <w:t>ćenje</w:t>
      </w:r>
      <w:r w:rsidRPr="009C002A">
        <w:rPr>
          <w:rFonts w:eastAsia="Calibri-Bold" w:cstheme="minorHAnsi"/>
          <w:color w:val="000000"/>
        </w:rPr>
        <w:t xml:space="preserve"> realizacij</w:t>
      </w:r>
      <w:r>
        <w:rPr>
          <w:rFonts w:eastAsia="Calibri-Bold" w:cstheme="minorHAnsi"/>
          <w:color w:val="000000"/>
        </w:rPr>
        <w:t>e</w:t>
      </w:r>
      <w:r w:rsidRPr="009C002A">
        <w:rPr>
          <w:rFonts w:eastAsia="Calibri-Bold" w:cstheme="minorHAnsi"/>
          <w:color w:val="000000"/>
        </w:rPr>
        <w:t xml:space="preserve"> pokazatelja na razini aktivnosti, programa i projekata</w:t>
      </w:r>
      <w:r>
        <w:rPr>
          <w:rFonts w:eastAsia="Calibri-Bold" w:cstheme="minorHAnsi"/>
          <w:color w:val="000000"/>
        </w:rPr>
        <w:t>;</w:t>
      </w:r>
    </w:p>
    <w:p w14:paraId="1E2E0A03" w14:textId="4F32C84C" w:rsidR="00E03E8D" w:rsidRPr="009C002A"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i</w:t>
      </w:r>
      <w:r w:rsidRPr="009C002A">
        <w:rPr>
          <w:rFonts w:eastAsia="Calibri-Bold" w:cstheme="minorHAnsi"/>
          <w:color w:val="000000"/>
        </w:rPr>
        <w:t>zvještava</w:t>
      </w:r>
      <w:r w:rsidR="004D0C15">
        <w:rPr>
          <w:rFonts w:eastAsia="Calibri-Bold" w:cstheme="minorHAnsi"/>
          <w:color w:val="000000"/>
        </w:rPr>
        <w:t>n</w:t>
      </w:r>
      <w:r w:rsidRPr="009C002A">
        <w:rPr>
          <w:rFonts w:eastAsia="Calibri-Bold" w:cstheme="minorHAnsi"/>
          <w:color w:val="000000"/>
        </w:rPr>
        <w:t>ju nositelja i koordinatora o provedbi aktivnosti, programa i projekata</w:t>
      </w:r>
      <w:r>
        <w:rPr>
          <w:rFonts w:eastAsia="Calibri-Bold" w:cstheme="minorHAnsi"/>
          <w:color w:val="000000"/>
        </w:rPr>
        <w:t>;</w:t>
      </w:r>
    </w:p>
    <w:p w14:paraId="6742E5A3" w14:textId="77777777" w:rsidR="00E03E8D"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d</w:t>
      </w:r>
      <w:r w:rsidRPr="009C002A">
        <w:rPr>
          <w:rFonts w:eastAsia="Calibri-Bold" w:cstheme="minorHAnsi"/>
          <w:color w:val="000000"/>
        </w:rPr>
        <w:t>rug</w:t>
      </w:r>
      <w:r>
        <w:rPr>
          <w:rFonts w:eastAsia="Calibri-Bold" w:cstheme="minorHAnsi"/>
          <w:color w:val="000000"/>
        </w:rPr>
        <w:t>e oblike podrške</w:t>
      </w:r>
      <w:r w:rsidRPr="009C002A">
        <w:rPr>
          <w:rFonts w:eastAsia="Calibri-Bold" w:cstheme="minorHAnsi"/>
          <w:color w:val="000000"/>
        </w:rPr>
        <w:t xml:space="preserve"> </w:t>
      </w:r>
      <w:r>
        <w:rPr>
          <w:rFonts w:eastAsia="Calibri-Bold" w:cstheme="minorHAnsi"/>
          <w:color w:val="000000"/>
        </w:rPr>
        <w:t>vezano za</w:t>
      </w:r>
      <w:r w:rsidRPr="009C002A">
        <w:rPr>
          <w:rFonts w:eastAsia="Calibri-Bold" w:cstheme="minorHAnsi"/>
          <w:color w:val="000000"/>
        </w:rPr>
        <w:t xml:space="preserve"> izrad</w:t>
      </w:r>
      <w:r>
        <w:rPr>
          <w:rFonts w:eastAsia="Calibri-Bold" w:cstheme="minorHAnsi"/>
          <w:color w:val="000000"/>
        </w:rPr>
        <w:t>u</w:t>
      </w:r>
      <w:r w:rsidRPr="009C002A">
        <w:rPr>
          <w:rFonts w:eastAsia="Calibri-Bold" w:cstheme="minorHAnsi"/>
          <w:color w:val="000000"/>
        </w:rPr>
        <w:t xml:space="preserve"> i provedb</w:t>
      </w:r>
      <w:r>
        <w:rPr>
          <w:rFonts w:eastAsia="Calibri-Bold" w:cstheme="minorHAnsi"/>
          <w:color w:val="000000"/>
        </w:rPr>
        <w:t>u</w:t>
      </w:r>
      <w:r w:rsidRPr="009C002A">
        <w:rPr>
          <w:rFonts w:eastAsia="Calibri-Bold" w:cstheme="minorHAnsi"/>
          <w:color w:val="000000"/>
        </w:rPr>
        <w:t xml:space="preserve"> Strategije, u skladu sa zahtjevom </w:t>
      </w:r>
      <w:r>
        <w:rPr>
          <w:rFonts w:eastAsia="Calibri-Bold" w:cstheme="minorHAnsi"/>
          <w:color w:val="000000"/>
        </w:rPr>
        <w:t>Nositelja i koordinatora izrade i provedbe Strategije;</w:t>
      </w:r>
    </w:p>
    <w:p w14:paraId="0C70822C" w14:textId="77777777" w:rsidR="00E03E8D" w:rsidRPr="009C002A"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podršku provedbi mjera informiranja i vidljivosti.</w:t>
      </w:r>
    </w:p>
    <w:p w14:paraId="72190647" w14:textId="260BC6D4" w:rsidR="004D0C15" w:rsidRPr="004D0C15" w:rsidRDefault="004D0C15" w:rsidP="00953057">
      <w:pPr>
        <w:pStyle w:val="Heading3"/>
      </w:pPr>
      <w:bookmarkStart w:id="105" w:name="_Toc437390606"/>
      <w:r w:rsidRPr="004D0C15">
        <w:t>Provedba ITU mehanizma</w:t>
      </w:r>
      <w:bookmarkEnd w:id="105"/>
    </w:p>
    <w:p w14:paraId="4512C21C" w14:textId="77777777" w:rsidR="004D0C15" w:rsidRDefault="004D0C15" w:rsidP="00953057">
      <w:r>
        <w:t>I</w:t>
      </w:r>
      <w:r w:rsidRPr="00DE5E2A">
        <w:t>ntegrirana teritorijalna ulaganja predstavljaju mehanizam koji se po prvi puta koristi u Europskoj uniji u razdoblju 2014.-2020. godine, a koji omogućuje integriranje sredstava iz različitih europskih fondova i operativnih programa te ulaganje tih sredstava u aktivnosti kojima će se ojačati uloga gradova kao pokretača gospodarskog razvoja</w:t>
      </w:r>
      <w:r>
        <w:t xml:space="preserve">. </w:t>
      </w:r>
      <w:r w:rsidRPr="00DE5E2A">
        <w:t xml:space="preserve">U programskim dokumentima za financijsko razdoblje 2014.–2020. definirano je da će Republika Hrvatska mjere održivog urbanog razvoja provoditi putem mehanizma integriranih teritorijalnih ulaganja u okviru dva operativna programa – Operativnog programa Konkurentnost i kohezija (OPKK) i Operativnog programa Učinkoviti ljudski potencijali (OPULJP), iz tri različita europska fonda – Europskog fonda za regionalni razvoj, Kohezijskog fonda i </w:t>
      </w:r>
      <w:r w:rsidRPr="00DE5E2A">
        <w:lastRenderedPageBreak/>
        <w:t>Europskog socijalnog fonda.</w:t>
      </w:r>
      <w:r>
        <w:t xml:space="preserve"> </w:t>
      </w:r>
      <w:r w:rsidRPr="00DE5E2A">
        <w:t>Mjere održivog urbanog razvoja putem ITU mehanizma u Republici Hrvatskoj provodi Ministarstvo regionalnoga razvoja i fondova Europske unije, Upravljačko tijelo za Operativni program Konkurentnost i kohezija i Koordinacijsko tijelo za provedbu mehanizma integriranih teritorijalnih ulaganja, u suradnji s Ministarstvom rada i mirovinskoga sustava kao Upravljačkim tijelom za Operativni program Učinkoviti ljudski potencijali.</w:t>
      </w:r>
      <w:r>
        <w:t xml:space="preserve"> Gradovi središta urbanih područja postaju partneri u provedbi ITU mehanizma i dio sustava koji upravlja sredstvima Europske unije, budući da obavljaju funkciju ocjenjivanja kvalitete projekata koji se prijavljuju za financiranje iz Operativnog programa Konkurentnost i kohezija.</w:t>
      </w:r>
    </w:p>
    <w:p w14:paraId="7BAD90CC" w14:textId="77777777" w:rsidR="004D0C15" w:rsidRPr="004D0C15" w:rsidRDefault="004D0C15" w:rsidP="00953057">
      <w:pPr>
        <w:rPr>
          <w:rFonts w:eastAsia="Calibri-Bold" w:cstheme="minorHAnsi"/>
          <w:color w:val="000000"/>
        </w:rPr>
      </w:pPr>
      <w:r>
        <w:t>Kako bi se ispunili uvjeti za provedbu ITU mehanizma, osim donesene strategije razvoja urbanog područja temeljem koje se ovaj mehanizam provodi, između ostaloga, u Gradu Karlovcu kao gradu središtu Većeg urbanog područja Karlovac, unutar Upravnog odjela za razvoj grada i EU fondove, uspostavljen je Odsjek za provedbu ITU mehanizma (ITU PT) koji provodi aktivnosti Posredničkog tijela integriranih teritorijalnih ulaganja (ITU PT) sukladno Uredbi o tijelima u sustavima upravljanja i kontrole korištenja Europskog socijalnog fonda, Europskog fonda za regionalni razvoj i Kohezijskog fonda, u vezi s ciljem »Ulaganje za rast i radna mjesta« (NN 107/14, 23/15, 129/15, 15/17 i 18/17 - ispravak). Navedeni poslovi odnose se na upravljanje nepravilnostima i rizicima, aktivnosti informiranja i vidljivosti, ocjenjivanje kvalitete projektnih prijedloga te rangiranje odabranih projektnih prijedloga u okviru Operativnog programa „Konkurentnost i kohezija“ te dodatne aktivnosti: suradnja s Koordinacijskim tijelom, Upravljačkim tijelom, Posredničkim tijelima tijekom provedbe i praćenja Operativnog programa; sudjelovanje u radu Odbora za praćenje Operativnog programa; sudjelovanje u izradi kriterija za odabir projekata; sudjelovanje u izradi uputa za prijavitelje; sudjelovanje u aktivnostima zatvaranja Operativnog programa; izrada Priručnika o internim procedurama; čuvanje dokumenata i evidencija o provedbi funkcija radi osiguravanja odgovarajućeg revizijskog traga; provođenje aktivnosti prevencije, otkrivanja i ispravljanja nepravilnosti te utvrđivanja mjera za suzbijanje prijevara uzimajući u obzir utvrđene rizike; osiguravanje odgovarajućeg razdvajanja funkcija u skladu s čl. 125., st. 7. Uredbe (EU) br. 1303/2013 ako je Grad Karlovac ujedno i korisnik u okviru Operativnog programa. Odsjek u suradnji s drugim tijelima u sustavu upravljanja i kontrole ESI fondova obavlja i poslove koordinacije u svezi Operativnog programa „Konkurentnost i kohezija“ i Operativnog programa „Učinkoviti ljudski potencijali“ (sudjeluje na glavnim koordinacijskim sastancima koje saziva UT za OPKK i UT za OPULJP)."</w:t>
      </w:r>
    </w:p>
    <w:p w14:paraId="4C98E023" w14:textId="77777777" w:rsidR="004D0C15" w:rsidRPr="004D0C15" w:rsidRDefault="004D0C15" w:rsidP="00D45BAB">
      <w:pPr>
        <w:rPr>
          <w:b/>
        </w:rPr>
      </w:pPr>
      <w:r w:rsidRPr="004D0C15">
        <w:t>Vezano uz odgovarajuće razdvajanje funkcija, osim sukladnosti s čl. 125., st. 7. Uredbe (EU) br. 1303/2013, isto će se osigurati i na način da osobe i/ili ustrojstvene jedinice koje sudjeluju u poslovima ocjenjivanja i rangiranja projekata ne sudjeluju u obavljanju poslova doprinosa izradi kriterija odabira i metodologije odabira projekata. Sve uključene osobe potpisuju Izjavu o izbjegavanju sukoba interesa i Izjavu o povjerljivosti i nepristranosti.</w:t>
      </w:r>
    </w:p>
    <w:p w14:paraId="533E914C" w14:textId="77777777" w:rsidR="00E03E8D" w:rsidRPr="00C83EF8" w:rsidRDefault="00E03E8D" w:rsidP="00E03E8D">
      <w:pPr>
        <w:autoSpaceDE w:val="0"/>
        <w:autoSpaceDN w:val="0"/>
        <w:adjustRightInd w:val="0"/>
        <w:spacing w:after="60" w:line="276" w:lineRule="auto"/>
        <w:rPr>
          <w:rFonts w:eastAsia="Calibri-Bold" w:cstheme="minorHAnsi"/>
          <w:b/>
          <w:color w:val="000000"/>
        </w:rPr>
      </w:pPr>
    </w:p>
    <w:p w14:paraId="2258FD1C" w14:textId="77777777" w:rsidR="00E03E8D" w:rsidRPr="002F10B5" w:rsidRDefault="00E03E8D" w:rsidP="00BB1E88">
      <w:pPr>
        <w:pStyle w:val="Heading3"/>
      </w:pPr>
      <w:r w:rsidRPr="002F10B5">
        <w:t xml:space="preserve"> </w:t>
      </w:r>
      <w:bookmarkStart w:id="106" w:name="_Toc437390607"/>
      <w:r w:rsidRPr="002F10B5">
        <w:t>Proces i mehanizmi provedbe Strategije</w:t>
      </w:r>
      <w:bookmarkEnd w:id="106"/>
    </w:p>
    <w:p w14:paraId="4AF2CF3F" w14:textId="620A58D6" w:rsidR="00E03E8D" w:rsidRPr="00C83EF8" w:rsidRDefault="00E03E8D" w:rsidP="00D45BAB">
      <w:r w:rsidRPr="00C83EF8">
        <w:t>Provedba Strategije započinje</w:t>
      </w:r>
      <w:r>
        <w:t xml:space="preserve"> </w:t>
      </w:r>
      <w:r w:rsidRPr="00C83EF8">
        <w:t xml:space="preserve">nakon usvajanja dokumenta i traje do </w:t>
      </w:r>
      <w:r w:rsidR="00953057">
        <w:t>kraja 2027</w:t>
      </w:r>
      <w:r w:rsidRPr="00A108CA">
        <w:t>. godine</w:t>
      </w:r>
      <w:r w:rsidRPr="00F1193C">
        <w:t>.</w:t>
      </w:r>
      <w:r w:rsidRPr="00C83EF8">
        <w:t xml:space="preserve"> Dinamika provedbe slijedi Akcijski plan koji</w:t>
      </w:r>
      <w:r>
        <w:t xml:space="preserve"> </w:t>
      </w:r>
      <w:r w:rsidRPr="00C83EF8">
        <w:t xml:space="preserve">se ažurira na godišnjoj razini, a sadrži popis aktivnosti, programa i </w:t>
      </w:r>
      <w:r w:rsidRPr="00D45BAB">
        <w:t>projekata po pojedinim ciljevima, prioritetima i mjerama, te popis strateških projekta, financijsku</w:t>
      </w:r>
      <w:r w:rsidRPr="00C83EF8">
        <w:t xml:space="preserve"> alokaciju i pokazatelje praćenja</w:t>
      </w:r>
      <w:r>
        <w:t xml:space="preserve"> </w:t>
      </w:r>
      <w:r w:rsidRPr="00C83EF8">
        <w:t xml:space="preserve">provedbe na razini ciljeva i mjera raspoređeno po godinama provedbe. </w:t>
      </w:r>
      <w:r>
        <w:t xml:space="preserve">Provedba Strategije odvija se na </w:t>
      </w:r>
      <w:r w:rsidRPr="00C83EF8">
        <w:t>dvije međusobno povezane razine:</w:t>
      </w:r>
    </w:p>
    <w:p w14:paraId="600586F1" w14:textId="77777777" w:rsidR="00E03E8D"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s</w:t>
      </w:r>
      <w:r w:rsidRPr="00C83EF8">
        <w:rPr>
          <w:rFonts w:eastAsia="Calibri-Bold" w:cstheme="minorHAnsi"/>
          <w:color w:val="000000"/>
        </w:rPr>
        <w:t xml:space="preserve">trateška razina (praćenje, nadzor i ocjena napretka provedbe </w:t>
      </w:r>
      <w:r>
        <w:rPr>
          <w:rFonts w:eastAsia="Calibri-Bold" w:cstheme="minorHAnsi"/>
          <w:color w:val="000000"/>
        </w:rPr>
        <w:t>Strategije</w:t>
      </w:r>
      <w:r w:rsidRPr="00C83EF8">
        <w:rPr>
          <w:rFonts w:eastAsia="Calibri-Bold" w:cstheme="minorHAnsi"/>
          <w:color w:val="000000"/>
        </w:rPr>
        <w:t>, uključujući ažuriranje</w:t>
      </w:r>
      <w:r>
        <w:rPr>
          <w:rFonts w:eastAsia="Calibri-Bold" w:cstheme="minorHAnsi"/>
          <w:color w:val="000000"/>
        </w:rPr>
        <w:t xml:space="preserve"> akcijskih planova prema potrebi</w:t>
      </w:r>
      <w:r w:rsidRPr="00C83EF8">
        <w:rPr>
          <w:rFonts w:eastAsia="Calibri-Bold" w:cstheme="minorHAnsi"/>
          <w:color w:val="000000"/>
        </w:rPr>
        <w:t>);</w:t>
      </w:r>
    </w:p>
    <w:p w14:paraId="4F16AA56" w14:textId="77777777" w:rsidR="00E03E8D" w:rsidRPr="003C1C9F"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r</w:t>
      </w:r>
      <w:r w:rsidRPr="003C1C9F">
        <w:rPr>
          <w:rFonts w:eastAsia="Calibri-Bold" w:cstheme="minorHAnsi"/>
          <w:color w:val="000000"/>
        </w:rPr>
        <w:t>azina mjera (aktivnosti, programi, projekti, uključujući i strateške projekte</w:t>
      </w:r>
      <w:r>
        <w:rPr>
          <w:rFonts w:eastAsia="Calibri-Bold" w:cstheme="minorHAnsi"/>
          <w:color w:val="000000"/>
        </w:rPr>
        <w:t>).</w:t>
      </w:r>
    </w:p>
    <w:p w14:paraId="33917677" w14:textId="6E6E83B5" w:rsidR="00E03E8D" w:rsidRDefault="00E03E8D" w:rsidP="00D45BAB">
      <w:r>
        <w:lastRenderedPageBreak/>
        <w:t>Za provedbu na s</w:t>
      </w:r>
      <w:r w:rsidRPr="00C83EF8">
        <w:t>tratešk</w:t>
      </w:r>
      <w:r>
        <w:t>oj</w:t>
      </w:r>
      <w:r w:rsidR="00953057">
        <w:t xml:space="preserve"> razini</w:t>
      </w:r>
      <w:r w:rsidRPr="00C83EF8">
        <w:t xml:space="preserve"> </w:t>
      </w:r>
      <w:r>
        <w:t>zaduženi su Nositelj i koordinator izrade Strategije, a ukupnu ocj</w:t>
      </w:r>
      <w:r w:rsidR="00953057">
        <w:t>enu provedbe (na temelju analize</w:t>
      </w:r>
      <w:r>
        <w:t xml:space="preserve"> Radne skupine za vrednovanje, ukoliko je primjenjivo) daje Partnersko vijeće.  Strateška razina uključuje:</w:t>
      </w:r>
    </w:p>
    <w:p w14:paraId="6E7A892C" w14:textId="77777777" w:rsidR="00E03E8D"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sidRPr="003C1C9F">
        <w:rPr>
          <w:rFonts w:eastAsia="Calibri-Bold" w:cstheme="minorHAnsi"/>
          <w:color w:val="000000"/>
        </w:rPr>
        <w:t>praćenje dinamike provedbe svih mjera, aktivnosti, programa i</w:t>
      </w:r>
      <w:r>
        <w:rPr>
          <w:rFonts w:eastAsia="Calibri-Bold" w:cstheme="minorHAnsi"/>
          <w:color w:val="000000"/>
        </w:rPr>
        <w:t xml:space="preserve"> </w:t>
      </w:r>
      <w:r w:rsidRPr="003C1C9F">
        <w:rPr>
          <w:rFonts w:eastAsia="Calibri-Bold" w:cstheme="minorHAnsi"/>
          <w:color w:val="000000"/>
        </w:rPr>
        <w:t>projekata te pripadajuće izvještavanje</w:t>
      </w:r>
      <w:r>
        <w:rPr>
          <w:rFonts w:eastAsia="Calibri-Bold" w:cstheme="minorHAnsi"/>
          <w:color w:val="000000"/>
        </w:rPr>
        <w:t xml:space="preserve"> unutar organizacijske strukture za provedbu i prema Ministarstvu regionalnoga razvoja i fondova Europske unije;</w:t>
      </w:r>
      <w:r w:rsidRPr="003C1C9F">
        <w:rPr>
          <w:rFonts w:eastAsia="Calibri-Bold" w:cstheme="minorHAnsi"/>
          <w:color w:val="000000"/>
        </w:rPr>
        <w:t xml:space="preserve"> </w:t>
      </w:r>
    </w:p>
    <w:p w14:paraId="6DED43EF" w14:textId="77777777" w:rsidR="00E03E8D" w:rsidRPr="003C1C9F"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o</w:t>
      </w:r>
      <w:r w:rsidRPr="003C1C9F">
        <w:rPr>
          <w:rFonts w:eastAsia="Calibri-Bold" w:cstheme="minorHAnsi"/>
          <w:color w:val="000000"/>
        </w:rPr>
        <w:t>cjena napretka provedbe</w:t>
      </w:r>
      <w:r>
        <w:rPr>
          <w:rFonts w:eastAsia="Calibri-Bold" w:cstheme="minorHAnsi"/>
          <w:color w:val="000000"/>
        </w:rPr>
        <w:t>;</w:t>
      </w:r>
    </w:p>
    <w:p w14:paraId="425417D8" w14:textId="6CBCFB7C" w:rsidR="00E03E8D"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 xml:space="preserve">prema potrebi, utvrđivanje i </w:t>
      </w:r>
      <w:r w:rsidRPr="003C1C9F">
        <w:rPr>
          <w:rFonts w:eastAsia="Calibri-Bold" w:cstheme="minorHAnsi"/>
          <w:color w:val="000000"/>
        </w:rPr>
        <w:t xml:space="preserve">provođenje mjera za poboljšanje provedbe uključujući izmjene </w:t>
      </w:r>
      <w:r>
        <w:rPr>
          <w:rFonts w:eastAsia="Calibri-Bold" w:cstheme="minorHAnsi"/>
          <w:color w:val="000000"/>
        </w:rPr>
        <w:t>a</w:t>
      </w:r>
      <w:r w:rsidRPr="003C1C9F">
        <w:rPr>
          <w:rFonts w:eastAsia="Calibri-Bold" w:cstheme="minorHAnsi"/>
          <w:color w:val="000000"/>
        </w:rPr>
        <w:t>kcijsk</w:t>
      </w:r>
      <w:r>
        <w:rPr>
          <w:rFonts w:eastAsia="Calibri-Bold" w:cstheme="minorHAnsi"/>
          <w:color w:val="000000"/>
        </w:rPr>
        <w:t>i</w:t>
      </w:r>
      <w:r w:rsidR="00953057">
        <w:rPr>
          <w:rFonts w:eastAsia="Calibri-Bold" w:cstheme="minorHAnsi"/>
          <w:color w:val="000000"/>
        </w:rPr>
        <w:t>h planova za provedbu Strategije</w:t>
      </w:r>
      <w:r>
        <w:rPr>
          <w:rFonts w:eastAsia="Calibri-Bold" w:cstheme="minorHAnsi"/>
          <w:color w:val="000000"/>
        </w:rPr>
        <w:t>.</w:t>
      </w:r>
    </w:p>
    <w:p w14:paraId="2F23823A" w14:textId="77777777" w:rsidR="00E03E8D" w:rsidRDefault="00E03E8D" w:rsidP="00D45BAB">
      <w:r w:rsidRPr="00C83EF8">
        <w:t>Razina mjera odnosi se na sve procese i resurse koje je potrebno angažirati</w:t>
      </w:r>
      <w:r>
        <w:t xml:space="preserve"> </w:t>
      </w:r>
      <w:r w:rsidRPr="00C83EF8">
        <w:t xml:space="preserve">da bi se realizirale pojedine aktivnosti, projekti i programi unutar mjera. Odgovornost za </w:t>
      </w:r>
      <w:r>
        <w:t xml:space="preserve">provedbu na razini mjera </w:t>
      </w:r>
      <w:r w:rsidRPr="00C83EF8">
        <w:t xml:space="preserve">je </w:t>
      </w:r>
      <w:r>
        <w:t xml:space="preserve">na </w:t>
      </w:r>
      <w:r w:rsidRPr="00C83EF8">
        <w:t>svi</w:t>
      </w:r>
      <w:r>
        <w:t>m</w:t>
      </w:r>
      <w:r w:rsidRPr="00C83EF8">
        <w:t xml:space="preserve"> dioni</w:t>
      </w:r>
      <w:r>
        <w:t>cima</w:t>
      </w:r>
      <w:r w:rsidRPr="00C83EF8">
        <w:t xml:space="preserve"> koji su nositelji aktivnosti, projekata i programa. To podrazumijeva</w:t>
      </w:r>
      <w:r>
        <w:t xml:space="preserve"> </w:t>
      </w:r>
      <w:r w:rsidRPr="00C83EF8">
        <w:t>prvenstveno:</w:t>
      </w:r>
    </w:p>
    <w:p w14:paraId="0047ACDD" w14:textId="77777777" w:rsidR="00E03E8D"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p</w:t>
      </w:r>
      <w:r w:rsidRPr="003C1C9F">
        <w:rPr>
          <w:rFonts w:eastAsia="Calibri-Bold" w:cstheme="minorHAnsi"/>
          <w:color w:val="000000"/>
        </w:rPr>
        <w:t>ripremu</w:t>
      </w:r>
      <w:r>
        <w:rPr>
          <w:rFonts w:eastAsia="Calibri-Bold" w:cstheme="minorHAnsi"/>
          <w:color w:val="000000"/>
        </w:rPr>
        <w:t xml:space="preserve"> </w:t>
      </w:r>
      <w:r w:rsidRPr="003C1C9F">
        <w:rPr>
          <w:rFonts w:eastAsia="Calibri-Bold" w:cstheme="minorHAnsi"/>
          <w:color w:val="000000"/>
        </w:rPr>
        <w:t>/</w:t>
      </w:r>
      <w:r>
        <w:rPr>
          <w:rFonts w:eastAsia="Calibri-Bold" w:cstheme="minorHAnsi"/>
          <w:color w:val="000000"/>
        </w:rPr>
        <w:t xml:space="preserve"> </w:t>
      </w:r>
      <w:r w:rsidRPr="003C1C9F">
        <w:rPr>
          <w:rFonts w:eastAsia="Calibri-Bold" w:cstheme="minorHAnsi"/>
          <w:color w:val="000000"/>
        </w:rPr>
        <w:t>razradu pojedinačnih projektnih prijedloga (uključujući i strateške),</w:t>
      </w:r>
      <w:r>
        <w:rPr>
          <w:rFonts w:eastAsia="Calibri-Bold" w:cstheme="minorHAnsi"/>
          <w:color w:val="000000"/>
        </w:rPr>
        <w:t xml:space="preserve"> </w:t>
      </w:r>
      <w:r w:rsidRPr="003C1C9F">
        <w:rPr>
          <w:rFonts w:eastAsia="Calibri-Bold" w:cstheme="minorHAnsi"/>
          <w:color w:val="000000"/>
        </w:rPr>
        <w:t>aktivnosti i programa</w:t>
      </w:r>
      <w:r>
        <w:rPr>
          <w:rFonts w:eastAsia="Calibri-Bold" w:cstheme="minorHAnsi"/>
          <w:color w:val="000000"/>
        </w:rPr>
        <w:t>;</w:t>
      </w:r>
    </w:p>
    <w:p w14:paraId="58BF39D4" w14:textId="7AC50567" w:rsidR="00E03E8D" w:rsidRDefault="00E03E8D" w:rsidP="00F950C3">
      <w:pPr>
        <w:pStyle w:val="ListParagraph"/>
        <w:numPr>
          <w:ilvl w:val="0"/>
          <w:numId w:val="3"/>
        </w:numPr>
        <w:autoSpaceDE w:val="0"/>
        <w:autoSpaceDN w:val="0"/>
        <w:adjustRightInd w:val="0"/>
        <w:spacing w:before="0" w:after="60" w:line="276" w:lineRule="auto"/>
        <w:rPr>
          <w:rFonts w:eastAsia="Calibri-Bold" w:cstheme="minorHAnsi"/>
          <w:color w:val="000000"/>
        </w:rPr>
      </w:pPr>
      <w:r>
        <w:rPr>
          <w:rFonts w:eastAsia="Calibri-Bold" w:cstheme="minorHAnsi"/>
          <w:color w:val="000000"/>
        </w:rPr>
        <w:t>p</w:t>
      </w:r>
      <w:r w:rsidRPr="003C1C9F">
        <w:rPr>
          <w:rFonts w:eastAsia="Calibri-Bold" w:cstheme="minorHAnsi"/>
          <w:color w:val="000000"/>
        </w:rPr>
        <w:t>rovedbu i upravljanje aktivnostima, projektima i programima u svim ciklusima i</w:t>
      </w:r>
      <w:r>
        <w:rPr>
          <w:rFonts w:eastAsia="Calibri-Bold" w:cstheme="minorHAnsi"/>
          <w:color w:val="000000"/>
        </w:rPr>
        <w:t xml:space="preserve"> </w:t>
      </w:r>
      <w:r w:rsidRPr="00C62225">
        <w:rPr>
          <w:rFonts w:eastAsia="Calibri-Bold" w:cstheme="minorHAnsi"/>
          <w:color w:val="000000"/>
        </w:rPr>
        <w:t>aspektima njihove provedbe (financijska i tehnička provedba)</w:t>
      </w:r>
      <w:r>
        <w:rPr>
          <w:rFonts w:eastAsia="Calibri-Bold" w:cstheme="minorHAnsi"/>
          <w:color w:val="000000"/>
        </w:rPr>
        <w:t>;</w:t>
      </w:r>
    </w:p>
    <w:p w14:paraId="3B1A65EA" w14:textId="77777777" w:rsidR="00E03E8D" w:rsidRPr="003C3B09" w:rsidRDefault="00E03E8D" w:rsidP="00F950C3">
      <w:pPr>
        <w:pStyle w:val="ListParagraph"/>
        <w:numPr>
          <w:ilvl w:val="0"/>
          <w:numId w:val="3"/>
        </w:numPr>
        <w:autoSpaceDE w:val="0"/>
        <w:autoSpaceDN w:val="0"/>
        <w:adjustRightInd w:val="0"/>
        <w:spacing w:before="0" w:after="60" w:line="276" w:lineRule="auto"/>
        <w:ind w:left="714" w:hanging="357"/>
        <w:rPr>
          <w:rFonts w:eastAsia="Calibri-Bold" w:cstheme="minorHAnsi"/>
          <w:color w:val="000000"/>
        </w:rPr>
      </w:pPr>
      <w:r>
        <w:rPr>
          <w:rFonts w:eastAsia="Calibri-Bold" w:cstheme="minorHAnsi"/>
          <w:color w:val="000000"/>
        </w:rPr>
        <w:t>p</w:t>
      </w:r>
      <w:r w:rsidRPr="00C62225">
        <w:rPr>
          <w:rFonts w:eastAsia="Calibri-Bold" w:cstheme="minorHAnsi"/>
          <w:color w:val="000000"/>
        </w:rPr>
        <w:t xml:space="preserve">raćenje i ocjenu izvršenja provedbe projekta te izvještavanje prema </w:t>
      </w:r>
      <w:r>
        <w:rPr>
          <w:rFonts w:eastAsia="Calibri-Bold" w:cstheme="minorHAnsi"/>
          <w:color w:val="000000"/>
        </w:rPr>
        <w:t>Nositelju i koordinatoru izrade i provedbe Strategije.</w:t>
      </w:r>
    </w:p>
    <w:p w14:paraId="201C8818" w14:textId="2908B664" w:rsidR="00E03E8D" w:rsidRPr="00BB1E88" w:rsidRDefault="00E03E8D" w:rsidP="00D45BAB">
      <w:r w:rsidRPr="006A0D96">
        <w:t>Budući da suradnja tijela na razini Urbanog područja predstavlja noviji oblik upravljanja razvojem utemeljen na participativno-planskom pristupu više različitih dionika, očekuje se da će uspostavljeni institucionalni okvir s vremenom biti potrebno dograditi u cilju daljnjeg poboljšanja koordinacije provedbe svih aktivnosti, međusobne komunikacije i razmjene informacija te općenitog unaprjeđenja suradnje</w:t>
      </w:r>
      <w:r w:rsidR="00953057">
        <w:t>,</w:t>
      </w:r>
      <w:r w:rsidRPr="006A0D96">
        <w:t xml:space="preserve"> za što se temelji postavljaju upravo ovom Strategijom.</w:t>
      </w:r>
    </w:p>
    <w:p w14:paraId="6918241D" w14:textId="77777777" w:rsidR="00E03E8D" w:rsidRDefault="00E03E8D" w:rsidP="00E03E8D"/>
    <w:p w14:paraId="5770F735" w14:textId="736D3959" w:rsidR="00073AD7" w:rsidRDefault="00D45BAB" w:rsidP="00BB1E88">
      <w:pPr>
        <w:pStyle w:val="Heading3"/>
      </w:pPr>
      <w:bookmarkStart w:id="107" w:name="_Toc437390608"/>
      <w:r>
        <w:rPr>
          <w:noProof/>
          <w:lang w:val="en-US"/>
        </w:rPr>
        <mc:AlternateContent>
          <mc:Choice Requires="wpg">
            <w:drawing>
              <wp:anchor distT="0" distB="0" distL="114300" distR="114300" simplePos="0" relativeHeight="251723776" behindDoc="0" locked="0" layoutInCell="1" allowOverlap="1" wp14:anchorId="0CC4E4F6" wp14:editId="403E1221">
                <wp:simplePos x="0" y="0"/>
                <wp:positionH relativeFrom="column">
                  <wp:posOffset>914400</wp:posOffset>
                </wp:positionH>
                <wp:positionV relativeFrom="paragraph">
                  <wp:posOffset>286385</wp:posOffset>
                </wp:positionV>
                <wp:extent cx="4343400" cy="3772535"/>
                <wp:effectExtent l="25400" t="25400" r="127000" b="139065"/>
                <wp:wrapNone/>
                <wp:docPr id="65" name="Group 65"/>
                <wp:cNvGraphicFramePr/>
                <a:graphic xmlns:a="http://schemas.openxmlformats.org/drawingml/2006/main">
                  <a:graphicData uri="http://schemas.microsoft.com/office/word/2010/wordprocessingGroup">
                    <wpg:wgp>
                      <wpg:cNvGrpSpPr/>
                      <wpg:grpSpPr>
                        <a:xfrm>
                          <a:off x="0" y="0"/>
                          <a:ext cx="4343400" cy="3772535"/>
                          <a:chOff x="0" y="0"/>
                          <a:chExt cx="4343400" cy="3772535"/>
                        </a:xfrm>
                      </wpg:grpSpPr>
                      <wps:wsp>
                        <wps:cNvPr id="4" name="Straight Connector 4"/>
                        <wps:cNvCnPr/>
                        <wps:spPr>
                          <a:xfrm flipH="1">
                            <a:off x="1943100" y="457835"/>
                            <a:ext cx="457200" cy="457200"/>
                          </a:xfrm>
                          <a:prstGeom prst="line">
                            <a:avLst/>
                          </a:prstGeom>
                          <a:ln w="28575" cmpd="sng">
                            <a:solidFill>
                              <a:schemeClr val="bg1">
                                <a:lumMod val="50000"/>
                              </a:schemeClr>
                            </a:solidFill>
                          </a:ln>
                          <a:effectLst>
                            <a:outerShdw blurRad="50800" dist="38100" dir="2700000" algn="tl" rotWithShape="0">
                              <a:prstClr val="black">
                                <a:alpha val="40000"/>
                              </a:prstClr>
                            </a:outerShdw>
                          </a:effectLst>
                        </wps:spPr>
                        <wps:style>
                          <a:lnRef idx="2">
                            <a:schemeClr val="accent1"/>
                          </a:lnRef>
                          <a:fillRef idx="0">
                            <a:schemeClr val="accent1"/>
                          </a:fillRef>
                          <a:effectRef idx="1">
                            <a:schemeClr val="accent1"/>
                          </a:effectRef>
                          <a:fontRef idx="minor">
                            <a:schemeClr val="tx1"/>
                          </a:fontRef>
                        </wps:style>
                        <wps:bodyPr/>
                      </wps:wsp>
                      <wps:wsp>
                        <wps:cNvPr id="14" name="Straight Connector 14"/>
                        <wps:cNvCnPr/>
                        <wps:spPr>
                          <a:xfrm>
                            <a:off x="457200" y="343535"/>
                            <a:ext cx="457200" cy="571500"/>
                          </a:xfrm>
                          <a:prstGeom prst="line">
                            <a:avLst/>
                          </a:prstGeom>
                          <a:ln w="28575" cmpd="sng">
                            <a:solidFill>
                              <a:schemeClr val="bg1">
                                <a:lumMod val="50000"/>
                              </a:schemeClr>
                            </a:solidFill>
                          </a:ln>
                          <a:effectLst>
                            <a:outerShdw blurRad="50800" dist="38100" dir="2700000" algn="tl" rotWithShape="0">
                              <a:prstClr val="black">
                                <a:alpha val="40000"/>
                              </a:prstClr>
                            </a:outerShdw>
                          </a:effectLst>
                        </wps:spPr>
                        <wps:style>
                          <a:lnRef idx="2">
                            <a:schemeClr val="accent1"/>
                          </a:lnRef>
                          <a:fillRef idx="0">
                            <a:schemeClr val="accent1"/>
                          </a:fillRef>
                          <a:effectRef idx="1">
                            <a:schemeClr val="accent1"/>
                          </a:effectRef>
                          <a:fontRef idx="minor">
                            <a:schemeClr val="tx1"/>
                          </a:fontRef>
                        </wps:style>
                        <wps:bodyPr/>
                      </wps:wsp>
                      <wps:wsp>
                        <wps:cNvPr id="18" name="Straight Connector 18"/>
                        <wps:cNvCnPr/>
                        <wps:spPr>
                          <a:xfrm>
                            <a:off x="571500" y="229235"/>
                            <a:ext cx="1714500" cy="0"/>
                          </a:xfrm>
                          <a:prstGeom prst="line">
                            <a:avLst/>
                          </a:prstGeom>
                          <a:ln w="28575" cmpd="sng">
                            <a:solidFill>
                              <a:schemeClr val="bg1">
                                <a:lumMod val="50000"/>
                              </a:schemeClr>
                            </a:solidFill>
                          </a:ln>
                          <a:effectLst>
                            <a:outerShdw blurRad="50800" dist="38100" dir="2700000" algn="tl" rotWithShape="0">
                              <a:prstClr val="black">
                                <a:alpha val="40000"/>
                              </a:prstClr>
                            </a:outerShdw>
                          </a:effectLst>
                        </wps:spPr>
                        <wps:style>
                          <a:lnRef idx="2">
                            <a:schemeClr val="accent1"/>
                          </a:lnRef>
                          <a:fillRef idx="0">
                            <a:schemeClr val="accent1"/>
                          </a:fillRef>
                          <a:effectRef idx="1">
                            <a:schemeClr val="accent1"/>
                          </a:effectRef>
                          <a:fontRef idx="minor">
                            <a:schemeClr val="tx1"/>
                          </a:fontRef>
                        </wps:style>
                        <wps:bodyPr/>
                      </wps:wsp>
                      <wps:wsp>
                        <wps:cNvPr id="22" name="Straight Connector 22"/>
                        <wps:cNvCnPr/>
                        <wps:spPr>
                          <a:xfrm>
                            <a:off x="1485900" y="1829435"/>
                            <a:ext cx="1714500" cy="0"/>
                          </a:xfrm>
                          <a:prstGeom prst="line">
                            <a:avLst/>
                          </a:prstGeom>
                          <a:ln w="28575" cmpd="sng">
                            <a:solidFill>
                              <a:schemeClr val="bg1">
                                <a:lumMod val="50000"/>
                              </a:schemeClr>
                            </a:solidFill>
                          </a:ln>
                          <a:effectLst>
                            <a:outerShdw blurRad="50800" dist="38100" dir="2700000" algn="tl" rotWithShape="0">
                              <a:prstClr val="black">
                                <a:alpha val="40000"/>
                              </a:prstClr>
                            </a:outerShdw>
                          </a:effectLst>
                        </wps:spPr>
                        <wps:style>
                          <a:lnRef idx="2">
                            <a:schemeClr val="accent1"/>
                          </a:lnRef>
                          <a:fillRef idx="0">
                            <a:schemeClr val="accent1"/>
                          </a:fillRef>
                          <a:effectRef idx="1">
                            <a:schemeClr val="accent1"/>
                          </a:effectRef>
                          <a:fontRef idx="minor">
                            <a:schemeClr val="tx1"/>
                          </a:fontRef>
                        </wps:style>
                        <wps:bodyPr/>
                      </wps:wsp>
                      <wps:wsp>
                        <wps:cNvPr id="43" name="Straight Connector 43"/>
                        <wps:cNvCnPr/>
                        <wps:spPr>
                          <a:xfrm>
                            <a:off x="1600200" y="3201035"/>
                            <a:ext cx="1714500" cy="0"/>
                          </a:xfrm>
                          <a:prstGeom prst="line">
                            <a:avLst/>
                          </a:prstGeom>
                          <a:ln w="28575" cmpd="sng">
                            <a:solidFill>
                              <a:schemeClr val="bg1">
                                <a:lumMod val="50000"/>
                              </a:schemeClr>
                            </a:solidFill>
                          </a:ln>
                          <a:effectLst>
                            <a:outerShdw blurRad="50800" dist="38100" dir="2700000" algn="tl" rotWithShape="0">
                              <a:prstClr val="black">
                                <a:alpha val="40000"/>
                              </a:prstClr>
                            </a:outerShdw>
                          </a:effectLst>
                        </wps:spPr>
                        <wps:style>
                          <a:lnRef idx="2">
                            <a:schemeClr val="accent1"/>
                          </a:lnRef>
                          <a:fillRef idx="0">
                            <a:schemeClr val="accent1"/>
                          </a:fillRef>
                          <a:effectRef idx="1">
                            <a:schemeClr val="accent1"/>
                          </a:effectRef>
                          <a:fontRef idx="minor">
                            <a:schemeClr val="tx1"/>
                          </a:fontRef>
                        </wps:style>
                        <wps:bodyPr/>
                      </wps:wsp>
                      <wps:wsp>
                        <wps:cNvPr id="44" name="Straight Connector 44"/>
                        <wps:cNvCnPr/>
                        <wps:spPr>
                          <a:xfrm>
                            <a:off x="3429000" y="1715135"/>
                            <a:ext cx="0" cy="1600200"/>
                          </a:xfrm>
                          <a:prstGeom prst="line">
                            <a:avLst/>
                          </a:prstGeom>
                          <a:ln w="28575" cmpd="sng">
                            <a:solidFill>
                              <a:schemeClr val="bg1">
                                <a:lumMod val="50000"/>
                              </a:schemeClr>
                            </a:solidFill>
                          </a:ln>
                          <a:effectLst>
                            <a:outerShdw blurRad="50800" dist="38100" dir="2700000" algn="tl" rotWithShape="0">
                              <a:prstClr val="black">
                                <a:alpha val="40000"/>
                              </a:prstClr>
                            </a:outerShdw>
                          </a:effectLst>
                        </wps:spPr>
                        <wps:style>
                          <a:lnRef idx="2">
                            <a:schemeClr val="accent1"/>
                          </a:lnRef>
                          <a:fillRef idx="0">
                            <a:schemeClr val="accent1"/>
                          </a:fillRef>
                          <a:effectRef idx="1">
                            <a:schemeClr val="accent1"/>
                          </a:effectRef>
                          <a:fontRef idx="minor">
                            <a:schemeClr val="tx1"/>
                          </a:fontRef>
                        </wps:style>
                        <wps:bodyPr/>
                      </wps:wsp>
                      <wps:wsp>
                        <wps:cNvPr id="52" name="Straight Connector 52"/>
                        <wps:cNvCnPr/>
                        <wps:spPr>
                          <a:xfrm>
                            <a:off x="1409700" y="1126490"/>
                            <a:ext cx="0" cy="2514600"/>
                          </a:xfrm>
                          <a:prstGeom prst="line">
                            <a:avLst/>
                          </a:prstGeom>
                          <a:ln w="28575" cmpd="sng">
                            <a:solidFill>
                              <a:schemeClr val="bg1">
                                <a:lumMod val="50000"/>
                              </a:schemeClr>
                            </a:solidFill>
                          </a:ln>
                          <a:effectLst>
                            <a:outerShdw blurRad="50800" dist="38100" dir="2700000" algn="tl" rotWithShape="0">
                              <a:prstClr val="black">
                                <a:alpha val="40000"/>
                              </a:prstClr>
                            </a:outerShdw>
                          </a:effectLst>
                        </wps:spPr>
                        <wps:style>
                          <a:lnRef idx="2">
                            <a:schemeClr val="accent1"/>
                          </a:lnRef>
                          <a:fillRef idx="0">
                            <a:schemeClr val="accent1"/>
                          </a:fillRef>
                          <a:effectRef idx="1">
                            <a:schemeClr val="accent1"/>
                          </a:effectRef>
                          <a:fontRef idx="minor">
                            <a:schemeClr val="tx1"/>
                          </a:fontRef>
                        </wps:style>
                        <wps:bodyPr/>
                      </wps:wsp>
                      <wps:wsp>
                        <wps:cNvPr id="53" name="Rounded Rectangle 53"/>
                        <wps:cNvSpPr/>
                        <wps:spPr>
                          <a:xfrm>
                            <a:off x="0" y="0"/>
                            <a:ext cx="1028700" cy="457200"/>
                          </a:xfrm>
                          <a:prstGeom prst="roundRect">
                            <a:avLst/>
                          </a:prstGeom>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99DCE4" w14:textId="77777777" w:rsidR="00CE796C" w:rsidRPr="00C47B47" w:rsidRDefault="00CE796C" w:rsidP="00D45BAB">
                              <w:pPr>
                                <w:spacing w:before="0" w:after="0"/>
                                <w:jc w:val="center"/>
                                <w:rPr>
                                  <w:sz w:val="20"/>
                                  <w:szCs w:val="20"/>
                                </w:rPr>
                              </w:pPr>
                              <w:r w:rsidRPr="00C47B47">
                                <w:rPr>
                                  <w:sz w:val="20"/>
                                  <w:szCs w:val="20"/>
                                </w:rPr>
                                <w:t>Grad DUGA RESA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Rounded Rectangle 54"/>
                        <wps:cNvSpPr/>
                        <wps:spPr>
                          <a:xfrm>
                            <a:off x="1828800" y="0"/>
                            <a:ext cx="1028700" cy="457200"/>
                          </a:xfrm>
                          <a:prstGeom prst="roundRect">
                            <a:avLst/>
                          </a:prstGeom>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FF24BE5" w14:textId="77777777" w:rsidR="00CE796C" w:rsidRPr="00C47B47" w:rsidRDefault="00CE796C" w:rsidP="00D45BAB">
                              <w:pPr>
                                <w:spacing w:before="0" w:after="0"/>
                                <w:jc w:val="center"/>
                                <w:rPr>
                                  <w:sz w:val="20"/>
                                  <w:szCs w:val="20"/>
                                </w:rPr>
                              </w:pPr>
                              <w:r w:rsidRPr="00C47B47">
                                <w:rPr>
                                  <w:sz w:val="20"/>
                                  <w:szCs w:val="20"/>
                                </w:rPr>
                                <w:t xml:space="preserve">Grad </w:t>
                              </w:r>
                              <w:r>
                                <w:rPr>
                                  <w:sz w:val="20"/>
                                  <w:szCs w:val="20"/>
                                </w:rPr>
                                <w:t>OZALJ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Rounded Rectangle 55"/>
                        <wps:cNvSpPr/>
                        <wps:spPr>
                          <a:xfrm>
                            <a:off x="914400" y="686435"/>
                            <a:ext cx="1028700" cy="457200"/>
                          </a:xfrm>
                          <a:prstGeom prst="roundRect">
                            <a:avLst/>
                          </a:prstGeom>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1CDA486" w14:textId="77777777" w:rsidR="00CE796C" w:rsidRPr="00C47B47" w:rsidRDefault="00CE796C" w:rsidP="00D45BAB">
                              <w:pPr>
                                <w:spacing w:before="0" w:after="0"/>
                                <w:jc w:val="center"/>
                                <w:rPr>
                                  <w:sz w:val="20"/>
                                  <w:szCs w:val="20"/>
                                </w:rPr>
                              </w:pPr>
                              <w:r w:rsidRPr="00C47B47">
                                <w:rPr>
                                  <w:sz w:val="20"/>
                                  <w:szCs w:val="20"/>
                                </w:rPr>
                                <w:t xml:space="preserve">Grad </w:t>
                              </w:r>
                              <w:r>
                                <w:rPr>
                                  <w:sz w:val="20"/>
                                  <w:szCs w:val="20"/>
                                </w:rPr>
                                <w:t>KARLOVAC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457200" y="1372235"/>
                            <a:ext cx="1828800" cy="914400"/>
                          </a:xfrm>
                          <a:prstGeom prst="rect">
                            <a:avLst/>
                          </a:prstGeom>
                          <a:solidFill>
                            <a:schemeClr val="accent1">
                              <a:lumMod val="60000"/>
                              <a:lumOff val="40000"/>
                            </a:schemeClr>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4817CA2" w14:textId="77777777" w:rsidR="00CE796C" w:rsidRPr="00C47B47" w:rsidRDefault="00CE796C" w:rsidP="00D45BAB">
                              <w:pPr>
                                <w:jc w:val="center"/>
                                <w:rPr>
                                  <w:color w:val="000000" w:themeColor="text1"/>
                                </w:rPr>
                              </w:pPr>
                              <w:r w:rsidRPr="00DD45ED">
                                <w:rPr>
                                  <w:b/>
                                  <w:color w:val="000000" w:themeColor="text1"/>
                                </w:rPr>
                                <w:t xml:space="preserve">Nositelj i koordinator Izrade i provedbe </w:t>
                              </w:r>
                              <w:r>
                                <w:rPr>
                                  <w:b/>
                                  <w:color w:val="000000" w:themeColor="text1"/>
                                </w:rPr>
                                <w:t>SRVUPKA</w:t>
                              </w:r>
                              <w:r w:rsidRPr="00C47B47">
                                <w:rPr>
                                  <w:color w:val="000000" w:themeColor="text1"/>
                                </w:rPr>
                                <w:t xml:space="preserve"> (UO za razvoj i EU fondove</w:t>
                              </w:r>
                              <w:r>
                                <w:rPr>
                                  <w:color w:val="000000" w:themeColor="text1"/>
                                </w:rPr>
                                <w:t xml:space="preserve"> Grada Karlovca</w:t>
                              </w:r>
                              <w:r w:rsidRPr="00C47B47">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2628900" y="1486535"/>
                            <a:ext cx="1714500" cy="571500"/>
                          </a:xfrm>
                          <a:prstGeom prst="rect">
                            <a:avLst/>
                          </a:prstGeom>
                          <a:solidFill>
                            <a:schemeClr val="accent1">
                              <a:lumMod val="60000"/>
                              <a:lumOff val="40000"/>
                            </a:schemeClr>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E52CE39" w14:textId="77777777" w:rsidR="00CE796C" w:rsidRPr="00C47B47" w:rsidRDefault="00CE796C" w:rsidP="00D45BAB">
                              <w:pPr>
                                <w:jc w:val="center"/>
                                <w:rPr>
                                  <w:color w:val="000000" w:themeColor="text1"/>
                                </w:rPr>
                              </w:pPr>
                              <w:r w:rsidRPr="00C47B47">
                                <w:rPr>
                                  <w:color w:val="000000" w:themeColor="text1"/>
                                </w:rPr>
                                <w:t xml:space="preserve">PARTNERSKO VIJEĆE </w:t>
                              </w:r>
                              <w:r>
                                <w:rPr>
                                  <w:color w:val="000000" w:themeColor="text1"/>
                                </w:rPr>
                                <w:t>SRVUPKA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457200" y="2515235"/>
                            <a:ext cx="1828800" cy="1257300"/>
                          </a:xfrm>
                          <a:prstGeom prst="rect">
                            <a:avLst/>
                          </a:prstGeom>
                          <a:solidFill>
                            <a:schemeClr val="accent5">
                              <a:lumMod val="75000"/>
                            </a:schemeClr>
                          </a:solidFill>
                          <a:ln>
                            <a:solidFill>
                              <a:schemeClr val="accent5">
                                <a:lumMod val="75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66AC9E6" w14:textId="77777777" w:rsidR="00CE796C" w:rsidRPr="00DD45ED" w:rsidRDefault="00CE796C" w:rsidP="00D45BAB">
                              <w:pPr>
                                <w:jc w:val="center"/>
                                <w:rPr>
                                  <w:b/>
                                  <w:color w:val="FFFFFF" w:themeColor="background1"/>
                                </w:rPr>
                              </w:pPr>
                              <w:r w:rsidRPr="00DD45ED">
                                <w:rPr>
                                  <w:b/>
                                  <w:color w:val="FFFFFF" w:themeColor="background1"/>
                                </w:rPr>
                                <w:t>RADNA SKUPINA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Rectangle 59"/>
                        <wps:cNvSpPr/>
                        <wps:spPr>
                          <a:xfrm>
                            <a:off x="2628900" y="2858135"/>
                            <a:ext cx="1714500" cy="571500"/>
                          </a:xfrm>
                          <a:prstGeom prst="rect">
                            <a:avLst/>
                          </a:prstGeom>
                          <a:solidFill>
                            <a:srgbClr val="31859C"/>
                          </a:solidFill>
                          <a:ln>
                            <a:solidFill>
                              <a:srgbClr val="31859C"/>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545942DC" w14:textId="77777777" w:rsidR="00CE796C" w:rsidRPr="00DD45ED" w:rsidRDefault="00CE796C" w:rsidP="00D45BAB">
                              <w:pPr>
                                <w:jc w:val="center"/>
                                <w:rPr>
                                  <w:b/>
                                  <w:color w:val="FFFFFF" w:themeColor="background1"/>
                                </w:rPr>
                              </w:pPr>
                              <w:r w:rsidRPr="00DD45ED">
                                <w:rPr>
                                  <w:b/>
                                  <w:color w:val="FFFFFF" w:themeColor="background1"/>
                                </w:rPr>
                                <w:t>RADNA SKUPINA ZA VREDNOVANJE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457200" y="2972435"/>
                            <a:ext cx="615315" cy="342900"/>
                          </a:xfrm>
                          <a:prstGeom prst="rect">
                            <a:avLst/>
                          </a:prstGeom>
                          <a:solidFill>
                            <a:srgbClr val="93CDDD"/>
                          </a:solidFill>
                          <a:ln>
                            <a:solidFill>
                              <a:srgbClr val="31859C"/>
                            </a:solidFill>
                          </a:ln>
                          <a:effectLst/>
                        </wps:spPr>
                        <wps:style>
                          <a:lnRef idx="1">
                            <a:schemeClr val="accent1"/>
                          </a:lnRef>
                          <a:fillRef idx="3">
                            <a:schemeClr val="accent1"/>
                          </a:fillRef>
                          <a:effectRef idx="2">
                            <a:schemeClr val="accent1"/>
                          </a:effectRef>
                          <a:fontRef idx="minor">
                            <a:schemeClr val="lt1"/>
                          </a:fontRef>
                        </wps:style>
                        <wps:txbx>
                          <w:txbxContent>
                            <w:p w14:paraId="2733578A" w14:textId="77777777" w:rsidR="00CE796C" w:rsidRPr="00DD45ED" w:rsidRDefault="00CE796C" w:rsidP="00D45BAB">
                              <w:pPr>
                                <w:jc w:val="center"/>
                                <w:rPr>
                                  <w:color w:val="215868" w:themeColor="accent5" w:themeShade="80"/>
                                </w:rPr>
                              </w:pPr>
                              <w:r w:rsidRPr="00DD45ED">
                                <w:rPr>
                                  <w:color w:val="215868" w:themeColor="accent5" w:themeShade="80"/>
                                </w:rPr>
                                <w:t>JLS 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1064260" y="2972435"/>
                            <a:ext cx="626745" cy="342900"/>
                          </a:xfrm>
                          <a:prstGeom prst="rect">
                            <a:avLst/>
                          </a:prstGeom>
                          <a:solidFill>
                            <a:srgbClr val="93CDDD"/>
                          </a:solidFill>
                          <a:ln>
                            <a:solidFill>
                              <a:srgbClr val="31859C"/>
                            </a:solidFill>
                          </a:ln>
                        </wps:spPr>
                        <wps:style>
                          <a:lnRef idx="1">
                            <a:schemeClr val="accent1"/>
                          </a:lnRef>
                          <a:fillRef idx="3">
                            <a:schemeClr val="accent1"/>
                          </a:fillRef>
                          <a:effectRef idx="2">
                            <a:schemeClr val="accent1"/>
                          </a:effectRef>
                          <a:fontRef idx="minor">
                            <a:schemeClr val="lt1"/>
                          </a:fontRef>
                        </wps:style>
                        <wps:txbx>
                          <w:txbxContent>
                            <w:p w14:paraId="028AFA78" w14:textId="77777777" w:rsidR="00CE796C" w:rsidRPr="00DD45ED" w:rsidRDefault="00CE796C" w:rsidP="00D45BAB">
                              <w:pPr>
                                <w:jc w:val="center"/>
                                <w:rPr>
                                  <w:color w:val="215868" w:themeColor="accent5" w:themeShade="80"/>
                                </w:rPr>
                              </w:pPr>
                              <w:r w:rsidRPr="00DD45ED">
                                <w:rPr>
                                  <w:color w:val="215868" w:themeColor="accent5" w:themeShade="80"/>
                                </w:rPr>
                                <w:t>JLS DR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62"/>
                        <wps:cNvSpPr/>
                        <wps:spPr>
                          <a:xfrm>
                            <a:off x="1697355" y="2972435"/>
                            <a:ext cx="588645" cy="342900"/>
                          </a:xfrm>
                          <a:prstGeom prst="rect">
                            <a:avLst/>
                          </a:prstGeom>
                          <a:solidFill>
                            <a:srgbClr val="93CDDD"/>
                          </a:solidFill>
                          <a:ln>
                            <a:solidFill>
                              <a:srgbClr val="31859C"/>
                            </a:solidFill>
                          </a:ln>
                          <a:effectLst/>
                        </wps:spPr>
                        <wps:style>
                          <a:lnRef idx="1">
                            <a:schemeClr val="accent1"/>
                          </a:lnRef>
                          <a:fillRef idx="3">
                            <a:schemeClr val="accent1"/>
                          </a:fillRef>
                          <a:effectRef idx="2">
                            <a:schemeClr val="accent1"/>
                          </a:effectRef>
                          <a:fontRef idx="minor">
                            <a:schemeClr val="lt1"/>
                          </a:fontRef>
                        </wps:style>
                        <wps:txbx>
                          <w:txbxContent>
                            <w:p w14:paraId="218670BC" w14:textId="77777777" w:rsidR="00CE796C" w:rsidRPr="00DD45ED" w:rsidRDefault="00CE796C" w:rsidP="00D45BAB">
                              <w:pPr>
                                <w:jc w:val="center"/>
                                <w:rPr>
                                  <w:color w:val="215868" w:themeColor="accent5" w:themeShade="80"/>
                                </w:rPr>
                              </w:pPr>
                              <w:r w:rsidRPr="00DD45ED">
                                <w:rPr>
                                  <w:color w:val="215868" w:themeColor="accent5" w:themeShade="80"/>
                                </w:rPr>
                                <w:t>JLS OZ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63"/>
                        <wps:cNvSpPr/>
                        <wps:spPr>
                          <a:xfrm>
                            <a:off x="457200" y="3315335"/>
                            <a:ext cx="914400" cy="457200"/>
                          </a:xfrm>
                          <a:prstGeom prst="rect">
                            <a:avLst/>
                          </a:prstGeom>
                          <a:solidFill>
                            <a:srgbClr val="93CDDD"/>
                          </a:solidFill>
                          <a:ln>
                            <a:solidFill>
                              <a:srgbClr val="31859C"/>
                            </a:solidFill>
                          </a:ln>
                          <a:effectLst/>
                        </wps:spPr>
                        <wps:style>
                          <a:lnRef idx="1">
                            <a:schemeClr val="accent1"/>
                          </a:lnRef>
                          <a:fillRef idx="3">
                            <a:schemeClr val="accent1"/>
                          </a:fillRef>
                          <a:effectRef idx="2">
                            <a:schemeClr val="accent1"/>
                          </a:effectRef>
                          <a:fontRef idx="minor">
                            <a:schemeClr val="lt1"/>
                          </a:fontRef>
                        </wps:style>
                        <wps:txbx>
                          <w:txbxContent>
                            <w:p w14:paraId="301BB0EB" w14:textId="77777777" w:rsidR="00CE796C" w:rsidRPr="00DD45ED" w:rsidRDefault="00CE796C" w:rsidP="00D45BAB">
                              <w:pPr>
                                <w:jc w:val="center"/>
                                <w:rPr>
                                  <w:color w:val="215868" w:themeColor="accent5" w:themeShade="80"/>
                                </w:rPr>
                              </w:pPr>
                              <w:r w:rsidRPr="00DD45ED">
                                <w:rPr>
                                  <w:color w:val="215868" w:themeColor="accent5" w:themeShade="80"/>
                                </w:rPr>
                                <w:t>KAŽUP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tangle 64"/>
                        <wps:cNvSpPr/>
                        <wps:spPr>
                          <a:xfrm>
                            <a:off x="1371600" y="3315335"/>
                            <a:ext cx="914400" cy="457200"/>
                          </a:xfrm>
                          <a:prstGeom prst="rect">
                            <a:avLst/>
                          </a:prstGeom>
                          <a:solidFill>
                            <a:srgbClr val="93CDDD"/>
                          </a:solidFill>
                          <a:ln>
                            <a:solidFill>
                              <a:srgbClr val="31859C"/>
                            </a:solidFill>
                          </a:ln>
                          <a:effectLst/>
                        </wps:spPr>
                        <wps:style>
                          <a:lnRef idx="1">
                            <a:schemeClr val="accent1"/>
                          </a:lnRef>
                          <a:fillRef idx="3">
                            <a:schemeClr val="accent1"/>
                          </a:fillRef>
                          <a:effectRef idx="2">
                            <a:schemeClr val="accent1"/>
                          </a:effectRef>
                          <a:fontRef idx="minor">
                            <a:schemeClr val="lt1"/>
                          </a:fontRef>
                        </wps:style>
                        <wps:txbx>
                          <w:txbxContent>
                            <w:p w14:paraId="22D87C26" w14:textId="77777777" w:rsidR="00CE796C" w:rsidRPr="00DD45ED" w:rsidRDefault="00CE796C" w:rsidP="00D45BAB">
                              <w:pPr>
                                <w:jc w:val="center"/>
                                <w:rPr>
                                  <w:color w:val="215868" w:themeColor="accent5" w:themeShade="80"/>
                                </w:rPr>
                              </w:pPr>
                              <w:r w:rsidRPr="00DD45ED">
                                <w:rPr>
                                  <w:color w:val="215868" w:themeColor="accent5" w:themeShade="80"/>
                                </w:rPr>
                                <w:t>RA KAŽUP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65" o:spid="_x0000_s1026" style="position:absolute;left:0;text-align:left;margin-left:1in;margin-top:22.55pt;width:342pt;height:297.05pt;z-index:251723776" coordsize="4343400,37725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">
                <v:line id="Straight Connector 4" o:spid="_x0000_s1027" style="position:absolute;flip:x;visibility:visible;mso-wrap-style:square" from="1943100,457835" to="2400300,9150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FtYXcMAAADaAAAADwAAAGRycy9kb3ducmV2LnhtbESPX2vCMBTF3wd+h3AF32aqyCi1UaZO&#10;2cso0zL2eGnu2mJzU5LM1m+/DAZ7PJw/P06+HU0nbuR8a1nBYp6AIK6sbrlWUF6OjykIH5A1dpZJ&#10;wZ08bDeThxwzbQd+p9s51CKOsM9QQRNCn0npq4YM+rntiaP3ZZ3BEKWrpXY4xHHTyWWSPEmDLUdC&#10;gz3tG6qu528TIfyhi8/xze0O+9NLuuqLcoGFUrPp+LwGEWgM/+G/9qtWsILfK/EGyM0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RbWF3DAAAA2gAAAA8AAAAAAAAAAAAA&#10;AAAAoQIAAGRycy9kb3ducmV2LnhtbFBLBQYAAAAABAAEAPkAAACRAwAAAAA=&#10;" strokecolor="#7f7f7f [1612]" strokeweight="2.25pt">
                  <v:shadow on="t" opacity="26214f" mv:blur="50800f" origin="-.5,-.5" offset="26941emu,26941emu"/>
                </v:line>
                <v:line id="Straight Connector 14" o:spid="_x0000_s1028" style="position:absolute;visibility:visible;mso-wrap-style:square" from="457200,343535" to="914400,9150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X+k+8MAAADbAAAADwAAAGRycy9kb3ducmV2LnhtbERP22rCQBB9L/QflhH6UnTTUotEVymB&#10;lgpFrBfQtyE7JqHZ2ZCdavTrXaHQtzmc60xmnavVkdpQeTbwNEhAEefeVlwY2Kzf+yNQQZAt1p7J&#10;wJkCzKb3dxNMrT/xNx1XUqgYwiFFA6VIk2od8pIchoFviCN38K1DibAttG3xFMNdrZ+T5FU7rDg2&#10;lNhQVlL+s/p1BoYZfe0v2+WcMznLIy79x2K+M+ah172NQQl18i/+c3/aOP8Fbr/EA/T0C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V/pPvDAAAA2wAAAA8AAAAAAAAAAAAA&#10;AAAAoQIAAGRycy9kb3ducmV2LnhtbFBLBQYAAAAABAAEAPkAAACRAwAAAAA=&#10;" strokecolor="#7f7f7f [1612]" strokeweight="2.25pt">
                  <v:shadow on="t" opacity="26214f" mv:blur="50800f" origin="-.5,-.5" offset="26941emu,26941emu"/>
                </v:line>
                <v:line id="Straight Connector 18" o:spid="_x0000_s1029" style="position:absolute;visibility:visible;mso-wrap-style:square" from="571500,229235" to="2286000,2292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DKu/sYAAADbAAAADwAAAGRycy9kb3ducmV2LnhtbESPQUvDQBCF74L/YZlCL2I3FiwSuy0l&#10;oLQg0lYFvQ3ZMQlmZ0N22qb++s5B8DbDe/PeN/PlEFpzpD41kR3cTTIwxGX0DVcO3t+ebh/AJEH2&#10;2EYmB2dKsFxcX80x9/HEOzrupTIawilHB7VIl1ubypoCpknsiFX7jn1A0bWvrO/xpOGhtdMsm9mA&#10;DWtDjR0VNZU/+0NwcF/Qy9fvx3bDhZzlBrfx+XXz6dx4NKwewQgN8m/+u157xVdY/UUHsIsL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Qyrv7GAAAA2wAAAA8AAAAAAAAA&#10;AAAAAAAAoQIAAGRycy9kb3ducmV2LnhtbFBLBQYAAAAABAAEAPkAAACUAwAAAAA=&#10;" strokecolor="#7f7f7f [1612]" strokeweight="2.25pt">
                  <v:shadow on="t" opacity="26214f" mv:blur="50800f" origin="-.5,-.5" offset="26941emu,26941emu"/>
                </v:line>
                <v:line id="Straight Connector 22" o:spid="_x0000_s1030" style="position:absolute;visibility:visible;mso-wrap-style:square" from="1485900,1829435" to="3200400,18294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7ZTqcUAAADbAAAADwAAAGRycy9kb3ducmV2LnhtbESPX2vCQBDE3wt+h2MFX0q9GGgpqadI&#10;wFKhFP8V6tuSW5Ngbi/kVo399L1CoY/DzPyGmc5716gLdaH2bGAyTkARF97WXBrY75YPz6CCIFts&#10;PJOBGwWYzwZ3U8ysv/KGLlspVYRwyNBAJdJmWoeiIodh7Fvi6B1951Ci7EptO7xGuGt0miRP2mHN&#10;caHClvKKitP27Aw85vR++P5crziXm9zj2r9+rL6MGQ37xQsooV7+w3/tN2sgTeH3S/wBevY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7ZTqcUAAADbAAAADwAAAAAAAAAA&#10;AAAAAAChAgAAZHJzL2Rvd25yZXYueG1sUEsFBgAAAAAEAAQA+QAAAJMDAAAAAA==&#10;" strokecolor="#7f7f7f [1612]" strokeweight="2.25pt">
                  <v:shadow on="t" opacity="26214f" mv:blur="50800f" origin="-.5,-.5" offset="26941emu,26941emu"/>
                </v:line>
                <v:line id="Straight Connector 43" o:spid="_x0000_s1031" style="position:absolute;visibility:visible;mso-wrap-style:square" from="1600200,3201035" to="3314700,32010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SUTksYAAADbAAAADwAAAGRycy9kb3ducmV2LnhtbESPX0vDQBDE3wW/w7FCX0p7sbalxF6L&#10;BBQLRfoX9G3JrUkwtxdya5v66b2C4OMwM79h5svO1epEbag8G7gfJqCIc28rLgwc9s+DGaggyBZr&#10;z2TgQgGWi9ubOabWn3lLp50UKkI4pGigFGlSrUNeksMw9A1x9D5961CibAttWzxHuKv1KEmm2mHF&#10;caHEhrKS8q/dtzMwyWj98XPcrDiTi/Rx41/eVu/G9O66p0dQQp38h//ar9bA+AGuX+IP0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IklE5LGAAAA2wAAAA8AAAAAAAAA&#10;AAAAAAAAoQIAAGRycy9kb3ducmV2LnhtbFBLBQYAAAAABAAEAPkAAACUAwAAAAA=&#10;" strokecolor="#7f7f7f [1612]" strokeweight="2.25pt">
                  <v:shadow on="t" opacity="26214f" mv:blur="50800f" origin="-.5,-.5" offset="26941emu,26941emu"/>
                </v:line>
                <v:line id="Straight Connector 44" o:spid="_x0000_s1032" style="position:absolute;visibility:visible;mso-wrap-style:square" from="3429000,1715135" to="3429000,33153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syL5sUAAADbAAAADwAAAGRycy9kb3ducmV2LnhtbESPX2vCQBDE3wv9DscW+lL0YrEiqadI&#10;wFKhFP+Cvi25bRLM7YXcVmM/fU8o9HGYmd8wk1nnanWmNlSeDQz6CSji3NuKCwO77aI3BhUE2WLt&#10;mQxcKcBsen83wdT6C6/pvJFCRQiHFA2UIk2qdchLchj6viGO3pdvHUqUbaFti5cId7V+TpKRdlhx&#10;XCixoayk/LT5dgZeMvo4/uxXS87kKk+48m+fy4Mxjw/d/BWUUCf/4b/2uzUwHMLtS/wBevoL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BsyL5sUAAADbAAAADwAAAAAAAAAA&#10;AAAAAAChAgAAZHJzL2Rvd25yZXYueG1sUEsFBgAAAAAEAAQA+QAAAJMDAAAAAA==&#10;" strokecolor="#7f7f7f [1612]" strokeweight="2.25pt">
                  <v:shadow on="t" opacity="26214f" mv:blur="50800f" origin="-.5,-.5" offset="26941emu,26941emu"/>
                </v:line>
                <v:line id="Straight Connector 52" o:spid="_x0000_s1033" style="position:absolute;visibility:visible;mso-wrap-style:square" from="1409700,1126490" to="1409700,36410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7Ag1MQAAADbAAAADwAAAGRycy9kb3ducmV2LnhtbESPX2vCQBDE3wt+h2OFvhS9KLRI9JQS&#10;sFQoxb9g35bcNgnN7YXcVmM/vScUfBxmfjPMbNG5Wp2oDZVnA6NhAoo497biwsB+txxMQAVBtlh7&#10;JgMXCrCY9x5mmFp/5g2dtlKoWMIhRQOlSJNqHfKSHIahb4ij9+1bhxJlW2jb4jmWu1qPk+RFO6w4&#10;LpTYUFZS/rP9dQaeM/r4+jusV5zJRZ5w7d8+V0djHvvd6xSUUCf38D/9biM3htuX+AP0/Ao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jsCDUxAAAANsAAAAPAAAAAAAAAAAA&#10;AAAAAKECAABkcnMvZG93bnJldi54bWxQSwUGAAAAAAQABAD5AAAAkgMAAAAA&#10;" strokecolor="#7f7f7f [1612]" strokeweight="2.25pt">
                  <v:shadow on="t" opacity="26214f" mv:blur="50800f" origin="-.5,-.5" offset="26941emu,26941emu"/>
                </v:line>
                <v:roundrect id="Rounded Rectangle 53" o:spid="_x0000_s1034" style="position:absolute;width:1028700;height:457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wAfZxgAA&#10;ANsAAAAPAAAAZHJzL2Rvd25yZXYueG1sRI9Ba8JAFITvBf/D8gQv0mxULG3qKiKKQvFg2kOPj+xr&#10;NjT7NmbXmPrruwWhx2FmvmEWq97WoqPWV44VTJIUBHHhdMWlgo/33eMzCB+QNdaOScEPeVgtBw8L&#10;zLS78om6PJQiQthnqMCE0GRS+sKQRZ+4hjh6X661GKJsS6lbvEa4reU0TZ+kxYrjgsGGNoaK7/xi&#10;Fbxt80MXylu/NvhyO87Ol/3neKzUaNivX0EE6sN/+N4+aAXzGfx9iT9ALn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RwAfZxgAAANsAAAAPAAAAAAAAAAAAAAAAAJcCAABkcnMv&#10;ZG93bnJldi54bWxQSwUGAAAAAAQABAD1AAAAigMAAAAA&#10;" fillcolor="#4f81bd [3204]" strokecolor="#243f60 [1604]" strokeweight="2pt">
                  <v:shadow on="t" opacity="26214f" mv:blur="50800f" origin="-.5,-.5" offset="26941emu,26941emu"/>
                  <v:textbox>
                    <w:txbxContent>
                      <w:p w14:paraId="4B99DCE4" w14:textId="77777777" w:rsidR="00CE796C" w:rsidRPr="00C47B47" w:rsidRDefault="00CE796C" w:rsidP="00D45BAB">
                        <w:pPr>
                          <w:spacing w:before="0" w:after="0"/>
                          <w:jc w:val="center"/>
                          <w:rPr>
                            <w:sz w:val="20"/>
                            <w:szCs w:val="20"/>
                          </w:rPr>
                        </w:pPr>
                        <w:r w:rsidRPr="00C47B47">
                          <w:rPr>
                            <w:sz w:val="20"/>
                            <w:szCs w:val="20"/>
                          </w:rPr>
                          <w:t>Grad DUGA RESA</w:t>
                        </w:r>
                      </w:p>
                    </w:txbxContent>
                  </v:textbox>
                </v:roundrect>
                <v:roundrect id="Rounded Rectangle 54" o:spid="_x0000_s1035" style="position:absolute;left:1828800;width:1028700;height:457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KZ+txgAA&#10;ANsAAAAPAAAAZHJzL2Rvd25yZXYueG1sRI9Ba8JAFITvgv9heYIXqRu1LW3qKiKKgnho2kOPj+xr&#10;NjT7NmbXGP313ULB4zAz3zDzZWcr0VLjS8cKJuMEBHHudMmFgs+P7cMLCB+QNVaOScGVPCwX/d4c&#10;U+0u/E5tFgoRIexTVGBCqFMpfW7Ioh+7mjh6366xGKJsCqkbvES4reQ0SZ6lxZLjgsGa1obyn+xs&#10;FRw22b4Nxa1bGXy9HWen8+5rNFJqOOhWbyACdeEe/m/vtYKnR/j7En+AXPw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eKZ+txgAAANsAAAAPAAAAAAAAAAAAAAAAAJcCAABkcnMv&#10;ZG93bnJldi54bWxQSwUGAAAAAAQABAD1AAAAigMAAAAA&#10;" fillcolor="#4f81bd [3204]" strokecolor="#243f60 [1604]" strokeweight="2pt">
                  <v:shadow on="t" opacity="26214f" mv:blur="50800f" origin="-.5,-.5" offset="26941emu,26941emu"/>
                  <v:textbox>
                    <w:txbxContent>
                      <w:p w14:paraId="0FF24BE5" w14:textId="77777777" w:rsidR="00CE796C" w:rsidRPr="00C47B47" w:rsidRDefault="00CE796C" w:rsidP="00D45BAB">
                        <w:pPr>
                          <w:spacing w:before="0" w:after="0"/>
                          <w:jc w:val="center"/>
                          <w:rPr>
                            <w:sz w:val="20"/>
                            <w:szCs w:val="20"/>
                          </w:rPr>
                        </w:pPr>
                        <w:r w:rsidRPr="00C47B47">
                          <w:rPr>
                            <w:sz w:val="20"/>
                            <w:szCs w:val="20"/>
                          </w:rPr>
                          <w:t xml:space="preserve">Grad </w:t>
                        </w:r>
                        <w:r>
                          <w:rPr>
                            <w:sz w:val="20"/>
                            <w:szCs w:val="20"/>
                          </w:rPr>
                          <w:t>OZALJ</w:t>
                        </w:r>
                      </w:p>
                    </w:txbxContent>
                  </v:textbox>
                </v:roundrect>
                <v:roundrect id="Rounded Rectangle 55" o:spid="_x0000_s1036" style="position:absolute;left:914400;top:686435;width:1028700;height:4572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ZTo2xgAA&#10;ANsAAAAPAAAAZHJzL2Rvd25yZXYueG1sRI9Ba8JAFITvhf6H5RV6EbNpi6LRVaS0VCgejB48PrLP&#10;bDD7Ns2uMfXXu0Khx2FmvmHmy97WoqPWV44VvCQpCOLC6YpLBfvd53ACwgdkjbVjUvBLHpaLx4c5&#10;ZtpdeEtdHkoRIewzVGBCaDIpfWHIok9cQxy9o2sthijbUuoWLxFua/mapmNpseK4YLChd0PFKT9b&#10;Bd8f+boL5bVfGZxeN28/56/DYKDU81O/moEI1If/8F97rRWMRnD/En+AXN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xZTo2xgAAANsAAAAPAAAAAAAAAAAAAAAAAJcCAABkcnMv&#10;ZG93bnJldi54bWxQSwUGAAAAAAQABAD1AAAAigMAAAAA&#10;" fillcolor="#4f81bd [3204]" strokecolor="#243f60 [1604]" strokeweight="2pt">
                  <v:shadow on="t" opacity="26214f" mv:blur="50800f" origin="-.5,-.5" offset="26941emu,26941emu"/>
                  <v:textbox>
                    <w:txbxContent>
                      <w:p w14:paraId="51CDA486" w14:textId="77777777" w:rsidR="00CE796C" w:rsidRPr="00C47B47" w:rsidRDefault="00CE796C" w:rsidP="00D45BAB">
                        <w:pPr>
                          <w:spacing w:before="0" w:after="0"/>
                          <w:jc w:val="center"/>
                          <w:rPr>
                            <w:sz w:val="20"/>
                            <w:szCs w:val="20"/>
                          </w:rPr>
                        </w:pPr>
                        <w:r w:rsidRPr="00C47B47">
                          <w:rPr>
                            <w:sz w:val="20"/>
                            <w:szCs w:val="20"/>
                          </w:rPr>
                          <w:t xml:space="preserve">Grad </w:t>
                        </w:r>
                        <w:r>
                          <w:rPr>
                            <w:sz w:val="20"/>
                            <w:szCs w:val="20"/>
                          </w:rPr>
                          <w:t>KARLOVAC</w:t>
                        </w:r>
                      </w:p>
                    </w:txbxContent>
                  </v:textbox>
                </v:roundrect>
                <v:rect id="Rectangle 56" o:spid="_x0000_s1037" style="position:absolute;left:457200;top:1372235;width:18288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RVrExAAA&#10;ANsAAAAPAAAAZHJzL2Rvd25yZXYueG1sRI9Ba8JAFITvhf6H5RV6q7sVTEN0FSsIUjzY2EOPz+wz&#10;CWbfhuxq4r93BcHjMDPfMLPFYBtxoc7XjjV8jhQI4sKZmksNf/v1RwrCB2SDjWPScCUPi/nrywwz&#10;43r+pUseShEh7DPUUIXQZlL6oiKLfuRa4ugdXWcxRNmV0nTYR7ht5FipRFqsOS5U2NKqouKUn62G&#10;f1bJZvmz3fb0dVing9p950mv9fvbsJyCCDSEZ/jR3hgNkwTuX+IPkPM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0VaxMQAAADbAAAADwAAAAAAAAAAAAAAAACXAgAAZHJzL2Rv&#10;d25yZXYueG1sUEsFBgAAAAAEAAQA9QAAAIgDAAAAAA==&#10;" fillcolor="#95b3d7 [1940]" strokecolor="#243f60 [1604]" strokeweight="2pt">
                  <v:shadow on="t" opacity="26214f" mv:blur="50800f" origin="-.5,-.5" offset="26941emu,26941emu"/>
                  <v:textbox>
                    <w:txbxContent>
                      <w:p w14:paraId="44817CA2" w14:textId="77777777" w:rsidR="00CE796C" w:rsidRPr="00C47B47" w:rsidRDefault="00CE796C" w:rsidP="00D45BAB">
                        <w:pPr>
                          <w:jc w:val="center"/>
                          <w:rPr>
                            <w:color w:val="000000" w:themeColor="text1"/>
                          </w:rPr>
                        </w:pPr>
                        <w:r w:rsidRPr="00DD45ED">
                          <w:rPr>
                            <w:b/>
                            <w:color w:val="000000" w:themeColor="text1"/>
                          </w:rPr>
                          <w:t xml:space="preserve">Nositelj i koordinator Izrade i provedbe </w:t>
                        </w:r>
                        <w:r>
                          <w:rPr>
                            <w:b/>
                            <w:color w:val="000000" w:themeColor="text1"/>
                          </w:rPr>
                          <w:t>SRVUPKA</w:t>
                        </w:r>
                        <w:r w:rsidRPr="00C47B47">
                          <w:rPr>
                            <w:color w:val="000000" w:themeColor="text1"/>
                          </w:rPr>
                          <w:t xml:space="preserve"> (UO za razvoj i EU fondove</w:t>
                        </w:r>
                        <w:r>
                          <w:rPr>
                            <w:color w:val="000000" w:themeColor="text1"/>
                          </w:rPr>
                          <w:t xml:space="preserve"> Grada Karlovca</w:t>
                        </w:r>
                        <w:r w:rsidRPr="00C47B47">
                          <w:rPr>
                            <w:color w:val="000000" w:themeColor="text1"/>
                          </w:rPr>
                          <w:t>)</w:t>
                        </w:r>
                      </w:p>
                    </w:txbxContent>
                  </v:textbox>
                </v:rect>
                <v:rect id="Rectangle 57" o:spid="_x0000_s1038" style="position:absolute;left:2628900;top:1486535;width:17145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Cf9fwwAA&#10;ANsAAAAPAAAAZHJzL2Rvd25yZXYueG1sRI9Ba8JAFITvgv9heUJvuttCo6SuooIg4kHTHjw+s69J&#10;aPZtyG5N/PeuIHgcZuYbZr7sbS2u1PrKsYb3iQJBnDtTcaHh53s7noHwAdlg7Zg03MjDcjEczDE1&#10;ruMTXbNQiAhhn6KGMoQmldLnJVn0E9cQR+/XtRZDlG0hTYtdhNtafiiVSIsVx4USG9qUlP9l/1bD&#10;mVWyW+0Ph46ml+2sV8d1lnRav4361ReIQH14hZ/tndHwOYXHl/gD5O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Cf9fwwAAANsAAAAPAAAAAAAAAAAAAAAAAJcCAABkcnMvZG93&#10;bnJldi54bWxQSwUGAAAAAAQABAD1AAAAhwMAAAAA&#10;" fillcolor="#95b3d7 [1940]" strokecolor="#243f60 [1604]" strokeweight="2pt">
                  <v:shadow on="t" opacity="26214f" mv:blur="50800f" origin="-.5,-.5" offset="26941emu,26941emu"/>
                  <v:textbox>
                    <w:txbxContent>
                      <w:p w14:paraId="5E52CE39" w14:textId="77777777" w:rsidR="00CE796C" w:rsidRPr="00C47B47" w:rsidRDefault="00CE796C" w:rsidP="00D45BAB">
                        <w:pPr>
                          <w:jc w:val="center"/>
                          <w:rPr>
                            <w:color w:val="000000" w:themeColor="text1"/>
                          </w:rPr>
                        </w:pPr>
                        <w:r w:rsidRPr="00C47B47">
                          <w:rPr>
                            <w:color w:val="000000" w:themeColor="text1"/>
                          </w:rPr>
                          <w:t xml:space="preserve">PARTNERSKO VIJEĆE </w:t>
                        </w:r>
                        <w:r>
                          <w:rPr>
                            <w:color w:val="000000" w:themeColor="text1"/>
                          </w:rPr>
                          <w:t>SRVUPKA</w:t>
                        </w:r>
                      </w:p>
                    </w:txbxContent>
                  </v:textbox>
                </v:rect>
                <v:rect id="Rectangle 58" o:spid="_x0000_s1039" style="position:absolute;left:457200;top:2515235;width:1828800;height:1257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2E/rwQAA&#10;ANsAAAAPAAAAZHJzL2Rvd25yZXYueG1sRE/LisIwFN0L/kO4wmxE0xlRhtpUnIEBVz6qIO6uzbUt&#10;NjeliVr/3iyEWR7OO1l0phZ3al1lWcHnOAJBnFtdcaHgsP8bfYNwHlljbZkUPMnBIu33Eoy1ffCO&#10;7pkvRAhhF6OC0vsmltLlJRl0Y9sQB+5iW4M+wLaQusVHCDe1/IqimTRYcWgosaHfkvJrdjMKhtl0&#10;fz6cJuyqdfHc8uxnc6SdUh+DbjkH4anz/+K3e6UVTMPY8CX8AJm+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l9hP68EAAADbAAAADwAAAAAAAAAAAAAAAACXAgAAZHJzL2Rvd25y&#10;ZXYueG1sUEsFBgAAAAAEAAQA9QAAAIUDAAAAAA==&#10;" fillcolor="#31849b [2408]" strokecolor="#31849b [2408]" strokeweight="2pt">
                  <v:shadow on="t" opacity="26214f" mv:blur="50800f" origin="-.5,-.5" offset="26941emu,26941emu"/>
                  <v:textbox>
                    <w:txbxContent>
                      <w:p w14:paraId="066AC9E6" w14:textId="77777777" w:rsidR="00CE796C" w:rsidRPr="00DD45ED" w:rsidRDefault="00CE796C" w:rsidP="00D45BAB">
                        <w:pPr>
                          <w:jc w:val="center"/>
                          <w:rPr>
                            <w:b/>
                            <w:color w:val="FFFFFF" w:themeColor="background1"/>
                          </w:rPr>
                        </w:pPr>
                        <w:r w:rsidRPr="00DD45ED">
                          <w:rPr>
                            <w:b/>
                            <w:color w:val="FFFFFF" w:themeColor="background1"/>
                          </w:rPr>
                          <w:t>RADNA SKUPINA</w:t>
                        </w:r>
                      </w:p>
                    </w:txbxContent>
                  </v:textbox>
                </v:rect>
                <v:rect id="Rectangle 59" o:spid="_x0000_s1040" style="position:absolute;left:2628900;top:2858135;width:1714500;height:571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4enxxgAA&#10;ANsAAAAPAAAAZHJzL2Rvd25yZXYueG1sRI9PawIxFMTvhX6H8Apeima1rdqtUUQQWqSIfy7eHslz&#10;d9vNy5pE3X57Uyj0OMzMb5jJrLW1uJAPlWMF/V4Gglg7U3GhYL9bdscgQkQ2WDsmBT8UYDa9v5tg&#10;btyVN3TZxkIkCIccFZQxNrmUQZdkMfRcQ5y8o/MWY5K+kMbjNcFtLQdZNpQWK04LJTa0KEl/b89W&#10;gTnx13r+eRzox8PTR6OfV6vRyCvVeWjnbyAitfE//Nd+NwpeXuH3S/oBcno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f4enxxgAAANsAAAAPAAAAAAAAAAAAAAAAAJcCAABkcnMv&#10;ZG93bnJldi54bWxQSwUGAAAAAAQABAD1AAAAigMAAAAA&#10;" fillcolor="#31859c" strokecolor="#31859c" strokeweight="2pt">
                  <v:shadow on="t" opacity="26214f" mv:blur="50800f" origin="-.5,-.5" offset="26941emu,26941emu"/>
                  <v:textbox>
                    <w:txbxContent>
                      <w:p w14:paraId="545942DC" w14:textId="77777777" w:rsidR="00CE796C" w:rsidRPr="00DD45ED" w:rsidRDefault="00CE796C" w:rsidP="00D45BAB">
                        <w:pPr>
                          <w:jc w:val="center"/>
                          <w:rPr>
                            <w:b/>
                            <w:color w:val="FFFFFF" w:themeColor="background1"/>
                          </w:rPr>
                        </w:pPr>
                        <w:r w:rsidRPr="00DD45ED">
                          <w:rPr>
                            <w:b/>
                            <w:color w:val="FFFFFF" w:themeColor="background1"/>
                          </w:rPr>
                          <w:t>RADNA SKUPINA ZA VREDNOVANJE</w:t>
                        </w:r>
                      </w:p>
                    </w:txbxContent>
                  </v:textbox>
                </v:rect>
                <v:rect id="Rectangle 60" o:spid="_x0000_s1041" style="position:absolute;left:457200;top:2972435;width:615315;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WKh4wQAA&#10;ANsAAAAPAAAAZHJzL2Rvd25yZXYueG1sRE9da8IwFH0f7D+EK/g2Ex2U0hlFhMkmKMzK8PHSXNtq&#10;c1OazNZ/bx6EPR7O93w52EbcqPO1Yw3TiQJBXDhTc6nhmH++pSB8QDbYOCYNd/KwXLy+zDEzrucf&#10;uh1CKWII+ww1VCG0mZS+qMiin7iWOHJn11kMEXalNB32Mdw2cqZUIi3WHBsqbGldUXE9/FkNl23S&#10;79LvDZ2u6S++708qz3dK6/FoWH2ACDSEf/HT/WU0JHF9/BJ/gFw8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mVioeMEAAADbAAAADwAAAAAAAAAAAAAAAACXAgAAZHJzL2Rvd25y&#10;ZXYueG1sUEsFBgAAAAAEAAQA9QAAAIUDAAAAAA==&#10;" fillcolor="#93cddd" strokecolor="#31859c">
                  <v:textbox>
                    <w:txbxContent>
                      <w:p w14:paraId="2733578A" w14:textId="77777777" w:rsidR="00CE796C" w:rsidRPr="00DD45ED" w:rsidRDefault="00CE796C" w:rsidP="00D45BAB">
                        <w:pPr>
                          <w:jc w:val="center"/>
                          <w:rPr>
                            <w:color w:val="215868" w:themeColor="accent5" w:themeShade="80"/>
                          </w:rPr>
                        </w:pPr>
                        <w:r w:rsidRPr="00DD45ED">
                          <w:rPr>
                            <w:color w:val="215868" w:themeColor="accent5" w:themeShade="80"/>
                          </w:rPr>
                          <w:t>JLS KA</w:t>
                        </w:r>
                      </w:p>
                    </w:txbxContent>
                  </v:textbox>
                </v:rect>
                <v:rect id="Rectangle 61" o:spid="_x0000_s1042" style="position:absolute;left:1064260;top:2972435;width:626745;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piRUwgAA&#10;ANsAAAAPAAAAZHJzL2Rvd25yZXYueG1sRI9Ba4NAFITvgf6H5QV6i2sMhNa4CaHQkmNi05wf7ouK&#10;7ltxV6P/vhso9DjMzDdMdphMK0bqXW1ZwTqKQRAXVtdcKrh+f67eQDiPrLG1TApmcnDYvywyTLV9&#10;8IXG3JciQNilqKDyvkuldEVFBl1kO+Lg3W1v0AfZl1L3+Ahw08okjrfSYM1hocKOPioqmnwwCs6z&#10;mb5GPZg5z5Pj+48935pNqdTrcjruQHia/H/4r33SCrZreH4JP0Du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mmJFTCAAAA2wAAAA8AAAAAAAAAAAAAAAAAlwIAAGRycy9kb3du&#10;cmV2LnhtbFBLBQYAAAAABAAEAPUAAACGAwAAAAA=&#10;" fillcolor="#93cddd" strokecolor="#31859c">
                  <v:shadow on="t" opacity="22937f" mv:blur="40000f" origin=",.5" offset="0,23000emu"/>
                  <v:textbox>
                    <w:txbxContent>
                      <w:p w14:paraId="028AFA78" w14:textId="77777777" w:rsidR="00CE796C" w:rsidRPr="00DD45ED" w:rsidRDefault="00CE796C" w:rsidP="00D45BAB">
                        <w:pPr>
                          <w:jc w:val="center"/>
                          <w:rPr>
                            <w:color w:val="215868" w:themeColor="accent5" w:themeShade="80"/>
                          </w:rPr>
                        </w:pPr>
                        <w:r w:rsidRPr="00DD45ED">
                          <w:rPr>
                            <w:color w:val="215868" w:themeColor="accent5" w:themeShade="80"/>
                          </w:rPr>
                          <w:t>JLS DR</w:t>
                        </w:r>
                      </w:p>
                    </w:txbxContent>
                  </v:textbox>
                </v:rect>
                <v:rect id="Rectangle 62" o:spid="_x0000_s1043" style="position:absolute;left:1697355;top:2972435;width:588645;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xpOUxAAA&#10;ANsAAAAPAAAAZHJzL2Rvd25yZXYueG1sRI9Ba8JAFITvBf/D8oTe6q4KIaSuUgRFCxZqRDw+sq9J&#10;avZtyK4m/ffdQsHjMDPfMIvVYBtxp87XjjVMJwoEceFMzaWGU755SUH4gGywcUwafsjDajl6WmBm&#10;XM+fdD+GUkQI+ww1VCG0mZS+qMiin7iWOHpfrrMYouxKaTrsI9w2cqZUIi3WHBcqbGldUXE93qyG&#10;7/ekP6T7LV2u6RnnHxeV5wel9fN4eHsFEWgIj/B/e2c0JDP4+xJ/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BsaTlMQAAADbAAAADwAAAAAAAAAAAAAAAACXAgAAZHJzL2Rv&#10;d25yZXYueG1sUEsFBgAAAAAEAAQA9QAAAIgDAAAAAA==&#10;" fillcolor="#93cddd" strokecolor="#31859c">
                  <v:textbox>
                    <w:txbxContent>
                      <w:p w14:paraId="218670BC" w14:textId="77777777" w:rsidR="00CE796C" w:rsidRPr="00DD45ED" w:rsidRDefault="00CE796C" w:rsidP="00D45BAB">
                        <w:pPr>
                          <w:jc w:val="center"/>
                          <w:rPr>
                            <w:color w:val="215868" w:themeColor="accent5" w:themeShade="80"/>
                          </w:rPr>
                        </w:pPr>
                        <w:r w:rsidRPr="00DD45ED">
                          <w:rPr>
                            <w:color w:val="215868" w:themeColor="accent5" w:themeShade="80"/>
                          </w:rPr>
                          <w:t>JLS OZ</w:t>
                        </w:r>
                      </w:p>
                    </w:txbxContent>
                  </v:textbox>
                </v:rect>
                <v:rect id="Rectangle 63" o:spid="_x0000_s1044" style="position:absolute;left:457200;top:3315335;width:9144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ijYPxAAA&#10;ANsAAAAPAAAAZHJzL2Rvd25yZXYueG1sRI9Ba8JAFITvBf/D8oTe6q4VQkhdpQhKLVioEfH4yL4m&#10;qdm3Ibua+O/dQsHjMDPfMPPlYBtxpc7XjjVMJwoEceFMzaWGQ75+SUH4gGywcUwabuRhuRg9zTEz&#10;rudvuu5DKSKEfYYaqhDaTEpfVGTRT1xLHL0f11kMUXalNB32EW4b+apUIi3WHBcqbGlVUXHeX6yG&#10;38+k36XbDZ3O6RFnXyeV5zul9fN4eH8DEWgIj/B/+8NoSGbw9yX+ALm4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aYo2D8QAAADbAAAADwAAAAAAAAAAAAAAAACXAgAAZHJzL2Rv&#10;d25yZXYueG1sUEsFBgAAAAAEAAQA9QAAAIgDAAAAAA==&#10;" fillcolor="#93cddd" strokecolor="#31859c">
                  <v:textbox>
                    <w:txbxContent>
                      <w:p w14:paraId="301BB0EB" w14:textId="77777777" w:rsidR="00CE796C" w:rsidRPr="00DD45ED" w:rsidRDefault="00CE796C" w:rsidP="00D45BAB">
                        <w:pPr>
                          <w:jc w:val="center"/>
                          <w:rPr>
                            <w:color w:val="215868" w:themeColor="accent5" w:themeShade="80"/>
                          </w:rPr>
                        </w:pPr>
                        <w:r w:rsidRPr="00DD45ED">
                          <w:rPr>
                            <w:color w:val="215868" w:themeColor="accent5" w:themeShade="80"/>
                          </w:rPr>
                          <w:t>KAŽUP</w:t>
                        </w:r>
                      </w:p>
                    </w:txbxContent>
                  </v:textbox>
                </v:rect>
                <v:rect id="Rectangle 64" o:spid="_x0000_s1045" style="position:absolute;left:1371600;top:3315335;width:9144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Y657xQAA&#10;ANsAAAAPAAAAZHJzL2Rvd25yZXYueG1sRI9Ba8JAFITvBf/D8oTe6q61hJC6iggWFSxopHh8ZF+T&#10;1OzbkN2a9N93CwWPw8x8w8yXg23EjTpfO9YwnSgQxIUzNZcazvnmKQXhA7LBxjFp+CEPy8XoYY6Z&#10;cT0f6XYKpYgQ9hlqqEJoMyl9UZFFP3EtcfQ+XWcxRNmV0nTYR7ht5LNSibRYc1yosKV1RcX19G01&#10;fO2T/pDu3uhyTT9w9n5ReX5QWj+Oh9UriEBDuIf/21ujIXmBvy/xB8jF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ZjrnvFAAAA2wAAAA8AAAAAAAAAAAAAAAAAlwIAAGRycy9k&#10;b3ducmV2LnhtbFBLBQYAAAAABAAEAPUAAACJAwAAAAA=&#10;" fillcolor="#93cddd" strokecolor="#31859c">
                  <v:textbox>
                    <w:txbxContent>
                      <w:p w14:paraId="22D87C26" w14:textId="77777777" w:rsidR="00CE796C" w:rsidRPr="00DD45ED" w:rsidRDefault="00CE796C" w:rsidP="00D45BAB">
                        <w:pPr>
                          <w:jc w:val="center"/>
                          <w:rPr>
                            <w:color w:val="215868" w:themeColor="accent5" w:themeShade="80"/>
                          </w:rPr>
                        </w:pPr>
                        <w:r w:rsidRPr="00DD45ED">
                          <w:rPr>
                            <w:color w:val="215868" w:themeColor="accent5" w:themeShade="80"/>
                          </w:rPr>
                          <w:t>RA KAŽUP</w:t>
                        </w:r>
                      </w:p>
                    </w:txbxContent>
                  </v:textbox>
                </v:rect>
              </v:group>
            </w:pict>
          </mc:Fallback>
        </mc:AlternateContent>
      </w:r>
      <w:r w:rsidR="00E03E8D">
        <w:t>Shematski prikaz provedbene strukture</w:t>
      </w:r>
      <w:bookmarkEnd w:id="107"/>
      <w:r w:rsidR="00E03E8D">
        <w:t xml:space="preserve"> </w:t>
      </w:r>
    </w:p>
    <w:p w14:paraId="02D00885" w14:textId="3BD1146D" w:rsidR="00D45BAB" w:rsidRDefault="00D45BAB" w:rsidP="00E03E8D"/>
    <w:p w14:paraId="1AD2E800" w14:textId="77777777" w:rsidR="00D45BAB" w:rsidRDefault="00D45BAB" w:rsidP="00E03E8D"/>
    <w:p w14:paraId="281B0A63" w14:textId="77777777" w:rsidR="00D45BAB" w:rsidRDefault="00D45BAB" w:rsidP="00E03E8D"/>
    <w:p w14:paraId="306A4F42" w14:textId="77777777" w:rsidR="00D45BAB" w:rsidRDefault="00D45BAB" w:rsidP="00E03E8D"/>
    <w:p w14:paraId="796F61E7" w14:textId="77777777" w:rsidR="00D45BAB" w:rsidRDefault="00D45BAB" w:rsidP="00E03E8D"/>
    <w:p w14:paraId="410BCD55" w14:textId="77777777" w:rsidR="00D45BAB" w:rsidRDefault="00D45BAB" w:rsidP="00E03E8D"/>
    <w:p w14:paraId="7CD11DCD" w14:textId="77777777" w:rsidR="00D45BAB" w:rsidRDefault="00D45BAB" w:rsidP="00E03E8D"/>
    <w:p w14:paraId="7D713F33" w14:textId="77777777" w:rsidR="00D45BAB" w:rsidRDefault="00D45BAB" w:rsidP="00E03E8D"/>
    <w:p w14:paraId="7C927FEF" w14:textId="77777777" w:rsidR="00D45BAB" w:rsidRDefault="00D45BAB" w:rsidP="00E03E8D"/>
    <w:p w14:paraId="1B42F022" w14:textId="77777777" w:rsidR="00D45BAB" w:rsidRDefault="00D45BAB" w:rsidP="00E03E8D"/>
    <w:p w14:paraId="72030903" w14:textId="77777777" w:rsidR="00D45BAB" w:rsidRDefault="00D45BAB" w:rsidP="00E03E8D"/>
    <w:p w14:paraId="797DAEEC" w14:textId="77777777" w:rsidR="00D45BAB" w:rsidRDefault="00D45BAB" w:rsidP="00E03E8D"/>
    <w:p w14:paraId="65AC973B" w14:textId="77777777" w:rsidR="00D45BAB" w:rsidRDefault="00D45BAB" w:rsidP="00E03E8D"/>
    <w:p w14:paraId="2932AA3F" w14:textId="77777777" w:rsidR="00D45BAB" w:rsidRDefault="00D45BAB" w:rsidP="00E03E8D"/>
    <w:p w14:paraId="77399D7A" w14:textId="77777777" w:rsidR="00BB1E88" w:rsidRPr="00E03E8D" w:rsidRDefault="00BB1E88" w:rsidP="00E03E8D"/>
    <w:p w14:paraId="23C8A065" w14:textId="461B076F" w:rsidR="00073AD7" w:rsidRPr="007552E0" w:rsidRDefault="00073AD7" w:rsidP="001A5F94">
      <w:pPr>
        <w:pStyle w:val="Heading2"/>
        <w:rPr>
          <w:noProof/>
        </w:rPr>
      </w:pPr>
      <w:bookmarkStart w:id="108" w:name="_Toc437390609"/>
      <w:r w:rsidRPr="007552E0">
        <w:rPr>
          <w:noProof/>
        </w:rPr>
        <w:lastRenderedPageBreak/>
        <w:t>Strateški projekti</w:t>
      </w:r>
      <w:bookmarkEnd w:id="108"/>
      <w:r w:rsidRPr="007552E0">
        <w:rPr>
          <w:noProof/>
        </w:rPr>
        <w:t xml:space="preserve"> </w:t>
      </w:r>
    </w:p>
    <w:p w14:paraId="455BCF8A" w14:textId="34B95ABC" w:rsidR="00D6307B" w:rsidRDefault="00943E4F" w:rsidP="0058603F">
      <w:r>
        <w:t>U sklopu</w:t>
      </w:r>
      <w:r w:rsidR="00C4655E" w:rsidRPr="00C4655E">
        <w:t xml:space="preserve"> izrade provedbenoga dijela Strategije razvoja </w:t>
      </w:r>
      <w:r>
        <w:t>Većeg urbanog područja Karlovac (</w:t>
      </w:r>
      <w:r w:rsidR="00B55150">
        <w:t>SRVUPKA</w:t>
      </w:r>
      <w:r>
        <w:t>)</w:t>
      </w:r>
      <w:r w:rsidR="00C4655E" w:rsidRPr="00C4655E">
        <w:t xml:space="preserve">, </w:t>
      </w:r>
      <w:r w:rsidR="000B56B5">
        <w:t>Partnersko vijeće i Radna skupina za izradu Strategije defin</w:t>
      </w:r>
      <w:r w:rsidR="0058603F">
        <w:t>irali su prioritetne projekte z</w:t>
      </w:r>
      <w:r w:rsidR="000B56B5">
        <w:t>a</w:t>
      </w:r>
      <w:r w:rsidR="0058603F">
        <w:t xml:space="preserve"> </w:t>
      </w:r>
      <w:r w:rsidR="000B56B5">
        <w:t>provedbu u narednom trogodišnjem razdoblju</w:t>
      </w:r>
      <w:r w:rsidR="0058603F">
        <w:t xml:space="preserve"> (Akcijski plan SRUP-a)</w:t>
      </w:r>
      <w:r w:rsidR="000B56B5">
        <w:t xml:space="preserve">. </w:t>
      </w:r>
      <w:r w:rsidR="0058603F">
        <w:t>Nadalje,  definirani su i strateški projekti, što s</w:t>
      </w:r>
      <w:r w:rsidR="000B56B5">
        <w:t xml:space="preserve">ukladno </w:t>
      </w:r>
      <w:r w:rsidR="00C4655E" w:rsidRPr="000B56B5">
        <w:rPr>
          <w:i/>
        </w:rPr>
        <w:t>Smjernica</w:t>
      </w:r>
      <w:r w:rsidR="000B56B5">
        <w:rPr>
          <w:i/>
        </w:rPr>
        <w:t>ma</w:t>
      </w:r>
      <w:r w:rsidR="00C4655E" w:rsidRPr="000B56B5">
        <w:rPr>
          <w:i/>
        </w:rPr>
        <w:t xml:space="preserve"> za izradu Strategije razvoja urbanih područja, praćenje njihove provedbe i vrednovanje</w:t>
      </w:r>
      <w:r w:rsidR="000B56B5">
        <w:t xml:space="preserve">, </w:t>
      </w:r>
      <w:r w:rsidR="0058603F">
        <w:t xml:space="preserve">podrazumijeva </w:t>
      </w:r>
      <w:r w:rsidR="0058603F" w:rsidRPr="0058603F">
        <w:rPr>
          <w:u w:val="single"/>
        </w:rPr>
        <w:t xml:space="preserve">listu 5 do 10 najvažnijih projekata koji se planiraju provesti u razdoblju </w:t>
      </w:r>
      <w:r w:rsidR="000B56B5" w:rsidRPr="0058603F">
        <w:rPr>
          <w:u w:val="single"/>
        </w:rPr>
        <w:t xml:space="preserve">  </w:t>
      </w:r>
      <w:r w:rsidR="0058603F" w:rsidRPr="0058603F">
        <w:rPr>
          <w:u w:val="single"/>
        </w:rPr>
        <w:t>provedbe SRUP-a</w:t>
      </w:r>
      <w:r w:rsidR="0058603F">
        <w:t xml:space="preserve">. </w:t>
      </w:r>
    </w:p>
    <w:p w14:paraId="50923552" w14:textId="72CB68E7" w:rsidR="0058603F" w:rsidRDefault="0058603F" w:rsidP="0058603F">
      <w:r>
        <w:t xml:space="preserve">Kako ovo po definiciji podrazumijeva dugoročne projekte, tj. one na kojima VUPKA temelji svoj razvoj u narednih 8 godina, lista strateških projekata </w:t>
      </w:r>
      <w:r w:rsidR="00A9758C">
        <w:t xml:space="preserve">pripremljena je na način da odražava ključne intervencije u svakom od 3 specifična cilja </w:t>
      </w:r>
      <w:r w:rsidR="00B55150">
        <w:t>SRVUPKA</w:t>
      </w:r>
      <w:r w:rsidR="00D6307B">
        <w:t xml:space="preserve">, što u pojedinim slučajevima znači da se strateški projekti provode kroz više od jedne faze / ugovora, </w:t>
      </w:r>
      <w:r>
        <w:t>kako je navedeno u tablicama niže.</w:t>
      </w:r>
    </w:p>
    <w:p w14:paraId="033ACC38" w14:textId="4BDAE44B" w:rsidR="00D6307B" w:rsidRPr="00D6307B" w:rsidRDefault="00D6307B" w:rsidP="0058603F">
      <w:pPr>
        <w:rPr>
          <w:b/>
          <w:color w:val="660066"/>
        </w:rPr>
      </w:pPr>
      <w:r>
        <w:t xml:space="preserve">Strateški projekti za ostvarenje </w:t>
      </w:r>
      <w:r w:rsidRPr="00D6307B">
        <w:rPr>
          <w:b/>
          <w:color w:val="660066"/>
        </w:rPr>
        <w:t>Specifičnog cilja 1. Revitalizirane urbane cjeline VUPKA:</w:t>
      </w:r>
    </w:p>
    <w:p w14:paraId="1EC4E0A8" w14:textId="28C0DE67" w:rsidR="00D6307B" w:rsidRDefault="00A00713" w:rsidP="00995472">
      <w:pPr>
        <w:pStyle w:val="ListParagraph"/>
        <w:numPr>
          <w:ilvl w:val="0"/>
          <w:numId w:val="44"/>
        </w:numPr>
      </w:pPr>
      <w:r>
        <w:t>Karlovačka Zvijezda</w:t>
      </w:r>
    </w:p>
    <w:p w14:paraId="5E6E8874" w14:textId="017D1D19" w:rsidR="00944A15" w:rsidRPr="00A00713" w:rsidRDefault="00953057" w:rsidP="00995472">
      <w:pPr>
        <w:pStyle w:val="ListParagraph"/>
        <w:numPr>
          <w:ilvl w:val="0"/>
          <w:numId w:val="44"/>
        </w:numPr>
      </w:pPr>
      <w:r>
        <w:t>Vojarna Lušč</w:t>
      </w:r>
      <w:r w:rsidR="00944A15">
        <w:t>ić</w:t>
      </w:r>
    </w:p>
    <w:p w14:paraId="20C58DB3" w14:textId="77777777" w:rsidR="00B33836" w:rsidRDefault="00A00713" w:rsidP="00995472">
      <w:pPr>
        <w:pStyle w:val="ListParagraph"/>
        <w:numPr>
          <w:ilvl w:val="0"/>
          <w:numId w:val="44"/>
        </w:numPr>
      </w:pPr>
      <w:r>
        <w:t>Ozalj, grad akvarela</w:t>
      </w:r>
    </w:p>
    <w:p w14:paraId="7C235608" w14:textId="55D9DD06" w:rsidR="00B33836" w:rsidRPr="00B33836" w:rsidRDefault="00B33836" w:rsidP="00995472">
      <w:pPr>
        <w:pStyle w:val="ListParagraph"/>
        <w:numPr>
          <w:ilvl w:val="0"/>
          <w:numId w:val="44"/>
        </w:numPr>
      </w:pPr>
      <w:r w:rsidRPr="00B33836">
        <w:t xml:space="preserve">Revitalizacija vrtnog grada </w:t>
      </w:r>
      <w:r w:rsidR="00B54887" w:rsidRPr="00B33836">
        <w:t>Duga Resa</w:t>
      </w:r>
    </w:p>
    <w:p w14:paraId="0F6F68B9" w14:textId="72A87BD2" w:rsidR="00B54887" w:rsidRPr="00B33836" w:rsidRDefault="00B54887" w:rsidP="00B33836">
      <w:pPr>
        <w:rPr>
          <w:b/>
          <w:color w:val="943634" w:themeColor="accent2" w:themeShade="BF"/>
        </w:rPr>
      </w:pPr>
      <w:r>
        <w:t xml:space="preserve">Strateški projekti za ostvarenje </w:t>
      </w:r>
      <w:r w:rsidRPr="00B33836">
        <w:rPr>
          <w:b/>
          <w:color w:val="943634" w:themeColor="accent2" w:themeShade="BF"/>
        </w:rPr>
        <w:t>Specifičnog cilja 2.</w:t>
      </w:r>
      <w:r>
        <w:t xml:space="preserve"> </w:t>
      </w:r>
      <w:r w:rsidRPr="00B33836">
        <w:rPr>
          <w:b/>
          <w:color w:val="943634" w:themeColor="accent2" w:themeShade="BF"/>
        </w:rPr>
        <w:t>Velika infrastruktura za održivi razvoj:</w:t>
      </w:r>
    </w:p>
    <w:p w14:paraId="3EF165A7" w14:textId="279E96DC" w:rsidR="00B54887" w:rsidRPr="00B54887" w:rsidRDefault="00B54887" w:rsidP="00995472">
      <w:pPr>
        <w:pStyle w:val="ListParagraph"/>
        <w:numPr>
          <w:ilvl w:val="0"/>
          <w:numId w:val="44"/>
        </w:numPr>
      </w:pPr>
      <w:r w:rsidRPr="00B54887">
        <w:t>Toplinarstvo i korištenje obnovljivih izvora energije</w:t>
      </w:r>
    </w:p>
    <w:p w14:paraId="0A0E3697" w14:textId="06E035EB" w:rsidR="00B54887" w:rsidRDefault="00B54887" w:rsidP="00995472">
      <w:pPr>
        <w:pStyle w:val="ListParagraph"/>
        <w:numPr>
          <w:ilvl w:val="0"/>
          <w:numId w:val="44"/>
        </w:numPr>
      </w:pPr>
      <w:r w:rsidRPr="00B54887">
        <w:t>Integrirani projekt mobilnosti VUPKA</w:t>
      </w:r>
    </w:p>
    <w:p w14:paraId="31149708" w14:textId="404E051F" w:rsidR="009F6171" w:rsidRPr="00B54887" w:rsidRDefault="009F6171" w:rsidP="00995472">
      <w:pPr>
        <w:pStyle w:val="ListParagraph"/>
        <w:numPr>
          <w:ilvl w:val="0"/>
          <w:numId w:val="44"/>
        </w:numPr>
      </w:pPr>
      <w:r>
        <w:t>Aglomeracija Karlovac – Duga Resa</w:t>
      </w:r>
    </w:p>
    <w:p w14:paraId="11504445" w14:textId="77777777" w:rsidR="00B54887" w:rsidRDefault="00B54887" w:rsidP="00B54887">
      <w:pPr>
        <w:rPr>
          <w:b/>
          <w:color w:val="943634" w:themeColor="accent2" w:themeShade="BF"/>
        </w:rPr>
      </w:pPr>
      <w:r>
        <w:t xml:space="preserve">Strateški projekti za ostvarenje </w:t>
      </w:r>
      <w:r w:rsidRPr="00D6307B">
        <w:rPr>
          <w:b/>
          <w:color w:val="31849B" w:themeColor="accent5" w:themeShade="BF"/>
        </w:rPr>
        <w:t xml:space="preserve">Specifičnog cilja 3. </w:t>
      </w:r>
      <w:r w:rsidRPr="00464F70">
        <w:rPr>
          <w:b/>
          <w:color w:val="31849B" w:themeColor="accent5" w:themeShade="BF"/>
        </w:rPr>
        <w:t>Konkurentno i moderno gospodarstvo VUPKA</w:t>
      </w:r>
      <w:r>
        <w:rPr>
          <w:b/>
          <w:color w:val="31849B" w:themeColor="accent5" w:themeShade="BF"/>
        </w:rPr>
        <w:t>:</w:t>
      </w:r>
    </w:p>
    <w:p w14:paraId="4F57C0F0" w14:textId="402FFDF7" w:rsidR="00B54887" w:rsidRDefault="00B54887" w:rsidP="00995472">
      <w:pPr>
        <w:pStyle w:val="ListParagraph"/>
        <w:numPr>
          <w:ilvl w:val="0"/>
          <w:numId w:val="44"/>
        </w:numPr>
      </w:pPr>
      <w:r>
        <w:t xml:space="preserve">Razvoj </w:t>
      </w:r>
      <w:r w:rsidR="006D16DB">
        <w:t>ljudskih kapaciteta i obrazovanja</w:t>
      </w:r>
    </w:p>
    <w:p w14:paraId="7491A807" w14:textId="22C189B6" w:rsidR="00B54887" w:rsidRPr="00A766AB" w:rsidRDefault="00B54887" w:rsidP="00995472">
      <w:pPr>
        <w:pStyle w:val="ListParagraph"/>
        <w:numPr>
          <w:ilvl w:val="0"/>
          <w:numId w:val="44"/>
        </w:numPr>
      </w:pPr>
      <w:r>
        <w:t xml:space="preserve">Eko </w:t>
      </w:r>
      <w:r w:rsidR="006D16DB">
        <w:t>turizam na rijekama VUPKA</w:t>
      </w:r>
    </w:p>
    <w:p w14:paraId="12E80384" w14:textId="77777777" w:rsidR="00B54887" w:rsidRPr="00C4655E" w:rsidRDefault="00B54887" w:rsidP="00B54887"/>
    <w:p w14:paraId="204BA6F2" w14:textId="71A62886" w:rsidR="00B54887" w:rsidRPr="00B54887" w:rsidRDefault="00B54887" w:rsidP="0058603F">
      <w:pPr>
        <w:rPr>
          <w:b/>
          <w:color w:val="660066"/>
        </w:rPr>
      </w:pPr>
      <w:r>
        <w:t xml:space="preserve">Strateški projekti za ostvarenje </w:t>
      </w:r>
      <w:r w:rsidRPr="00D6307B">
        <w:rPr>
          <w:b/>
          <w:color w:val="660066"/>
        </w:rPr>
        <w:t>Specifičnog cilja 1. Revitalizirane urbane cjeline VUPKA:</w:t>
      </w:r>
    </w:p>
    <w:tbl>
      <w:tblPr>
        <w:tblStyle w:val="TableGrid"/>
        <w:tblW w:w="0" w:type="auto"/>
        <w:tblBorders>
          <w:insideH w:val="dotted" w:sz="4" w:space="0" w:color="auto"/>
          <w:insideV w:val="none" w:sz="0" w:space="0" w:color="auto"/>
        </w:tblBorders>
        <w:tblLook w:val="04A0" w:firstRow="1" w:lastRow="0" w:firstColumn="1" w:lastColumn="0" w:noHBand="0" w:noVBand="1"/>
      </w:tblPr>
      <w:tblGrid>
        <w:gridCol w:w="2235"/>
        <w:gridCol w:w="7053"/>
      </w:tblGrid>
      <w:tr w:rsidR="0058603F" w14:paraId="1C43722E" w14:textId="77777777" w:rsidTr="0058603F">
        <w:tc>
          <w:tcPr>
            <w:tcW w:w="2235" w:type="dxa"/>
            <w:shd w:val="clear" w:color="auto" w:fill="E5DFEC" w:themeFill="accent4" w:themeFillTint="33"/>
          </w:tcPr>
          <w:p w14:paraId="49E62D0B" w14:textId="0AB9CCFC" w:rsidR="0058603F" w:rsidRPr="0058603F" w:rsidRDefault="00D6307B" w:rsidP="00C4655E">
            <w:pPr>
              <w:rPr>
                <w:b/>
                <w:sz w:val="20"/>
                <w:szCs w:val="20"/>
              </w:rPr>
            </w:pPr>
            <w:r>
              <w:rPr>
                <w:b/>
                <w:sz w:val="20"/>
                <w:szCs w:val="20"/>
              </w:rPr>
              <w:t>Rbr.</w:t>
            </w:r>
          </w:p>
        </w:tc>
        <w:tc>
          <w:tcPr>
            <w:tcW w:w="7053" w:type="dxa"/>
          </w:tcPr>
          <w:p w14:paraId="1E5ACBA6" w14:textId="3D820AC6" w:rsidR="00D6307B" w:rsidRPr="00D6307B" w:rsidRDefault="00D6307B" w:rsidP="00C4655E">
            <w:pPr>
              <w:rPr>
                <w:b/>
                <w:color w:val="660066"/>
                <w:sz w:val="28"/>
                <w:szCs w:val="28"/>
              </w:rPr>
            </w:pPr>
            <w:r w:rsidRPr="00D6307B">
              <w:rPr>
                <w:b/>
                <w:color w:val="660066"/>
                <w:sz w:val="28"/>
                <w:szCs w:val="28"/>
              </w:rPr>
              <w:t>1</w:t>
            </w:r>
          </w:p>
        </w:tc>
      </w:tr>
      <w:tr w:rsidR="0058603F" w14:paraId="7CE95E76" w14:textId="77777777" w:rsidTr="0058603F">
        <w:tc>
          <w:tcPr>
            <w:tcW w:w="2235" w:type="dxa"/>
            <w:shd w:val="clear" w:color="auto" w:fill="E5DFEC" w:themeFill="accent4" w:themeFillTint="33"/>
          </w:tcPr>
          <w:p w14:paraId="627FFE24" w14:textId="75FE72AB" w:rsidR="0058603F" w:rsidRPr="0058603F" w:rsidRDefault="0058603F" w:rsidP="00C4655E">
            <w:pPr>
              <w:rPr>
                <w:b/>
                <w:sz w:val="20"/>
                <w:szCs w:val="20"/>
              </w:rPr>
            </w:pPr>
            <w:r w:rsidRPr="0058603F">
              <w:rPr>
                <w:b/>
                <w:sz w:val="20"/>
                <w:szCs w:val="20"/>
              </w:rPr>
              <w:t>Prioritet:</w:t>
            </w:r>
          </w:p>
        </w:tc>
        <w:tc>
          <w:tcPr>
            <w:tcW w:w="7053" w:type="dxa"/>
          </w:tcPr>
          <w:p w14:paraId="3E416C6A" w14:textId="77777777" w:rsidR="00252F2E" w:rsidRPr="00252F2E" w:rsidRDefault="00252F2E" w:rsidP="00252F2E">
            <w:pPr>
              <w:rPr>
                <w:sz w:val="20"/>
                <w:szCs w:val="20"/>
              </w:rPr>
            </w:pPr>
            <w:r w:rsidRPr="00252F2E">
              <w:rPr>
                <w:sz w:val="20"/>
                <w:szCs w:val="20"/>
              </w:rPr>
              <w:t>SC1.P1 Obnova urbanih gradskih jezgri</w:t>
            </w:r>
          </w:p>
          <w:p w14:paraId="63458417" w14:textId="7778A370" w:rsidR="0058603F" w:rsidRPr="00252F2E" w:rsidRDefault="00252F2E" w:rsidP="00C4655E">
            <w:pPr>
              <w:rPr>
                <w:sz w:val="20"/>
                <w:szCs w:val="20"/>
              </w:rPr>
            </w:pPr>
            <w:r w:rsidRPr="00252F2E">
              <w:rPr>
                <w:sz w:val="20"/>
                <w:szCs w:val="20"/>
              </w:rPr>
              <w:t>SC1.P2 Razvoj sadržaja za revitalizaciju gospodarskog i društvenog života</w:t>
            </w:r>
          </w:p>
        </w:tc>
      </w:tr>
      <w:tr w:rsidR="0058603F" w14:paraId="768CDE3C" w14:textId="77777777" w:rsidTr="0058603F">
        <w:tc>
          <w:tcPr>
            <w:tcW w:w="2235" w:type="dxa"/>
            <w:shd w:val="clear" w:color="auto" w:fill="E5DFEC" w:themeFill="accent4" w:themeFillTint="33"/>
          </w:tcPr>
          <w:p w14:paraId="1FD9DB97" w14:textId="22BC967E" w:rsidR="0058603F" w:rsidRPr="0058603F" w:rsidRDefault="0058603F" w:rsidP="00C4655E">
            <w:pPr>
              <w:rPr>
                <w:b/>
                <w:sz w:val="20"/>
                <w:szCs w:val="20"/>
              </w:rPr>
            </w:pPr>
            <w:r w:rsidRPr="0058603F">
              <w:rPr>
                <w:b/>
                <w:sz w:val="20"/>
                <w:szCs w:val="20"/>
              </w:rPr>
              <w:t>Mjera:</w:t>
            </w:r>
          </w:p>
        </w:tc>
        <w:tc>
          <w:tcPr>
            <w:tcW w:w="7053" w:type="dxa"/>
          </w:tcPr>
          <w:p w14:paraId="60FFF1AD" w14:textId="77777777" w:rsidR="00A93EB0" w:rsidRPr="00A93EB0" w:rsidRDefault="00A93EB0" w:rsidP="00A93EB0">
            <w:pPr>
              <w:rPr>
                <w:sz w:val="20"/>
                <w:szCs w:val="20"/>
              </w:rPr>
            </w:pPr>
            <w:r w:rsidRPr="00A93EB0">
              <w:rPr>
                <w:sz w:val="20"/>
                <w:szCs w:val="20"/>
              </w:rPr>
              <w:t xml:space="preserve">SC1.P1.1 Uređenje javnih prostora i komunalna infrastruktura </w:t>
            </w:r>
          </w:p>
          <w:p w14:paraId="03C9FA1D" w14:textId="4BF2DFCE" w:rsidR="0058603F" w:rsidRPr="00A93EB0" w:rsidRDefault="00A93EB0" w:rsidP="00C4655E">
            <w:pPr>
              <w:rPr>
                <w:sz w:val="20"/>
                <w:szCs w:val="20"/>
              </w:rPr>
            </w:pPr>
            <w:r w:rsidRPr="00A93EB0">
              <w:rPr>
                <w:sz w:val="20"/>
                <w:szCs w:val="20"/>
              </w:rPr>
              <w:t xml:space="preserve">SC1 P2.1 Kulturna baština kao resurs za razvoj turizma i društvenog života </w:t>
            </w:r>
          </w:p>
        </w:tc>
      </w:tr>
      <w:tr w:rsidR="0058603F" w14:paraId="5EC0BA23" w14:textId="77777777" w:rsidTr="00A9758C">
        <w:tc>
          <w:tcPr>
            <w:tcW w:w="2235" w:type="dxa"/>
            <w:shd w:val="clear" w:color="auto" w:fill="E5DFEC" w:themeFill="accent4" w:themeFillTint="33"/>
          </w:tcPr>
          <w:p w14:paraId="15368A60" w14:textId="537FBDDA" w:rsidR="0058603F" w:rsidRPr="0058603F" w:rsidRDefault="0058603F" w:rsidP="00C4655E">
            <w:pPr>
              <w:rPr>
                <w:b/>
                <w:sz w:val="20"/>
                <w:szCs w:val="20"/>
              </w:rPr>
            </w:pPr>
            <w:r w:rsidRPr="0058603F">
              <w:rPr>
                <w:b/>
                <w:sz w:val="20"/>
                <w:szCs w:val="20"/>
              </w:rPr>
              <w:t>Naziv projekta:</w:t>
            </w:r>
          </w:p>
        </w:tc>
        <w:tc>
          <w:tcPr>
            <w:tcW w:w="7053" w:type="dxa"/>
            <w:shd w:val="clear" w:color="auto" w:fill="E5DFEC" w:themeFill="accent4" w:themeFillTint="33"/>
          </w:tcPr>
          <w:p w14:paraId="686751F9" w14:textId="058FEA2B" w:rsidR="0058603F" w:rsidRPr="00A93EB0" w:rsidRDefault="00A93EB0" w:rsidP="00A93EB0">
            <w:pPr>
              <w:rPr>
                <w:b/>
              </w:rPr>
            </w:pPr>
            <w:r w:rsidRPr="00A93EB0">
              <w:rPr>
                <w:b/>
              </w:rPr>
              <w:t>Karlovačka Zvijezda</w:t>
            </w:r>
          </w:p>
        </w:tc>
      </w:tr>
      <w:tr w:rsidR="0058603F" w14:paraId="67653E5E" w14:textId="77777777" w:rsidTr="0058603F">
        <w:tc>
          <w:tcPr>
            <w:tcW w:w="2235" w:type="dxa"/>
            <w:shd w:val="clear" w:color="auto" w:fill="E5DFEC" w:themeFill="accent4" w:themeFillTint="33"/>
          </w:tcPr>
          <w:p w14:paraId="22B1B426" w14:textId="12FB7337" w:rsidR="0058603F" w:rsidRPr="0058603F" w:rsidRDefault="0058603F" w:rsidP="00C4655E">
            <w:pPr>
              <w:rPr>
                <w:b/>
                <w:sz w:val="20"/>
                <w:szCs w:val="20"/>
              </w:rPr>
            </w:pPr>
            <w:r w:rsidRPr="0058603F">
              <w:rPr>
                <w:b/>
                <w:sz w:val="20"/>
                <w:szCs w:val="20"/>
              </w:rPr>
              <w:t>Nositelj i partneri:</w:t>
            </w:r>
          </w:p>
        </w:tc>
        <w:tc>
          <w:tcPr>
            <w:tcW w:w="7053" w:type="dxa"/>
          </w:tcPr>
          <w:p w14:paraId="1658CAB5" w14:textId="1A6AA2CC" w:rsidR="0058603F" w:rsidRPr="0058603F" w:rsidRDefault="00A93EB0" w:rsidP="00C4655E">
            <w:pPr>
              <w:rPr>
                <w:sz w:val="20"/>
                <w:szCs w:val="20"/>
              </w:rPr>
            </w:pPr>
            <w:r>
              <w:rPr>
                <w:sz w:val="20"/>
                <w:szCs w:val="20"/>
              </w:rPr>
              <w:t>Grad Karlovac</w:t>
            </w:r>
          </w:p>
        </w:tc>
      </w:tr>
      <w:tr w:rsidR="0058603F" w14:paraId="67587695" w14:textId="77777777" w:rsidTr="0058603F">
        <w:tc>
          <w:tcPr>
            <w:tcW w:w="2235" w:type="dxa"/>
            <w:shd w:val="clear" w:color="auto" w:fill="E5DFEC" w:themeFill="accent4" w:themeFillTint="33"/>
          </w:tcPr>
          <w:p w14:paraId="31ACCC7C" w14:textId="30996009" w:rsidR="0058603F" w:rsidRPr="0058603F" w:rsidRDefault="0058603F" w:rsidP="00C4655E">
            <w:pPr>
              <w:rPr>
                <w:b/>
                <w:sz w:val="20"/>
                <w:szCs w:val="20"/>
              </w:rPr>
            </w:pPr>
            <w:r w:rsidRPr="0058603F">
              <w:rPr>
                <w:b/>
                <w:sz w:val="20"/>
                <w:szCs w:val="20"/>
              </w:rPr>
              <w:t>Cilj projekta:</w:t>
            </w:r>
          </w:p>
        </w:tc>
        <w:tc>
          <w:tcPr>
            <w:tcW w:w="7053" w:type="dxa"/>
          </w:tcPr>
          <w:p w14:paraId="4D2D8BC9" w14:textId="44F9FE3A" w:rsidR="0058603F" w:rsidRPr="0058603F" w:rsidRDefault="00A93EB0" w:rsidP="00A93EB0">
            <w:pPr>
              <w:rPr>
                <w:sz w:val="20"/>
                <w:szCs w:val="20"/>
              </w:rPr>
            </w:pPr>
            <w:r>
              <w:rPr>
                <w:sz w:val="20"/>
                <w:szCs w:val="20"/>
              </w:rPr>
              <w:t>Obnova osnovne infrastrukture i obnova nekoliko vrijednih objekata u Zvijezdi, stavljanjem u funkciju očuvanja i promocije kulturne baštine</w:t>
            </w:r>
            <w:r w:rsidR="00E03A89">
              <w:rPr>
                <w:sz w:val="20"/>
                <w:szCs w:val="20"/>
              </w:rPr>
              <w:t xml:space="preserve"> u funkciji društvenog i gospodarskog prosperiteta</w:t>
            </w:r>
            <w:r>
              <w:rPr>
                <w:sz w:val="20"/>
                <w:szCs w:val="20"/>
              </w:rPr>
              <w:t>.</w:t>
            </w:r>
          </w:p>
        </w:tc>
      </w:tr>
      <w:tr w:rsidR="0058603F" w14:paraId="5156E704" w14:textId="77777777" w:rsidTr="0058603F">
        <w:tc>
          <w:tcPr>
            <w:tcW w:w="2235" w:type="dxa"/>
            <w:shd w:val="clear" w:color="auto" w:fill="E5DFEC" w:themeFill="accent4" w:themeFillTint="33"/>
          </w:tcPr>
          <w:p w14:paraId="4F246AC2" w14:textId="0DE95EF8" w:rsidR="0058603F" w:rsidRPr="0058603F" w:rsidRDefault="0058603F" w:rsidP="00C4655E">
            <w:pPr>
              <w:rPr>
                <w:b/>
                <w:sz w:val="20"/>
                <w:szCs w:val="20"/>
              </w:rPr>
            </w:pPr>
            <w:r w:rsidRPr="0058603F">
              <w:rPr>
                <w:b/>
                <w:sz w:val="20"/>
                <w:szCs w:val="20"/>
              </w:rPr>
              <w:t>Sažetak aktivnosti:</w:t>
            </w:r>
          </w:p>
        </w:tc>
        <w:tc>
          <w:tcPr>
            <w:tcW w:w="7053" w:type="dxa"/>
          </w:tcPr>
          <w:p w14:paraId="1AFB0390" w14:textId="32F78920" w:rsidR="0058603F" w:rsidRDefault="00E14AFB" w:rsidP="00C4655E">
            <w:pPr>
              <w:rPr>
                <w:sz w:val="20"/>
                <w:szCs w:val="20"/>
              </w:rPr>
            </w:pPr>
            <w:r>
              <w:rPr>
                <w:sz w:val="20"/>
                <w:szCs w:val="20"/>
              </w:rPr>
              <w:t>POD-PROJEKTI</w:t>
            </w:r>
            <w:r w:rsidR="00822268">
              <w:rPr>
                <w:sz w:val="20"/>
                <w:szCs w:val="20"/>
              </w:rPr>
              <w:t xml:space="preserve"> </w:t>
            </w:r>
            <w:r w:rsidR="00995472">
              <w:rPr>
                <w:sz w:val="20"/>
                <w:szCs w:val="20"/>
              </w:rPr>
              <w:t xml:space="preserve">(navode se samo oni </w:t>
            </w:r>
            <w:r w:rsidR="00822268">
              <w:rPr>
                <w:sz w:val="20"/>
                <w:szCs w:val="20"/>
              </w:rPr>
              <w:t>s ishođenim dozvolama za građenje/glavnim projektima pred završetkom</w:t>
            </w:r>
            <w:r w:rsidR="00995472">
              <w:rPr>
                <w:sz w:val="20"/>
                <w:szCs w:val="20"/>
              </w:rPr>
              <w:t xml:space="preserve">, tj. </w:t>
            </w:r>
            <w:r>
              <w:rPr>
                <w:sz w:val="20"/>
                <w:szCs w:val="20"/>
              </w:rPr>
              <w:t>kategorija I</w:t>
            </w:r>
            <w:r w:rsidR="00822268">
              <w:rPr>
                <w:sz w:val="20"/>
                <w:szCs w:val="20"/>
              </w:rPr>
              <w:t>):</w:t>
            </w:r>
          </w:p>
          <w:p w14:paraId="1616BD08" w14:textId="66703342" w:rsidR="00A766AB" w:rsidRPr="00A766AB" w:rsidRDefault="00A766AB" w:rsidP="00F950C3">
            <w:pPr>
              <w:pStyle w:val="ListParagraph"/>
              <w:numPr>
                <w:ilvl w:val="0"/>
                <w:numId w:val="19"/>
              </w:numPr>
              <w:tabs>
                <w:tab w:val="left" w:pos="3613"/>
              </w:tabs>
              <w:spacing w:before="0" w:after="0"/>
              <w:jc w:val="left"/>
              <w:rPr>
                <w:rFonts w:eastAsia="Times New Roman" w:cs="Times New Roman"/>
                <w:color w:val="000000"/>
                <w:sz w:val="20"/>
                <w:szCs w:val="20"/>
              </w:rPr>
            </w:pPr>
            <w:r w:rsidRPr="00A766AB">
              <w:rPr>
                <w:rFonts w:eastAsia="Times New Roman" w:cs="Times New Roman"/>
                <w:color w:val="000000"/>
                <w:sz w:val="20"/>
                <w:szCs w:val="20"/>
              </w:rPr>
              <w:t>Obnova infrastrukture u povijesnoj urbanističkoj cjelini Zvijezdi</w:t>
            </w:r>
            <w:r>
              <w:rPr>
                <w:rFonts w:eastAsia="Times New Roman" w:cs="Times New Roman"/>
                <w:color w:val="000000"/>
                <w:sz w:val="20"/>
                <w:szCs w:val="20"/>
              </w:rPr>
              <w:t xml:space="preserve"> (</w:t>
            </w:r>
            <w:r w:rsidRPr="00A766AB">
              <w:rPr>
                <w:rFonts w:eastAsia="Times New Roman" w:cs="Times New Roman"/>
                <w:color w:val="000000"/>
                <w:sz w:val="20"/>
                <w:szCs w:val="20"/>
              </w:rPr>
              <w:t>V&amp;O, promet, plin struja, toplana</w:t>
            </w:r>
            <w:r>
              <w:rPr>
                <w:rFonts w:eastAsia="Times New Roman" w:cs="Times New Roman"/>
                <w:color w:val="000000"/>
                <w:sz w:val="20"/>
                <w:szCs w:val="20"/>
              </w:rPr>
              <w:t>)</w:t>
            </w:r>
          </w:p>
          <w:p w14:paraId="015E868B" w14:textId="140C1541" w:rsidR="00A766AB" w:rsidRPr="00A766AB" w:rsidRDefault="00A766AB" w:rsidP="00F950C3">
            <w:pPr>
              <w:pStyle w:val="ListParagraph"/>
              <w:numPr>
                <w:ilvl w:val="0"/>
                <w:numId w:val="19"/>
              </w:numPr>
              <w:tabs>
                <w:tab w:val="left" w:pos="3613"/>
              </w:tabs>
              <w:spacing w:before="0" w:after="0"/>
              <w:jc w:val="left"/>
              <w:rPr>
                <w:rFonts w:eastAsia="Times New Roman" w:cs="Times New Roman"/>
                <w:color w:val="000000"/>
                <w:sz w:val="20"/>
                <w:szCs w:val="20"/>
              </w:rPr>
            </w:pPr>
            <w:r w:rsidRPr="00A766AB">
              <w:rPr>
                <w:rFonts w:eastAsia="Times New Roman" w:cs="Times New Roman"/>
                <w:color w:val="000000"/>
                <w:sz w:val="20"/>
                <w:szCs w:val="20"/>
              </w:rPr>
              <w:lastRenderedPageBreak/>
              <w:t xml:space="preserve">Trg Bana Josipa Jelačića </w:t>
            </w:r>
            <w:r>
              <w:rPr>
                <w:rFonts w:eastAsia="Times New Roman" w:cs="Times New Roman"/>
                <w:color w:val="000000"/>
                <w:sz w:val="20"/>
                <w:szCs w:val="20"/>
              </w:rPr>
              <w:t>(u</w:t>
            </w:r>
            <w:r w:rsidRPr="00A766AB">
              <w:rPr>
                <w:rFonts w:eastAsia="Times New Roman" w:cs="Times New Roman"/>
                <w:color w:val="000000"/>
                <w:sz w:val="20"/>
                <w:szCs w:val="20"/>
              </w:rPr>
              <w:t>ređenje središnjeg gradskog trga Zvijezde</w:t>
            </w:r>
            <w:r>
              <w:rPr>
                <w:rFonts w:eastAsia="Times New Roman" w:cs="Times New Roman"/>
                <w:color w:val="000000"/>
                <w:sz w:val="20"/>
                <w:szCs w:val="20"/>
              </w:rPr>
              <w:t>)</w:t>
            </w:r>
          </w:p>
          <w:p w14:paraId="225C4389" w14:textId="2E9807C0" w:rsidR="00A766AB" w:rsidRPr="00A766AB" w:rsidRDefault="00A766AB" w:rsidP="00F950C3">
            <w:pPr>
              <w:pStyle w:val="ListParagraph"/>
              <w:numPr>
                <w:ilvl w:val="0"/>
                <w:numId w:val="19"/>
              </w:numPr>
              <w:tabs>
                <w:tab w:val="left" w:pos="3613"/>
              </w:tabs>
              <w:spacing w:before="0" w:after="0"/>
              <w:jc w:val="left"/>
              <w:rPr>
                <w:rFonts w:eastAsia="Times New Roman" w:cs="Times New Roman"/>
                <w:color w:val="000000"/>
                <w:sz w:val="20"/>
                <w:szCs w:val="20"/>
              </w:rPr>
            </w:pPr>
            <w:r w:rsidRPr="00A766AB">
              <w:rPr>
                <w:rFonts w:eastAsia="Times New Roman" w:cs="Times New Roman"/>
                <w:color w:val="000000"/>
                <w:sz w:val="20"/>
                <w:szCs w:val="20"/>
              </w:rPr>
              <w:t>Zgrada KAMOD/Karlovački kulturni triangle</w:t>
            </w:r>
            <w:r w:rsidRPr="00A766AB">
              <w:rPr>
                <w:rFonts w:eastAsia="Times New Roman" w:cs="Times New Roman"/>
                <w:color w:val="000000"/>
                <w:sz w:val="20"/>
                <w:szCs w:val="20"/>
              </w:rPr>
              <w:tab/>
            </w:r>
            <w:r>
              <w:rPr>
                <w:rFonts w:eastAsia="Times New Roman" w:cs="Times New Roman"/>
                <w:color w:val="000000"/>
                <w:sz w:val="20"/>
                <w:szCs w:val="20"/>
              </w:rPr>
              <w:t>(u</w:t>
            </w:r>
            <w:r w:rsidRPr="00A766AB">
              <w:rPr>
                <w:rFonts w:eastAsia="Times New Roman" w:cs="Times New Roman"/>
                <w:color w:val="000000"/>
                <w:sz w:val="20"/>
                <w:szCs w:val="20"/>
              </w:rPr>
              <w:t>ređenje muzejsko galerijskog prostora</w:t>
            </w:r>
            <w:r>
              <w:rPr>
                <w:rFonts w:eastAsia="Times New Roman" w:cs="Times New Roman"/>
                <w:color w:val="000000"/>
                <w:sz w:val="20"/>
                <w:szCs w:val="20"/>
              </w:rPr>
              <w:t>)</w:t>
            </w:r>
          </w:p>
          <w:p w14:paraId="4897ABB9" w14:textId="43195211" w:rsidR="00A766AB" w:rsidRPr="00A766AB" w:rsidRDefault="00A766AB" w:rsidP="00F950C3">
            <w:pPr>
              <w:pStyle w:val="ListParagraph"/>
              <w:numPr>
                <w:ilvl w:val="0"/>
                <w:numId w:val="19"/>
              </w:numPr>
              <w:tabs>
                <w:tab w:val="left" w:pos="3613"/>
              </w:tabs>
              <w:spacing w:before="0" w:after="0"/>
              <w:jc w:val="left"/>
              <w:rPr>
                <w:rFonts w:eastAsia="Times New Roman" w:cs="Times New Roman"/>
                <w:color w:val="000000"/>
                <w:sz w:val="20"/>
                <w:szCs w:val="20"/>
              </w:rPr>
            </w:pPr>
            <w:r w:rsidRPr="00A766AB">
              <w:rPr>
                <w:rFonts w:eastAsia="Times New Roman" w:cs="Times New Roman"/>
                <w:color w:val="000000"/>
                <w:sz w:val="20"/>
                <w:szCs w:val="20"/>
              </w:rPr>
              <w:t>Lončareva kuća</w:t>
            </w:r>
            <w:r>
              <w:rPr>
                <w:rFonts w:eastAsia="Times New Roman" w:cs="Times New Roman"/>
                <w:color w:val="000000"/>
                <w:sz w:val="20"/>
                <w:szCs w:val="20"/>
              </w:rPr>
              <w:t xml:space="preserve"> (</w:t>
            </w:r>
            <w:r w:rsidRPr="00A766AB">
              <w:rPr>
                <w:rFonts w:eastAsia="Times New Roman" w:cs="Times New Roman"/>
                <w:color w:val="000000"/>
                <w:sz w:val="20"/>
                <w:szCs w:val="20"/>
              </w:rPr>
              <w:t>sanacija i obnova zaštićenog objekta</w:t>
            </w:r>
            <w:r>
              <w:rPr>
                <w:rFonts w:eastAsia="Times New Roman" w:cs="Times New Roman"/>
                <w:color w:val="000000"/>
                <w:sz w:val="20"/>
                <w:szCs w:val="20"/>
              </w:rPr>
              <w:t>)</w:t>
            </w:r>
          </w:p>
          <w:p w14:paraId="3476959C" w14:textId="77777777" w:rsidR="00822268" w:rsidRDefault="00A766AB" w:rsidP="00F950C3">
            <w:pPr>
              <w:pStyle w:val="ListParagraph"/>
              <w:numPr>
                <w:ilvl w:val="0"/>
                <w:numId w:val="19"/>
              </w:numPr>
              <w:tabs>
                <w:tab w:val="left" w:pos="3613"/>
              </w:tabs>
              <w:spacing w:before="0" w:after="0"/>
              <w:jc w:val="left"/>
              <w:rPr>
                <w:rFonts w:eastAsia="Times New Roman" w:cs="Times New Roman"/>
                <w:color w:val="000000"/>
                <w:sz w:val="20"/>
                <w:szCs w:val="20"/>
              </w:rPr>
            </w:pPr>
            <w:r w:rsidRPr="00A766AB">
              <w:rPr>
                <w:rFonts w:eastAsia="Times New Roman" w:cs="Times New Roman"/>
                <w:color w:val="000000"/>
                <w:sz w:val="20"/>
                <w:szCs w:val="20"/>
              </w:rPr>
              <w:t>Uređenje Kina Edison</w:t>
            </w:r>
            <w:r>
              <w:rPr>
                <w:rFonts w:eastAsia="Times New Roman" w:cs="Times New Roman"/>
                <w:color w:val="000000"/>
                <w:sz w:val="20"/>
                <w:szCs w:val="20"/>
              </w:rPr>
              <w:t xml:space="preserve"> (o</w:t>
            </w:r>
            <w:r w:rsidRPr="00A766AB">
              <w:rPr>
                <w:rFonts w:eastAsia="Times New Roman" w:cs="Times New Roman"/>
                <w:color w:val="000000"/>
                <w:sz w:val="20"/>
                <w:szCs w:val="20"/>
              </w:rPr>
              <w:t>bnova objekta, revitalizacija kina i uređenje multifunkcionalnog audiovizualnog centra</w:t>
            </w:r>
            <w:r>
              <w:rPr>
                <w:rFonts w:eastAsia="Times New Roman" w:cs="Times New Roman"/>
                <w:color w:val="000000"/>
                <w:sz w:val="20"/>
                <w:szCs w:val="20"/>
              </w:rPr>
              <w:t>)</w:t>
            </w:r>
          </w:p>
          <w:p w14:paraId="43208339" w14:textId="44564C4D" w:rsidR="008B4BEA" w:rsidRPr="00A766AB" w:rsidRDefault="008B4BEA" w:rsidP="00F950C3">
            <w:pPr>
              <w:pStyle w:val="ListParagraph"/>
              <w:numPr>
                <w:ilvl w:val="0"/>
                <w:numId w:val="19"/>
              </w:numPr>
              <w:tabs>
                <w:tab w:val="left" w:pos="3613"/>
              </w:tabs>
              <w:spacing w:before="0" w:after="0"/>
              <w:jc w:val="left"/>
              <w:rPr>
                <w:rFonts w:eastAsia="Times New Roman" w:cs="Times New Roman"/>
                <w:color w:val="000000"/>
                <w:sz w:val="20"/>
                <w:szCs w:val="20"/>
              </w:rPr>
            </w:pPr>
            <w:r>
              <w:rPr>
                <w:rFonts w:eastAsia="Times New Roman" w:cs="Times New Roman"/>
                <w:color w:val="000000"/>
                <w:sz w:val="20"/>
                <w:szCs w:val="20"/>
              </w:rPr>
              <w:t>Obnova dvorane Mladost (zaštićeno kulturno dobro)</w:t>
            </w:r>
          </w:p>
        </w:tc>
      </w:tr>
      <w:tr w:rsidR="0058603F" w14:paraId="4D39AE99" w14:textId="77777777" w:rsidTr="0058603F">
        <w:tc>
          <w:tcPr>
            <w:tcW w:w="2235" w:type="dxa"/>
            <w:shd w:val="clear" w:color="auto" w:fill="E5DFEC" w:themeFill="accent4" w:themeFillTint="33"/>
          </w:tcPr>
          <w:p w14:paraId="46E67CE4" w14:textId="2AC45DBE" w:rsidR="0058603F" w:rsidRPr="0058603F" w:rsidRDefault="0058603F" w:rsidP="00C4655E">
            <w:pPr>
              <w:rPr>
                <w:b/>
                <w:sz w:val="20"/>
                <w:szCs w:val="20"/>
              </w:rPr>
            </w:pPr>
            <w:r w:rsidRPr="0058603F">
              <w:rPr>
                <w:b/>
                <w:sz w:val="20"/>
                <w:szCs w:val="20"/>
              </w:rPr>
              <w:lastRenderedPageBreak/>
              <w:t>Ciljano područje:</w:t>
            </w:r>
          </w:p>
        </w:tc>
        <w:tc>
          <w:tcPr>
            <w:tcW w:w="7053" w:type="dxa"/>
          </w:tcPr>
          <w:p w14:paraId="13520941" w14:textId="570B7928" w:rsidR="0058603F" w:rsidRPr="0058603F" w:rsidRDefault="00A766AB" w:rsidP="00C4655E">
            <w:pPr>
              <w:rPr>
                <w:sz w:val="20"/>
                <w:szCs w:val="20"/>
              </w:rPr>
            </w:pPr>
            <w:r>
              <w:rPr>
                <w:sz w:val="20"/>
                <w:szCs w:val="20"/>
              </w:rPr>
              <w:t>Karlovac</w:t>
            </w:r>
          </w:p>
        </w:tc>
      </w:tr>
      <w:tr w:rsidR="0058603F" w14:paraId="7440710B" w14:textId="77777777" w:rsidTr="0058603F">
        <w:tc>
          <w:tcPr>
            <w:tcW w:w="2235" w:type="dxa"/>
            <w:shd w:val="clear" w:color="auto" w:fill="E5DFEC" w:themeFill="accent4" w:themeFillTint="33"/>
          </w:tcPr>
          <w:p w14:paraId="44411793" w14:textId="673DA9FB" w:rsidR="0058603F" w:rsidRPr="0058603F" w:rsidRDefault="0058603F" w:rsidP="00C4655E">
            <w:pPr>
              <w:rPr>
                <w:b/>
                <w:sz w:val="20"/>
                <w:szCs w:val="20"/>
              </w:rPr>
            </w:pPr>
            <w:r w:rsidRPr="0058603F">
              <w:rPr>
                <w:b/>
                <w:sz w:val="20"/>
                <w:szCs w:val="20"/>
              </w:rPr>
              <w:t>Tip projekta:</w:t>
            </w:r>
          </w:p>
        </w:tc>
        <w:tc>
          <w:tcPr>
            <w:tcW w:w="7053" w:type="dxa"/>
          </w:tcPr>
          <w:p w14:paraId="103249A8" w14:textId="09D059EC" w:rsidR="0058603F" w:rsidRPr="0058603F" w:rsidRDefault="00A93EB0" w:rsidP="00C4655E">
            <w:pPr>
              <w:rPr>
                <w:sz w:val="20"/>
                <w:szCs w:val="20"/>
              </w:rPr>
            </w:pPr>
            <w:r>
              <w:rPr>
                <w:sz w:val="20"/>
                <w:szCs w:val="20"/>
              </w:rPr>
              <w:t xml:space="preserve">Infrastrukturni </w:t>
            </w:r>
          </w:p>
        </w:tc>
      </w:tr>
      <w:tr w:rsidR="0058603F" w14:paraId="379C29BA" w14:textId="77777777" w:rsidTr="0058603F">
        <w:tc>
          <w:tcPr>
            <w:tcW w:w="2235" w:type="dxa"/>
            <w:shd w:val="clear" w:color="auto" w:fill="E5DFEC" w:themeFill="accent4" w:themeFillTint="33"/>
          </w:tcPr>
          <w:p w14:paraId="0FC00AA9" w14:textId="7CF9A539" w:rsidR="0058603F" w:rsidRPr="0058603F" w:rsidRDefault="0058603F" w:rsidP="00C4655E">
            <w:pPr>
              <w:rPr>
                <w:b/>
                <w:sz w:val="20"/>
                <w:szCs w:val="20"/>
              </w:rPr>
            </w:pPr>
            <w:r w:rsidRPr="0058603F">
              <w:rPr>
                <w:b/>
                <w:sz w:val="20"/>
                <w:szCs w:val="20"/>
              </w:rPr>
              <w:t>Pripremljenost projekta:</w:t>
            </w:r>
          </w:p>
        </w:tc>
        <w:tc>
          <w:tcPr>
            <w:tcW w:w="7053" w:type="dxa"/>
          </w:tcPr>
          <w:p w14:paraId="5565A5F2" w14:textId="6E33E7F8" w:rsidR="0058603F" w:rsidRPr="0058603F" w:rsidRDefault="00A766AB" w:rsidP="00C4655E">
            <w:pPr>
              <w:rPr>
                <w:sz w:val="20"/>
                <w:szCs w:val="20"/>
              </w:rPr>
            </w:pPr>
            <w:r>
              <w:rPr>
                <w:sz w:val="20"/>
                <w:szCs w:val="20"/>
              </w:rPr>
              <w:t>Kategorija I</w:t>
            </w:r>
          </w:p>
        </w:tc>
      </w:tr>
      <w:tr w:rsidR="0058603F" w14:paraId="7079D5CB" w14:textId="77777777" w:rsidTr="0058603F">
        <w:tc>
          <w:tcPr>
            <w:tcW w:w="2235" w:type="dxa"/>
            <w:shd w:val="clear" w:color="auto" w:fill="E5DFEC" w:themeFill="accent4" w:themeFillTint="33"/>
          </w:tcPr>
          <w:p w14:paraId="39EDD9E4" w14:textId="23117B90" w:rsidR="0058603F" w:rsidRPr="0058603F" w:rsidRDefault="0058603F" w:rsidP="00A93EB0">
            <w:pPr>
              <w:rPr>
                <w:b/>
                <w:sz w:val="20"/>
                <w:szCs w:val="20"/>
              </w:rPr>
            </w:pPr>
            <w:r w:rsidRPr="0058603F">
              <w:rPr>
                <w:b/>
                <w:sz w:val="20"/>
                <w:szCs w:val="20"/>
              </w:rPr>
              <w:t xml:space="preserve">Indikativni </w:t>
            </w:r>
            <w:r w:rsidR="00A93EB0">
              <w:rPr>
                <w:b/>
                <w:sz w:val="20"/>
                <w:szCs w:val="20"/>
              </w:rPr>
              <w:t>proračun projekta</w:t>
            </w:r>
            <w:r w:rsidRPr="0058603F">
              <w:rPr>
                <w:b/>
                <w:sz w:val="20"/>
                <w:szCs w:val="20"/>
              </w:rPr>
              <w:t xml:space="preserve"> (HRK):</w:t>
            </w:r>
          </w:p>
        </w:tc>
        <w:tc>
          <w:tcPr>
            <w:tcW w:w="7053" w:type="dxa"/>
          </w:tcPr>
          <w:p w14:paraId="74CCD0F9" w14:textId="61FBF1BD" w:rsidR="0058603F" w:rsidRPr="0058603F" w:rsidRDefault="00A766AB" w:rsidP="008B4BEA">
            <w:pPr>
              <w:rPr>
                <w:sz w:val="20"/>
                <w:szCs w:val="20"/>
              </w:rPr>
            </w:pPr>
            <w:r>
              <w:rPr>
                <w:sz w:val="20"/>
                <w:szCs w:val="20"/>
              </w:rPr>
              <w:t>1</w:t>
            </w:r>
            <w:r w:rsidR="008B4BEA">
              <w:rPr>
                <w:sz w:val="20"/>
                <w:szCs w:val="20"/>
              </w:rPr>
              <w:t>74.7</w:t>
            </w:r>
            <w:r>
              <w:rPr>
                <w:sz w:val="20"/>
                <w:szCs w:val="20"/>
              </w:rPr>
              <w:t>00.000 HRK</w:t>
            </w:r>
            <w:r w:rsidR="00B54887">
              <w:rPr>
                <w:sz w:val="20"/>
                <w:szCs w:val="20"/>
              </w:rPr>
              <w:t xml:space="preserve"> (podprojekti kategorije I)</w:t>
            </w:r>
          </w:p>
        </w:tc>
      </w:tr>
      <w:tr w:rsidR="0058603F" w14:paraId="72BCCF88" w14:textId="77777777" w:rsidTr="0058603F">
        <w:tc>
          <w:tcPr>
            <w:tcW w:w="2235" w:type="dxa"/>
            <w:shd w:val="clear" w:color="auto" w:fill="E5DFEC" w:themeFill="accent4" w:themeFillTint="33"/>
          </w:tcPr>
          <w:p w14:paraId="729DC576" w14:textId="6AC4C3CA" w:rsidR="0058603F" w:rsidRPr="0058603F" w:rsidRDefault="0058603F" w:rsidP="00C4655E">
            <w:pPr>
              <w:rPr>
                <w:b/>
                <w:sz w:val="20"/>
                <w:szCs w:val="20"/>
              </w:rPr>
            </w:pPr>
            <w:r w:rsidRPr="0058603F">
              <w:rPr>
                <w:b/>
                <w:sz w:val="20"/>
                <w:szCs w:val="20"/>
              </w:rPr>
              <w:t>Izvori financiranja:</w:t>
            </w:r>
          </w:p>
        </w:tc>
        <w:tc>
          <w:tcPr>
            <w:tcW w:w="7053" w:type="dxa"/>
          </w:tcPr>
          <w:p w14:paraId="29AD26F8" w14:textId="52F14424" w:rsidR="0058603F" w:rsidRPr="0058603F" w:rsidRDefault="00A766AB" w:rsidP="00C4655E">
            <w:pPr>
              <w:rPr>
                <w:sz w:val="20"/>
                <w:szCs w:val="20"/>
              </w:rPr>
            </w:pPr>
            <w:r>
              <w:rPr>
                <w:sz w:val="20"/>
                <w:szCs w:val="20"/>
              </w:rPr>
              <w:t>EU fondovi (ITU mehanizam), Gradski proračun</w:t>
            </w:r>
          </w:p>
        </w:tc>
      </w:tr>
    </w:tbl>
    <w:p w14:paraId="2F39B922" w14:textId="77777777" w:rsidR="0058603F" w:rsidRDefault="0058603F" w:rsidP="00C4655E"/>
    <w:tbl>
      <w:tblPr>
        <w:tblStyle w:val="TableGrid"/>
        <w:tblW w:w="0" w:type="auto"/>
        <w:tblBorders>
          <w:insideH w:val="dotted" w:sz="4" w:space="0" w:color="auto"/>
          <w:insideV w:val="none" w:sz="0" w:space="0" w:color="auto"/>
        </w:tblBorders>
        <w:tblLook w:val="04A0" w:firstRow="1" w:lastRow="0" w:firstColumn="1" w:lastColumn="0" w:noHBand="0" w:noVBand="1"/>
      </w:tblPr>
      <w:tblGrid>
        <w:gridCol w:w="2235"/>
        <w:gridCol w:w="7053"/>
      </w:tblGrid>
      <w:tr w:rsidR="00A766AB" w14:paraId="306122FB" w14:textId="77777777" w:rsidTr="00A766AB">
        <w:tc>
          <w:tcPr>
            <w:tcW w:w="2235" w:type="dxa"/>
            <w:shd w:val="clear" w:color="auto" w:fill="E5DFEC" w:themeFill="accent4" w:themeFillTint="33"/>
          </w:tcPr>
          <w:p w14:paraId="09D913E8" w14:textId="77777777" w:rsidR="00A766AB" w:rsidRPr="0058603F" w:rsidRDefault="00A766AB" w:rsidP="00A766AB">
            <w:pPr>
              <w:rPr>
                <w:b/>
                <w:sz w:val="20"/>
                <w:szCs w:val="20"/>
              </w:rPr>
            </w:pPr>
            <w:r>
              <w:rPr>
                <w:b/>
                <w:sz w:val="20"/>
                <w:szCs w:val="20"/>
              </w:rPr>
              <w:t>Rbr.</w:t>
            </w:r>
          </w:p>
        </w:tc>
        <w:tc>
          <w:tcPr>
            <w:tcW w:w="7053" w:type="dxa"/>
          </w:tcPr>
          <w:p w14:paraId="67DD505E" w14:textId="5EDAD03B" w:rsidR="00A766AB" w:rsidRPr="00D6307B" w:rsidRDefault="00A766AB" w:rsidP="00A766AB">
            <w:pPr>
              <w:rPr>
                <w:b/>
                <w:color w:val="660066"/>
                <w:sz w:val="28"/>
                <w:szCs w:val="28"/>
              </w:rPr>
            </w:pPr>
            <w:r>
              <w:rPr>
                <w:b/>
                <w:color w:val="660066"/>
                <w:sz w:val="28"/>
                <w:szCs w:val="28"/>
              </w:rPr>
              <w:t>2</w:t>
            </w:r>
          </w:p>
        </w:tc>
      </w:tr>
      <w:tr w:rsidR="00A766AB" w14:paraId="740CF891" w14:textId="77777777" w:rsidTr="00A766AB">
        <w:tc>
          <w:tcPr>
            <w:tcW w:w="2235" w:type="dxa"/>
            <w:shd w:val="clear" w:color="auto" w:fill="E5DFEC" w:themeFill="accent4" w:themeFillTint="33"/>
          </w:tcPr>
          <w:p w14:paraId="1987C231" w14:textId="77777777" w:rsidR="00A766AB" w:rsidRPr="0058603F" w:rsidRDefault="00A766AB" w:rsidP="00A766AB">
            <w:pPr>
              <w:rPr>
                <w:b/>
                <w:sz w:val="20"/>
                <w:szCs w:val="20"/>
              </w:rPr>
            </w:pPr>
            <w:r w:rsidRPr="0058603F">
              <w:rPr>
                <w:b/>
                <w:sz w:val="20"/>
                <w:szCs w:val="20"/>
              </w:rPr>
              <w:t>Prioritet:</w:t>
            </w:r>
          </w:p>
        </w:tc>
        <w:tc>
          <w:tcPr>
            <w:tcW w:w="7053" w:type="dxa"/>
          </w:tcPr>
          <w:p w14:paraId="6DCD323B" w14:textId="6356412A" w:rsidR="00A766AB" w:rsidRPr="00252F2E" w:rsidRDefault="00A766AB" w:rsidP="00A766AB">
            <w:pPr>
              <w:rPr>
                <w:sz w:val="20"/>
                <w:szCs w:val="20"/>
              </w:rPr>
            </w:pPr>
            <w:r w:rsidRPr="00252F2E">
              <w:rPr>
                <w:sz w:val="20"/>
                <w:szCs w:val="20"/>
              </w:rPr>
              <w:t>SC1.P1 Obnova urbanih gradskih jezgri</w:t>
            </w:r>
          </w:p>
        </w:tc>
      </w:tr>
      <w:tr w:rsidR="00A766AB" w14:paraId="3B54786C" w14:textId="77777777" w:rsidTr="00A766AB">
        <w:tc>
          <w:tcPr>
            <w:tcW w:w="2235" w:type="dxa"/>
            <w:shd w:val="clear" w:color="auto" w:fill="E5DFEC" w:themeFill="accent4" w:themeFillTint="33"/>
          </w:tcPr>
          <w:p w14:paraId="30A8CBB0" w14:textId="77777777" w:rsidR="00A766AB" w:rsidRPr="0058603F" w:rsidRDefault="00A766AB" w:rsidP="00A766AB">
            <w:pPr>
              <w:rPr>
                <w:b/>
                <w:sz w:val="20"/>
                <w:szCs w:val="20"/>
              </w:rPr>
            </w:pPr>
            <w:r w:rsidRPr="0058603F">
              <w:rPr>
                <w:b/>
                <w:sz w:val="20"/>
                <w:szCs w:val="20"/>
              </w:rPr>
              <w:t>Mjera:</w:t>
            </w:r>
          </w:p>
        </w:tc>
        <w:tc>
          <w:tcPr>
            <w:tcW w:w="7053" w:type="dxa"/>
          </w:tcPr>
          <w:p w14:paraId="0E8C66E8" w14:textId="385DEF57" w:rsidR="00A766AB" w:rsidRPr="00A93EB0" w:rsidRDefault="00B54887" w:rsidP="00A766AB">
            <w:pPr>
              <w:rPr>
                <w:sz w:val="20"/>
                <w:szCs w:val="20"/>
              </w:rPr>
            </w:pPr>
            <w:r>
              <w:rPr>
                <w:sz w:val="20"/>
                <w:szCs w:val="20"/>
              </w:rPr>
              <w:t>n.p.</w:t>
            </w:r>
          </w:p>
        </w:tc>
      </w:tr>
      <w:tr w:rsidR="00A766AB" w14:paraId="1329A44D" w14:textId="77777777" w:rsidTr="00A766AB">
        <w:tc>
          <w:tcPr>
            <w:tcW w:w="2235" w:type="dxa"/>
            <w:shd w:val="clear" w:color="auto" w:fill="E5DFEC" w:themeFill="accent4" w:themeFillTint="33"/>
          </w:tcPr>
          <w:p w14:paraId="329C8C2B" w14:textId="77777777" w:rsidR="00A766AB" w:rsidRPr="0058603F" w:rsidRDefault="00A766AB" w:rsidP="00A766AB">
            <w:pPr>
              <w:rPr>
                <w:b/>
                <w:sz w:val="20"/>
                <w:szCs w:val="20"/>
              </w:rPr>
            </w:pPr>
            <w:r w:rsidRPr="0058603F">
              <w:rPr>
                <w:b/>
                <w:sz w:val="20"/>
                <w:szCs w:val="20"/>
              </w:rPr>
              <w:t>Naziv projekta:</w:t>
            </w:r>
          </w:p>
        </w:tc>
        <w:tc>
          <w:tcPr>
            <w:tcW w:w="7053" w:type="dxa"/>
            <w:shd w:val="clear" w:color="auto" w:fill="E5DFEC" w:themeFill="accent4" w:themeFillTint="33"/>
          </w:tcPr>
          <w:p w14:paraId="3ABA2BA8" w14:textId="606C337E" w:rsidR="00A766AB" w:rsidRPr="00A93EB0" w:rsidRDefault="00A766AB" w:rsidP="00A766AB">
            <w:pPr>
              <w:rPr>
                <w:b/>
              </w:rPr>
            </w:pPr>
            <w:r>
              <w:rPr>
                <w:b/>
              </w:rPr>
              <w:t xml:space="preserve">Veliki projekt: </w:t>
            </w:r>
            <w:r w:rsidR="002227B5">
              <w:rPr>
                <w:b/>
              </w:rPr>
              <w:t>Browfield lokacija bivše Vojarne</w:t>
            </w:r>
            <w:r>
              <w:rPr>
                <w:b/>
              </w:rPr>
              <w:t xml:space="preserve"> Luščić</w:t>
            </w:r>
          </w:p>
        </w:tc>
      </w:tr>
      <w:tr w:rsidR="00A766AB" w14:paraId="251E1CB3" w14:textId="77777777" w:rsidTr="00A766AB">
        <w:tc>
          <w:tcPr>
            <w:tcW w:w="2235" w:type="dxa"/>
            <w:shd w:val="clear" w:color="auto" w:fill="E5DFEC" w:themeFill="accent4" w:themeFillTint="33"/>
          </w:tcPr>
          <w:p w14:paraId="3F90D066" w14:textId="77777777" w:rsidR="00A766AB" w:rsidRPr="0058603F" w:rsidRDefault="00A766AB" w:rsidP="00A766AB">
            <w:pPr>
              <w:rPr>
                <w:b/>
                <w:sz w:val="20"/>
                <w:szCs w:val="20"/>
              </w:rPr>
            </w:pPr>
            <w:r w:rsidRPr="0058603F">
              <w:rPr>
                <w:b/>
                <w:sz w:val="20"/>
                <w:szCs w:val="20"/>
              </w:rPr>
              <w:t>Nositelj i partneri:</w:t>
            </w:r>
          </w:p>
        </w:tc>
        <w:tc>
          <w:tcPr>
            <w:tcW w:w="7053" w:type="dxa"/>
          </w:tcPr>
          <w:p w14:paraId="3197BC43" w14:textId="77777777" w:rsidR="00A766AB" w:rsidRPr="0058603F" w:rsidRDefault="00A766AB" w:rsidP="00A766AB">
            <w:pPr>
              <w:rPr>
                <w:sz w:val="20"/>
                <w:szCs w:val="20"/>
              </w:rPr>
            </w:pPr>
            <w:r>
              <w:rPr>
                <w:sz w:val="20"/>
                <w:szCs w:val="20"/>
              </w:rPr>
              <w:t>Grad Karlovac</w:t>
            </w:r>
          </w:p>
        </w:tc>
      </w:tr>
      <w:tr w:rsidR="00A766AB" w14:paraId="29D0A7C8" w14:textId="77777777" w:rsidTr="00A766AB">
        <w:tc>
          <w:tcPr>
            <w:tcW w:w="2235" w:type="dxa"/>
            <w:shd w:val="clear" w:color="auto" w:fill="E5DFEC" w:themeFill="accent4" w:themeFillTint="33"/>
          </w:tcPr>
          <w:p w14:paraId="0F3FC803" w14:textId="77777777" w:rsidR="00A766AB" w:rsidRPr="0058603F" w:rsidRDefault="00A766AB" w:rsidP="00A766AB">
            <w:pPr>
              <w:rPr>
                <w:b/>
                <w:sz w:val="20"/>
                <w:szCs w:val="20"/>
              </w:rPr>
            </w:pPr>
            <w:r w:rsidRPr="0058603F">
              <w:rPr>
                <w:b/>
                <w:sz w:val="20"/>
                <w:szCs w:val="20"/>
              </w:rPr>
              <w:t>Cilj projekta:</w:t>
            </w:r>
          </w:p>
        </w:tc>
        <w:tc>
          <w:tcPr>
            <w:tcW w:w="7053" w:type="dxa"/>
          </w:tcPr>
          <w:p w14:paraId="05910AED" w14:textId="77777777" w:rsidR="00A766AB" w:rsidRPr="00473C8D" w:rsidRDefault="002227B5" w:rsidP="00473C8D">
            <w:pPr>
              <w:rPr>
                <w:sz w:val="20"/>
                <w:szCs w:val="20"/>
              </w:rPr>
            </w:pPr>
            <w:r w:rsidRPr="00473C8D">
              <w:rPr>
                <w:sz w:val="20"/>
                <w:szCs w:val="20"/>
              </w:rPr>
              <w:t>Reaktivacija zapuštenog gradskog prostora i stavljanj</w:t>
            </w:r>
            <w:r w:rsidR="003A7597" w:rsidRPr="00473C8D">
              <w:rPr>
                <w:sz w:val="20"/>
                <w:szCs w:val="20"/>
              </w:rPr>
              <w:t>e u funkciju stanovanja i prateć</w:t>
            </w:r>
            <w:r w:rsidRPr="00473C8D">
              <w:rPr>
                <w:sz w:val="20"/>
                <w:szCs w:val="20"/>
              </w:rPr>
              <w:t xml:space="preserve">ih sportskih, odgojno obrazovnih, kulturnih i gospodarskih sadržaja.  </w:t>
            </w:r>
          </w:p>
          <w:p w14:paraId="285CCC9D" w14:textId="6B9A87C4" w:rsidR="00473C8D" w:rsidRDefault="00473C8D" w:rsidP="00473C8D">
            <w:pPr>
              <w:rPr>
                <w:sz w:val="20"/>
                <w:szCs w:val="20"/>
              </w:rPr>
            </w:pPr>
            <w:r>
              <w:rPr>
                <w:sz w:val="20"/>
                <w:szCs w:val="20"/>
              </w:rPr>
              <w:t>Brownfield lokacija veličine cca 17 ha</w:t>
            </w:r>
            <w:r w:rsidRPr="00473C8D">
              <w:rPr>
                <w:sz w:val="20"/>
                <w:szCs w:val="20"/>
              </w:rPr>
              <w:t xml:space="preserve"> </w:t>
            </w:r>
            <w:r>
              <w:rPr>
                <w:sz w:val="20"/>
                <w:szCs w:val="20"/>
              </w:rPr>
              <w:t>nalazi se jugozapadno od Zvijezde i ključna je</w:t>
            </w:r>
            <w:r w:rsidRPr="00473C8D">
              <w:rPr>
                <w:sz w:val="20"/>
                <w:szCs w:val="20"/>
              </w:rPr>
              <w:t xml:space="preserve"> za ostvarenje koncepcije Generalnog urbanističkog plana grada Karlovca i njime zamišljene urbanističke osi </w:t>
            </w:r>
            <w:r>
              <w:rPr>
                <w:sz w:val="20"/>
                <w:szCs w:val="20"/>
              </w:rPr>
              <w:t>-</w:t>
            </w:r>
            <w:r w:rsidRPr="00473C8D">
              <w:rPr>
                <w:sz w:val="20"/>
                <w:szCs w:val="20"/>
              </w:rPr>
              <w:t xml:space="preserve"> središnjeg poteza perivoja i perivojnih trgova okruženih novom stambenom, poslovnom i društvenom izgradnjom koja u budućnosti treba postati treći karlovački centar. Os na jugozapadu počinje s novim stambeno-poslovnim dijelom na prostoru vojarne Luščić, nastavlja se s Novim Centrom i novoplaniranim perivojem, prolazi Zvijezdom te izlazi na novu os uz Gazu i završava na Korani.</w:t>
            </w:r>
          </w:p>
          <w:p w14:paraId="55368582" w14:textId="51B5BF3F" w:rsidR="00E03A89" w:rsidRPr="00473C8D" w:rsidRDefault="00E03A89" w:rsidP="00473C8D">
            <w:pPr>
              <w:rPr>
                <w:sz w:val="20"/>
                <w:szCs w:val="20"/>
              </w:rPr>
            </w:pPr>
            <w:r w:rsidRPr="00E03A89">
              <w:rPr>
                <w:sz w:val="20"/>
                <w:szCs w:val="20"/>
              </w:rPr>
              <w:t xml:space="preserve">U tijeku je natječaj EUROPAN 15 iz kojeg se očekuju  urbanistička rješenja prostora koja će ponuditi novi identitet gradu stvaranjem novog uređenog centra Karlovca, jačanjem središnjih/javnih funkcija grada u danas  neuređenom dijelu najužeg središta grada. </w:t>
            </w:r>
          </w:p>
          <w:p w14:paraId="1CE8CB6C" w14:textId="69729918" w:rsidR="00473C8D" w:rsidRPr="00473C8D" w:rsidRDefault="00570BAB" w:rsidP="00570BAB">
            <w:pPr>
              <w:rPr>
                <w:sz w:val="20"/>
                <w:szCs w:val="20"/>
              </w:rPr>
            </w:pPr>
            <w:r>
              <w:rPr>
                <w:sz w:val="20"/>
                <w:szCs w:val="20"/>
              </w:rPr>
              <w:t>Urbana obnova ove brownfield lokacije</w:t>
            </w:r>
            <w:r w:rsidR="00473C8D" w:rsidRPr="00473C8D">
              <w:rPr>
                <w:sz w:val="20"/>
                <w:szCs w:val="20"/>
              </w:rPr>
              <w:t xml:space="preserve"> </w:t>
            </w:r>
            <w:r>
              <w:rPr>
                <w:sz w:val="20"/>
                <w:szCs w:val="20"/>
              </w:rPr>
              <w:t xml:space="preserve">omogućit će </w:t>
            </w:r>
            <w:r w:rsidR="00473C8D" w:rsidRPr="00473C8D">
              <w:rPr>
                <w:sz w:val="20"/>
                <w:szCs w:val="20"/>
              </w:rPr>
              <w:t xml:space="preserve">racionalno korištenje </w:t>
            </w:r>
            <w:r>
              <w:rPr>
                <w:sz w:val="20"/>
                <w:szCs w:val="20"/>
              </w:rPr>
              <w:t xml:space="preserve">gradskog </w:t>
            </w:r>
            <w:r w:rsidR="00473C8D" w:rsidRPr="00473C8D">
              <w:rPr>
                <w:sz w:val="20"/>
                <w:szCs w:val="20"/>
              </w:rPr>
              <w:t xml:space="preserve">prostora, jačanje središnjih gradskih funkcija u neuređenom dijelu </w:t>
            </w:r>
            <w:r>
              <w:rPr>
                <w:sz w:val="20"/>
                <w:szCs w:val="20"/>
              </w:rPr>
              <w:t xml:space="preserve">središta grada </w:t>
            </w:r>
            <w:r w:rsidR="00473C8D" w:rsidRPr="00473C8D">
              <w:rPr>
                <w:sz w:val="20"/>
                <w:szCs w:val="20"/>
              </w:rPr>
              <w:t>i energetski visokoučinkovitu  stambenu izgradnju.</w:t>
            </w:r>
          </w:p>
        </w:tc>
      </w:tr>
      <w:tr w:rsidR="00A766AB" w14:paraId="78CDB9F1" w14:textId="77777777" w:rsidTr="00A766AB">
        <w:tc>
          <w:tcPr>
            <w:tcW w:w="2235" w:type="dxa"/>
            <w:shd w:val="clear" w:color="auto" w:fill="E5DFEC" w:themeFill="accent4" w:themeFillTint="33"/>
          </w:tcPr>
          <w:p w14:paraId="44C16A50" w14:textId="77777777" w:rsidR="00A766AB" w:rsidRPr="0058603F" w:rsidRDefault="00A766AB" w:rsidP="00A766AB">
            <w:pPr>
              <w:rPr>
                <w:b/>
                <w:sz w:val="20"/>
                <w:szCs w:val="20"/>
              </w:rPr>
            </w:pPr>
            <w:r w:rsidRPr="0058603F">
              <w:rPr>
                <w:b/>
                <w:sz w:val="20"/>
                <w:szCs w:val="20"/>
              </w:rPr>
              <w:t>Sažetak aktivnosti:</w:t>
            </w:r>
          </w:p>
        </w:tc>
        <w:tc>
          <w:tcPr>
            <w:tcW w:w="7053" w:type="dxa"/>
          </w:tcPr>
          <w:p w14:paraId="60962368" w14:textId="728AD8C3" w:rsidR="00A92D4B" w:rsidRDefault="00A92D4B" w:rsidP="002227B5">
            <w:pPr>
              <w:rPr>
                <w:rFonts w:eastAsia="Times New Roman" w:cs="Times New Roman"/>
                <w:color w:val="000000"/>
                <w:sz w:val="20"/>
                <w:szCs w:val="20"/>
              </w:rPr>
            </w:pPr>
            <w:r>
              <w:rPr>
                <w:rFonts w:eastAsia="Times New Roman" w:cs="Times New Roman"/>
                <w:color w:val="000000"/>
                <w:sz w:val="20"/>
                <w:szCs w:val="20"/>
              </w:rPr>
              <w:t>PRIPREMNA FAZA</w:t>
            </w:r>
            <w:r w:rsidR="003A7597">
              <w:rPr>
                <w:rFonts w:eastAsia="Times New Roman" w:cs="Times New Roman"/>
                <w:color w:val="000000"/>
                <w:sz w:val="20"/>
                <w:szCs w:val="20"/>
              </w:rPr>
              <w:t xml:space="preserve"> (2019.- 2021.)</w:t>
            </w:r>
            <w:r>
              <w:rPr>
                <w:rFonts w:eastAsia="Times New Roman" w:cs="Times New Roman"/>
                <w:color w:val="000000"/>
                <w:sz w:val="20"/>
                <w:szCs w:val="20"/>
              </w:rPr>
              <w:t>:</w:t>
            </w:r>
          </w:p>
          <w:p w14:paraId="4A469626" w14:textId="431D92D1" w:rsidR="002227B5" w:rsidRPr="00A92D4B" w:rsidRDefault="002227B5" w:rsidP="00F950C3">
            <w:pPr>
              <w:pStyle w:val="ListParagraph"/>
              <w:numPr>
                <w:ilvl w:val="0"/>
                <w:numId w:val="20"/>
              </w:numPr>
              <w:rPr>
                <w:rFonts w:eastAsia="Times New Roman" w:cs="Times New Roman"/>
                <w:color w:val="000000"/>
                <w:sz w:val="20"/>
                <w:szCs w:val="20"/>
              </w:rPr>
            </w:pPr>
            <w:r w:rsidRPr="00A92D4B">
              <w:rPr>
                <w:rFonts w:eastAsia="Times New Roman" w:cs="Times New Roman"/>
                <w:color w:val="000000"/>
                <w:sz w:val="20"/>
                <w:szCs w:val="20"/>
              </w:rPr>
              <w:t>Provedba međunarodnog urbanističko-arhitektonskog natječaja EUROPAN 15</w:t>
            </w:r>
          </w:p>
          <w:p w14:paraId="1BA4B753" w14:textId="06A2FAF6" w:rsidR="00A766AB" w:rsidRDefault="002227B5" w:rsidP="00F950C3">
            <w:pPr>
              <w:pStyle w:val="ListParagraph"/>
              <w:numPr>
                <w:ilvl w:val="0"/>
                <w:numId w:val="19"/>
              </w:numPr>
              <w:tabs>
                <w:tab w:val="left" w:pos="3613"/>
              </w:tabs>
              <w:spacing w:before="0" w:after="0"/>
              <w:jc w:val="left"/>
              <w:rPr>
                <w:rFonts w:eastAsia="Times New Roman" w:cs="Times New Roman"/>
                <w:color w:val="000000"/>
                <w:sz w:val="20"/>
                <w:szCs w:val="20"/>
              </w:rPr>
            </w:pPr>
            <w:r w:rsidRPr="00A92D4B">
              <w:rPr>
                <w:rFonts w:eastAsia="Times New Roman" w:cs="Times New Roman"/>
                <w:color w:val="000000"/>
                <w:sz w:val="20"/>
                <w:szCs w:val="20"/>
              </w:rPr>
              <w:lastRenderedPageBreak/>
              <w:t>Izrada urbanističkog plana uređenja</w:t>
            </w:r>
            <w:r w:rsidR="008C55AA">
              <w:rPr>
                <w:rFonts w:eastAsia="Times New Roman" w:cs="Times New Roman"/>
                <w:color w:val="000000"/>
                <w:sz w:val="20"/>
                <w:szCs w:val="20"/>
              </w:rPr>
              <w:t xml:space="preserve"> (UPU)</w:t>
            </w:r>
          </w:p>
          <w:p w14:paraId="358273DA" w14:textId="11EC3A82" w:rsidR="003A7597" w:rsidRDefault="003A7597" w:rsidP="003A7597">
            <w:pPr>
              <w:tabs>
                <w:tab w:val="left" w:pos="3613"/>
              </w:tabs>
              <w:jc w:val="left"/>
              <w:rPr>
                <w:rFonts w:eastAsia="Times New Roman" w:cs="Times New Roman"/>
                <w:color w:val="000000"/>
                <w:sz w:val="20"/>
                <w:szCs w:val="20"/>
              </w:rPr>
            </w:pPr>
            <w:r w:rsidRPr="003A7597">
              <w:rPr>
                <w:rFonts w:eastAsia="Times New Roman" w:cs="Times New Roman"/>
                <w:color w:val="000000"/>
                <w:sz w:val="20"/>
                <w:szCs w:val="20"/>
              </w:rPr>
              <w:t>REALIZACI</w:t>
            </w:r>
            <w:r w:rsidR="008C55AA">
              <w:rPr>
                <w:rFonts w:eastAsia="Times New Roman" w:cs="Times New Roman"/>
                <w:color w:val="000000"/>
                <w:sz w:val="20"/>
                <w:szCs w:val="20"/>
              </w:rPr>
              <w:t>JA (2021.</w:t>
            </w:r>
            <w:r w:rsidRPr="003A7597">
              <w:rPr>
                <w:rFonts w:eastAsia="Times New Roman" w:cs="Times New Roman"/>
                <w:color w:val="000000"/>
                <w:sz w:val="20"/>
                <w:szCs w:val="20"/>
              </w:rPr>
              <w:t>- ...)</w:t>
            </w:r>
            <w:r w:rsidR="008C55AA">
              <w:rPr>
                <w:rFonts w:eastAsia="Times New Roman" w:cs="Times New Roman"/>
                <w:color w:val="000000"/>
                <w:sz w:val="20"/>
                <w:szCs w:val="20"/>
              </w:rPr>
              <w:t>:</w:t>
            </w:r>
          </w:p>
          <w:p w14:paraId="6E5CCA67" w14:textId="737C9266" w:rsidR="008C55AA" w:rsidRPr="008C55AA" w:rsidRDefault="008C55AA" w:rsidP="008C55AA">
            <w:pPr>
              <w:pStyle w:val="ListParagraph"/>
              <w:numPr>
                <w:ilvl w:val="0"/>
                <w:numId w:val="19"/>
              </w:numPr>
              <w:tabs>
                <w:tab w:val="left" w:pos="3613"/>
              </w:tabs>
              <w:jc w:val="left"/>
              <w:rPr>
                <w:rFonts w:eastAsia="Times New Roman" w:cs="Times New Roman"/>
                <w:color w:val="000000"/>
                <w:sz w:val="20"/>
                <w:szCs w:val="20"/>
              </w:rPr>
            </w:pPr>
            <w:r w:rsidRPr="008C55AA">
              <w:rPr>
                <w:rFonts w:eastAsia="Times New Roman" w:cs="Times New Roman"/>
                <w:color w:val="000000"/>
                <w:sz w:val="20"/>
                <w:szCs w:val="20"/>
              </w:rPr>
              <w:t>Uređenje i izgradnja sukladno UPU te prioritizaciji i tehničkoj pripremljenosti pojedinih intervencija.</w:t>
            </w:r>
          </w:p>
        </w:tc>
      </w:tr>
      <w:tr w:rsidR="00A766AB" w14:paraId="1419D565" w14:textId="77777777" w:rsidTr="00A766AB">
        <w:tc>
          <w:tcPr>
            <w:tcW w:w="2235" w:type="dxa"/>
            <w:shd w:val="clear" w:color="auto" w:fill="E5DFEC" w:themeFill="accent4" w:themeFillTint="33"/>
          </w:tcPr>
          <w:p w14:paraId="07633B61" w14:textId="68A34CC8" w:rsidR="00A766AB" w:rsidRPr="0058603F" w:rsidRDefault="00A766AB" w:rsidP="00A766AB">
            <w:pPr>
              <w:rPr>
                <w:b/>
                <w:sz w:val="20"/>
                <w:szCs w:val="20"/>
              </w:rPr>
            </w:pPr>
            <w:r w:rsidRPr="0058603F">
              <w:rPr>
                <w:b/>
                <w:sz w:val="20"/>
                <w:szCs w:val="20"/>
              </w:rPr>
              <w:lastRenderedPageBreak/>
              <w:t>Ciljano područje:</w:t>
            </w:r>
          </w:p>
        </w:tc>
        <w:tc>
          <w:tcPr>
            <w:tcW w:w="7053" w:type="dxa"/>
          </w:tcPr>
          <w:p w14:paraId="04E9B037" w14:textId="77777777" w:rsidR="00A766AB" w:rsidRPr="0058603F" w:rsidRDefault="00A766AB" w:rsidP="00A766AB">
            <w:pPr>
              <w:rPr>
                <w:sz w:val="20"/>
                <w:szCs w:val="20"/>
              </w:rPr>
            </w:pPr>
            <w:r>
              <w:rPr>
                <w:sz w:val="20"/>
                <w:szCs w:val="20"/>
              </w:rPr>
              <w:t>Karlovac</w:t>
            </w:r>
          </w:p>
        </w:tc>
      </w:tr>
      <w:tr w:rsidR="00A766AB" w14:paraId="2F429A3E" w14:textId="77777777" w:rsidTr="00A766AB">
        <w:tc>
          <w:tcPr>
            <w:tcW w:w="2235" w:type="dxa"/>
            <w:shd w:val="clear" w:color="auto" w:fill="E5DFEC" w:themeFill="accent4" w:themeFillTint="33"/>
          </w:tcPr>
          <w:p w14:paraId="3E1C4BFF" w14:textId="77777777" w:rsidR="00A766AB" w:rsidRPr="0058603F" w:rsidRDefault="00A766AB" w:rsidP="00A766AB">
            <w:pPr>
              <w:rPr>
                <w:b/>
                <w:sz w:val="20"/>
                <w:szCs w:val="20"/>
              </w:rPr>
            </w:pPr>
            <w:r w:rsidRPr="0058603F">
              <w:rPr>
                <w:b/>
                <w:sz w:val="20"/>
                <w:szCs w:val="20"/>
              </w:rPr>
              <w:t>Tip projekta:</w:t>
            </w:r>
          </w:p>
        </w:tc>
        <w:tc>
          <w:tcPr>
            <w:tcW w:w="7053" w:type="dxa"/>
          </w:tcPr>
          <w:p w14:paraId="5E9C5A57" w14:textId="77777777" w:rsidR="00A766AB" w:rsidRPr="0058603F" w:rsidRDefault="00A766AB" w:rsidP="00A766AB">
            <w:pPr>
              <w:rPr>
                <w:sz w:val="20"/>
                <w:szCs w:val="20"/>
              </w:rPr>
            </w:pPr>
            <w:r>
              <w:rPr>
                <w:sz w:val="20"/>
                <w:szCs w:val="20"/>
              </w:rPr>
              <w:t xml:space="preserve">Infrastrukturni </w:t>
            </w:r>
          </w:p>
        </w:tc>
      </w:tr>
      <w:tr w:rsidR="00A766AB" w14:paraId="1F4543CE" w14:textId="77777777" w:rsidTr="00A766AB">
        <w:tc>
          <w:tcPr>
            <w:tcW w:w="2235" w:type="dxa"/>
            <w:shd w:val="clear" w:color="auto" w:fill="E5DFEC" w:themeFill="accent4" w:themeFillTint="33"/>
          </w:tcPr>
          <w:p w14:paraId="2923FFD0" w14:textId="77777777" w:rsidR="00A766AB" w:rsidRPr="0058603F" w:rsidRDefault="00A766AB" w:rsidP="00A766AB">
            <w:pPr>
              <w:rPr>
                <w:b/>
                <w:sz w:val="20"/>
                <w:szCs w:val="20"/>
              </w:rPr>
            </w:pPr>
            <w:r w:rsidRPr="0058603F">
              <w:rPr>
                <w:b/>
                <w:sz w:val="20"/>
                <w:szCs w:val="20"/>
              </w:rPr>
              <w:t>Pripremljenost projekta:</w:t>
            </w:r>
          </w:p>
        </w:tc>
        <w:tc>
          <w:tcPr>
            <w:tcW w:w="7053" w:type="dxa"/>
          </w:tcPr>
          <w:p w14:paraId="65198662" w14:textId="6641F0EA" w:rsidR="00A766AB" w:rsidRPr="0058603F" w:rsidRDefault="00A766AB" w:rsidP="003A7597">
            <w:pPr>
              <w:rPr>
                <w:sz w:val="20"/>
                <w:szCs w:val="20"/>
              </w:rPr>
            </w:pPr>
            <w:r>
              <w:rPr>
                <w:sz w:val="20"/>
                <w:szCs w:val="20"/>
              </w:rPr>
              <w:t>Kategorija I</w:t>
            </w:r>
            <w:r w:rsidR="003A7597">
              <w:rPr>
                <w:sz w:val="20"/>
                <w:szCs w:val="20"/>
              </w:rPr>
              <w:t>II</w:t>
            </w:r>
          </w:p>
        </w:tc>
      </w:tr>
      <w:tr w:rsidR="00A766AB" w14:paraId="242A4A44" w14:textId="77777777" w:rsidTr="00A766AB">
        <w:tc>
          <w:tcPr>
            <w:tcW w:w="2235" w:type="dxa"/>
            <w:shd w:val="clear" w:color="auto" w:fill="E5DFEC" w:themeFill="accent4" w:themeFillTint="33"/>
          </w:tcPr>
          <w:p w14:paraId="3F470662" w14:textId="77777777" w:rsidR="00A766AB" w:rsidRPr="0058603F" w:rsidRDefault="00A766AB" w:rsidP="00A766AB">
            <w:pPr>
              <w:rPr>
                <w:b/>
                <w:sz w:val="20"/>
                <w:szCs w:val="20"/>
              </w:rPr>
            </w:pPr>
            <w:r w:rsidRPr="0058603F">
              <w:rPr>
                <w:b/>
                <w:sz w:val="20"/>
                <w:szCs w:val="20"/>
              </w:rPr>
              <w:t xml:space="preserve">Indikativni </w:t>
            </w:r>
            <w:r>
              <w:rPr>
                <w:b/>
                <w:sz w:val="20"/>
                <w:szCs w:val="20"/>
              </w:rPr>
              <w:t>proračun projekta</w:t>
            </w:r>
            <w:r w:rsidRPr="0058603F">
              <w:rPr>
                <w:b/>
                <w:sz w:val="20"/>
                <w:szCs w:val="20"/>
              </w:rPr>
              <w:t xml:space="preserve"> (HRK):</w:t>
            </w:r>
          </w:p>
        </w:tc>
        <w:tc>
          <w:tcPr>
            <w:tcW w:w="7053" w:type="dxa"/>
          </w:tcPr>
          <w:p w14:paraId="22CCC18F" w14:textId="607F5E0A" w:rsidR="00A766AB" w:rsidRPr="0058603F" w:rsidRDefault="003A7597" w:rsidP="00A766AB">
            <w:pPr>
              <w:rPr>
                <w:sz w:val="20"/>
                <w:szCs w:val="20"/>
              </w:rPr>
            </w:pPr>
            <w:r>
              <w:rPr>
                <w:sz w:val="20"/>
                <w:szCs w:val="20"/>
              </w:rPr>
              <w:t>841.200</w:t>
            </w:r>
            <w:r w:rsidR="00A766AB">
              <w:rPr>
                <w:sz w:val="20"/>
                <w:szCs w:val="20"/>
              </w:rPr>
              <w:t xml:space="preserve"> HRK</w:t>
            </w:r>
            <w:r>
              <w:rPr>
                <w:sz w:val="20"/>
                <w:szCs w:val="20"/>
              </w:rPr>
              <w:t xml:space="preserve"> (priprema faza)</w:t>
            </w:r>
          </w:p>
        </w:tc>
      </w:tr>
      <w:tr w:rsidR="00A766AB" w14:paraId="24B61BC5" w14:textId="77777777" w:rsidTr="00A766AB">
        <w:tc>
          <w:tcPr>
            <w:tcW w:w="2235" w:type="dxa"/>
            <w:shd w:val="clear" w:color="auto" w:fill="E5DFEC" w:themeFill="accent4" w:themeFillTint="33"/>
          </w:tcPr>
          <w:p w14:paraId="056FD8D7" w14:textId="77777777" w:rsidR="00A766AB" w:rsidRPr="0058603F" w:rsidRDefault="00A766AB" w:rsidP="00A766AB">
            <w:pPr>
              <w:rPr>
                <w:b/>
                <w:sz w:val="20"/>
                <w:szCs w:val="20"/>
              </w:rPr>
            </w:pPr>
            <w:r w:rsidRPr="0058603F">
              <w:rPr>
                <w:b/>
                <w:sz w:val="20"/>
                <w:szCs w:val="20"/>
              </w:rPr>
              <w:t>Izvori financiranja:</w:t>
            </w:r>
          </w:p>
        </w:tc>
        <w:tc>
          <w:tcPr>
            <w:tcW w:w="7053" w:type="dxa"/>
          </w:tcPr>
          <w:p w14:paraId="2EDE642F" w14:textId="77777777" w:rsidR="00A766AB" w:rsidRPr="0058603F" w:rsidRDefault="00A766AB" w:rsidP="00A766AB">
            <w:pPr>
              <w:rPr>
                <w:sz w:val="20"/>
                <w:szCs w:val="20"/>
              </w:rPr>
            </w:pPr>
            <w:r>
              <w:rPr>
                <w:sz w:val="20"/>
                <w:szCs w:val="20"/>
              </w:rPr>
              <w:t>EU fondovi (ITU mehanizam), Gradski proračun</w:t>
            </w:r>
          </w:p>
        </w:tc>
      </w:tr>
    </w:tbl>
    <w:p w14:paraId="290A43D5" w14:textId="77777777" w:rsidR="00A766AB" w:rsidRPr="00C4655E" w:rsidRDefault="00A766AB" w:rsidP="00C4655E"/>
    <w:tbl>
      <w:tblPr>
        <w:tblStyle w:val="TableGrid"/>
        <w:tblW w:w="0" w:type="auto"/>
        <w:tblBorders>
          <w:insideH w:val="dotted" w:sz="4" w:space="0" w:color="auto"/>
          <w:insideV w:val="none" w:sz="0" w:space="0" w:color="auto"/>
        </w:tblBorders>
        <w:tblLook w:val="04A0" w:firstRow="1" w:lastRow="0" w:firstColumn="1" w:lastColumn="0" w:noHBand="0" w:noVBand="1"/>
      </w:tblPr>
      <w:tblGrid>
        <w:gridCol w:w="2235"/>
        <w:gridCol w:w="7053"/>
      </w:tblGrid>
      <w:tr w:rsidR="003A7597" w14:paraId="55F813A9" w14:textId="77777777" w:rsidTr="003A7597">
        <w:tc>
          <w:tcPr>
            <w:tcW w:w="2235" w:type="dxa"/>
            <w:shd w:val="clear" w:color="auto" w:fill="E5DFEC" w:themeFill="accent4" w:themeFillTint="33"/>
          </w:tcPr>
          <w:p w14:paraId="5B2E0440" w14:textId="77777777" w:rsidR="003A7597" w:rsidRPr="0058603F" w:rsidRDefault="003A7597" w:rsidP="003A7597">
            <w:pPr>
              <w:rPr>
                <w:b/>
                <w:sz w:val="20"/>
                <w:szCs w:val="20"/>
              </w:rPr>
            </w:pPr>
            <w:r>
              <w:rPr>
                <w:b/>
                <w:sz w:val="20"/>
                <w:szCs w:val="20"/>
              </w:rPr>
              <w:t>Rbr.</w:t>
            </w:r>
          </w:p>
        </w:tc>
        <w:tc>
          <w:tcPr>
            <w:tcW w:w="7053" w:type="dxa"/>
          </w:tcPr>
          <w:p w14:paraId="0F65F86C" w14:textId="7E82EE11" w:rsidR="003A7597" w:rsidRPr="00D6307B" w:rsidRDefault="003A7597" w:rsidP="003A7597">
            <w:pPr>
              <w:rPr>
                <w:b/>
                <w:color w:val="660066"/>
                <w:sz w:val="28"/>
                <w:szCs w:val="28"/>
              </w:rPr>
            </w:pPr>
            <w:r>
              <w:rPr>
                <w:b/>
                <w:color w:val="660066"/>
                <w:sz w:val="28"/>
                <w:szCs w:val="28"/>
              </w:rPr>
              <w:t>3</w:t>
            </w:r>
          </w:p>
        </w:tc>
      </w:tr>
      <w:tr w:rsidR="003A7597" w14:paraId="3629A4AD" w14:textId="77777777" w:rsidTr="003A7597">
        <w:tc>
          <w:tcPr>
            <w:tcW w:w="2235" w:type="dxa"/>
            <w:shd w:val="clear" w:color="auto" w:fill="E5DFEC" w:themeFill="accent4" w:themeFillTint="33"/>
          </w:tcPr>
          <w:p w14:paraId="29171EBA" w14:textId="77777777" w:rsidR="003A7597" w:rsidRPr="0058603F" w:rsidRDefault="003A7597" w:rsidP="003A7597">
            <w:pPr>
              <w:rPr>
                <w:b/>
                <w:sz w:val="20"/>
                <w:szCs w:val="20"/>
              </w:rPr>
            </w:pPr>
            <w:r w:rsidRPr="0058603F">
              <w:rPr>
                <w:b/>
                <w:sz w:val="20"/>
                <w:szCs w:val="20"/>
              </w:rPr>
              <w:t>Prioritet:</w:t>
            </w:r>
          </w:p>
        </w:tc>
        <w:tc>
          <w:tcPr>
            <w:tcW w:w="7053" w:type="dxa"/>
          </w:tcPr>
          <w:p w14:paraId="1BE1DAF2" w14:textId="0C923418" w:rsidR="003A7597" w:rsidRDefault="003A7597" w:rsidP="003A7597">
            <w:pPr>
              <w:rPr>
                <w:sz w:val="20"/>
                <w:szCs w:val="20"/>
              </w:rPr>
            </w:pPr>
            <w:r w:rsidRPr="00252F2E">
              <w:rPr>
                <w:sz w:val="20"/>
                <w:szCs w:val="20"/>
              </w:rPr>
              <w:t>SC1.P1</w:t>
            </w:r>
            <w:r>
              <w:rPr>
                <w:sz w:val="20"/>
                <w:szCs w:val="20"/>
              </w:rPr>
              <w:t xml:space="preserve"> Obnova urbanih gradskih jezgri</w:t>
            </w:r>
          </w:p>
          <w:p w14:paraId="7702815C" w14:textId="1DF6621D" w:rsidR="003A7597" w:rsidRPr="00252F2E" w:rsidRDefault="003A7597" w:rsidP="003A7597">
            <w:pPr>
              <w:rPr>
                <w:sz w:val="20"/>
                <w:szCs w:val="20"/>
              </w:rPr>
            </w:pPr>
            <w:r w:rsidRPr="00D45536">
              <w:rPr>
                <w:sz w:val="20"/>
                <w:szCs w:val="20"/>
              </w:rPr>
              <w:t>SC1.P2 Razvoj sadržaja za revitalizaciju gospodarskog i društvenog života</w:t>
            </w:r>
          </w:p>
        </w:tc>
      </w:tr>
      <w:tr w:rsidR="003A7597" w14:paraId="5D90C158" w14:textId="77777777" w:rsidTr="003A7597">
        <w:tc>
          <w:tcPr>
            <w:tcW w:w="2235" w:type="dxa"/>
            <w:shd w:val="clear" w:color="auto" w:fill="E5DFEC" w:themeFill="accent4" w:themeFillTint="33"/>
          </w:tcPr>
          <w:p w14:paraId="769F5D3B" w14:textId="77777777" w:rsidR="003A7597" w:rsidRPr="0058603F" w:rsidRDefault="003A7597" w:rsidP="003A7597">
            <w:pPr>
              <w:rPr>
                <w:b/>
                <w:sz w:val="20"/>
                <w:szCs w:val="20"/>
              </w:rPr>
            </w:pPr>
            <w:r w:rsidRPr="0058603F">
              <w:rPr>
                <w:b/>
                <w:sz w:val="20"/>
                <w:szCs w:val="20"/>
              </w:rPr>
              <w:t>Mjera:</w:t>
            </w:r>
          </w:p>
        </w:tc>
        <w:tc>
          <w:tcPr>
            <w:tcW w:w="7053" w:type="dxa"/>
          </w:tcPr>
          <w:p w14:paraId="6A237B85" w14:textId="77777777" w:rsidR="003A7597" w:rsidRDefault="003A7597" w:rsidP="003A7597">
            <w:pPr>
              <w:rPr>
                <w:sz w:val="20"/>
                <w:szCs w:val="20"/>
              </w:rPr>
            </w:pPr>
            <w:r w:rsidRPr="00D45536">
              <w:rPr>
                <w:sz w:val="20"/>
                <w:szCs w:val="20"/>
              </w:rPr>
              <w:t>Mjera SC1 P2.1 Kulturna baština kao resurs za razvoj turizma i društvenog života</w:t>
            </w:r>
          </w:p>
          <w:p w14:paraId="6E468670" w14:textId="77777777" w:rsidR="003A7597" w:rsidRPr="00D45536" w:rsidRDefault="003A7597" w:rsidP="003A7597">
            <w:pPr>
              <w:rPr>
                <w:sz w:val="20"/>
                <w:szCs w:val="20"/>
              </w:rPr>
            </w:pPr>
            <w:r w:rsidRPr="00D45536">
              <w:rPr>
                <w:sz w:val="20"/>
                <w:szCs w:val="20"/>
              </w:rPr>
              <w:t xml:space="preserve">Mjera SC1 P2.2 Programi društvenog razvoja </w:t>
            </w:r>
          </w:p>
          <w:p w14:paraId="5AC89F36" w14:textId="22A070D3" w:rsidR="003A7597" w:rsidRPr="00A93EB0" w:rsidRDefault="003A7597" w:rsidP="003A7597">
            <w:pPr>
              <w:rPr>
                <w:sz w:val="20"/>
                <w:szCs w:val="20"/>
              </w:rPr>
            </w:pPr>
            <w:r w:rsidRPr="00D45536">
              <w:rPr>
                <w:sz w:val="20"/>
                <w:szCs w:val="20"/>
              </w:rPr>
              <w:t>Mjera SC1 P2.3 Programi društvene kohezije</w:t>
            </w:r>
          </w:p>
        </w:tc>
      </w:tr>
      <w:tr w:rsidR="003A7597" w14:paraId="26B10CC3" w14:textId="77777777" w:rsidTr="003A7597">
        <w:tc>
          <w:tcPr>
            <w:tcW w:w="2235" w:type="dxa"/>
            <w:shd w:val="clear" w:color="auto" w:fill="E5DFEC" w:themeFill="accent4" w:themeFillTint="33"/>
          </w:tcPr>
          <w:p w14:paraId="155627EF" w14:textId="77777777" w:rsidR="003A7597" w:rsidRPr="0058603F" w:rsidRDefault="003A7597" w:rsidP="003A7597">
            <w:pPr>
              <w:rPr>
                <w:b/>
                <w:sz w:val="20"/>
                <w:szCs w:val="20"/>
              </w:rPr>
            </w:pPr>
            <w:r w:rsidRPr="0058603F">
              <w:rPr>
                <w:b/>
                <w:sz w:val="20"/>
                <w:szCs w:val="20"/>
              </w:rPr>
              <w:t>Naziv projekta:</w:t>
            </w:r>
          </w:p>
        </w:tc>
        <w:tc>
          <w:tcPr>
            <w:tcW w:w="7053" w:type="dxa"/>
            <w:shd w:val="clear" w:color="auto" w:fill="E5DFEC" w:themeFill="accent4" w:themeFillTint="33"/>
          </w:tcPr>
          <w:p w14:paraId="2546C2EF" w14:textId="312A98D4" w:rsidR="003A7597" w:rsidRPr="003A7597" w:rsidRDefault="003A7597" w:rsidP="003A7597">
            <w:pPr>
              <w:rPr>
                <w:b/>
              </w:rPr>
            </w:pPr>
            <w:r w:rsidRPr="003A7597">
              <w:rPr>
                <w:b/>
              </w:rPr>
              <w:t>Ozalj, grad akvarela</w:t>
            </w:r>
          </w:p>
        </w:tc>
      </w:tr>
      <w:tr w:rsidR="003A7597" w14:paraId="104DD264" w14:textId="77777777" w:rsidTr="003A7597">
        <w:tc>
          <w:tcPr>
            <w:tcW w:w="2235" w:type="dxa"/>
            <w:shd w:val="clear" w:color="auto" w:fill="E5DFEC" w:themeFill="accent4" w:themeFillTint="33"/>
          </w:tcPr>
          <w:p w14:paraId="714368AF" w14:textId="77777777" w:rsidR="003A7597" w:rsidRPr="0058603F" w:rsidRDefault="003A7597" w:rsidP="003A7597">
            <w:pPr>
              <w:rPr>
                <w:b/>
                <w:sz w:val="20"/>
                <w:szCs w:val="20"/>
              </w:rPr>
            </w:pPr>
            <w:r w:rsidRPr="0058603F">
              <w:rPr>
                <w:b/>
                <w:sz w:val="20"/>
                <w:szCs w:val="20"/>
              </w:rPr>
              <w:t>Nositelj i partneri:</w:t>
            </w:r>
          </w:p>
        </w:tc>
        <w:tc>
          <w:tcPr>
            <w:tcW w:w="7053" w:type="dxa"/>
          </w:tcPr>
          <w:p w14:paraId="4213E53B" w14:textId="39F77020" w:rsidR="003A7597" w:rsidRPr="0058603F" w:rsidRDefault="003A7597" w:rsidP="003A7597">
            <w:pPr>
              <w:rPr>
                <w:sz w:val="20"/>
                <w:szCs w:val="20"/>
              </w:rPr>
            </w:pPr>
            <w:r>
              <w:rPr>
                <w:sz w:val="20"/>
                <w:szCs w:val="20"/>
              </w:rPr>
              <w:t>Grad Ozalj</w:t>
            </w:r>
            <w:r w:rsidR="00B33836">
              <w:rPr>
                <w:sz w:val="20"/>
                <w:szCs w:val="20"/>
              </w:rPr>
              <w:t>, Zavičajni muzej Ozalj</w:t>
            </w:r>
          </w:p>
        </w:tc>
      </w:tr>
      <w:tr w:rsidR="003A7597" w14:paraId="0CF8EBFC" w14:textId="77777777" w:rsidTr="003A7597">
        <w:tc>
          <w:tcPr>
            <w:tcW w:w="2235" w:type="dxa"/>
            <w:shd w:val="clear" w:color="auto" w:fill="E5DFEC" w:themeFill="accent4" w:themeFillTint="33"/>
          </w:tcPr>
          <w:p w14:paraId="148D0486" w14:textId="77777777" w:rsidR="003A7597" w:rsidRPr="0058603F" w:rsidRDefault="003A7597" w:rsidP="003A7597">
            <w:pPr>
              <w:rPr>
                <w:b/>
                <w:sz w:val="20"/>
                <w:szCs w:val="20"/>
              </w:rPr>
            </w:pPr>
            <w:r w:rsidRPr="0058603F">
              <w:rPr>
                <w:b/>
                <w:sz w:val="20"/>
                <w:szCs w:val="20"/>
              </w:rPr>
              <w:t>Cilj projekta:</w:t>
            </w:r>
          </w:p>
        </w:tc>
        <w:tc>
          <w:tcPr>
            <w:tcW w:w="7053" w:type="dxa"/>
          </w:tcPr>
          <w:p w14:paraId="7D420F9B" w14:textId="12F96593" w:rsidR="003A7597" w:rsidRPr="00E14AFB" w:rsidRDefault="003A7597" w:rsidP="003A7597">
            <w:pPr>
              <w:rPr>
                <w:sz w:val="20"/>
                <w:szCs w:val="20"/>
              </w:rPr>
            </w:pPr>
            <w:r w:rsidRPr="00E14AFB">
              <w:rPr>
                <w:sz w:val="20"/>
                <w:szCs w:val="20"/>
              </w:rPr>
              <w:t xml:space="preserve">Stvaranje novoga turističkog proizvoda izgradnjom i uređenjem turističke infrastrukture, uređenjem atelijera, galerije i muzeja Slave Raškaj te organizacijom edukativnih aktivnosti (radionica i škola akvarela). Infrastruktura je tematski povezana i veže se uz Stari grad Ozalj, srednjovjekovnu utvrdu u centru Ozlja. </w:t>
            </w:r>
          </w:p>
          <w:p w14:paraId="00F33305" w14:textId="41F4BF4F" w:rsidR="003A7597" w:rsidRPr="00E14AFB" w:rsidRDefault="003A7597" w:rsidP="003A7597">
            <w:pPr>
              <w:rPr>
                <w:sz w:val="20"/>
                <w:szCs w:val="20"/>
              </w:rPr>
            </w:pPr>
            <w:r w:rsidRPr="00E14AFB">
              <w:rPr>
                <w:sz w:val="20"/>
                <w:szCs w:val="20"/>
              </w:rPr>
              <w:t xml:space="preserve">Predstavljanje, brendiranje i promocija Ozlja kao jedinstvene destinacije kulturnog turizma „Slavin grad“. </w:t>
            </w:r>
          </w:p>
        </w:tc>
      </w:tr>
      <w:tr w:rsidR="003A7597" w14:paraId="6BC9E6FA" w14:textId="77777777" w:rsidTr="003A7597">
        <w:tc>
          <w:tcPr>
            <w:tcW w:w="2235" w:type="dxa"/>
            <w:shd w:val="clear" w:color="auto" w:fill="E5DFEC" w:themeFill="accent4" w:themeFillTint="33"/>
          </w:tcPr>
          <w:p w14:paraId="4481D99F" w14:textId="77777777" w:rsidR="003A7597" w:rsidRPr="0058603F" w:rsidRDefault="003A7597" w:rsidP="003A7597">
            <w:pPr>
              <w:rPr>
                <w:b/>
                <w:sz w:val="20"/>
                <w:szCs w:val="20"/>
              </w:rPr>
            </w:pPr>
            <w:r w:rsidRPr="0058603F">
              <w:rPr>
                <w:b/>
                <w:sz w:val="20"/>
                <w:szCs w:val="20"/>
              </w:rPr>
              <w:t>Sažetak aktivnosti:</w:t>
            </w:r>
          </w:p>
        </w:tc>
        <w:tc>
          <w:tcPr>
            <w:tcW w:w="7053" w:type="dxa"/>
          </w:tcPr>
          <w:p w14:paraId="4E739C5C" w14:textId="08ABC62A" w:rsidR="003A7597" w:rsidRPr="00E14AFB" w:rsidRDefault="003A7597" w:rsidP="003A7597">
            <w:pPr>
              <w:tabs>
                <w:tab w:val="left" w:pos="3613"/>
              </w:tabs>
              <w:jc w:val="left"/>
              <w:rPr>
                <w:sz w:val="20"/>
                <w:szCs w:val="20"/>
              </w:rPr>
            </w:pPr>
            <w:r w:rsidRPr="00E14AFB">
              <w:rPr>
                <w:sz w:val="20"/>
                <w:szCs w:val="20"/>
              </w:rPr>
              <w:t xml:space="preserve">Izgradnja i uređenje šetnice „Slave Raškaj“ uz rijeku Kupu, s kupalištem i popratnim objektima (sanitarije, svlačionice, tuševi, spremišta, objekt jednostavnih usluga u kiosku s natkrivenom terasom, ljetna pozornica i dječje igralište) </w:t>
            </w:r>
          </w:p>
          <w:p w14:paraId="558DB58D" w14:textId="77777777" w:rsidR="00B33836" w:rsidRDefault="00B33836" w:rsidP="003A7597">
            <w:pPr>
              <w:tabs>
                <w:tab w:val="left" w:pos="3613"/>
              </w:tabs>
              <w:jc w:val="left"/>
              <w:rPr>
                <w:sz w:val="20"/>
                <w:szCs w:val="20"/>
              </w:rPr>
            </w:pPr>
            <w:r w:rsidRPr="00E14AFB">
              <w:rPr>
                <w:sz w:val="20"/>
                <w:szCs w:val="20"/>
              </w:rPr>
              <w:t>Izgradnja parkirališta z</w:t>
            </w:r>
            <w:r>
              <w:rPr>
                <w:sz w:val="20"/>
                <w:szCs w:val="20"/>
              </w:rPr>
              <w:t>a osobne automobile i autobuse, uređenje šetnica</w:t>
            </w:r>
          </w:p>
          <w:p w14:paraId="1D7F1215" w14:textId="77777777" w:rsidR="00B33836" w:rsidRDefault="00B33836" w:rsidP="003A7597">
            <w:pPr>
              <w:tabs>
                <w:tab w:val="left" w:pos="3613"/>
              </w:tabs>
              <w:jc w:val="left"/>
              <w:rPr>
                <w:sz w:val="20"/>
                <w:szCs w:val="20"/>
              </w:rPr>
            </w:pPr>
            <w:r>
              <w:rPr>
                <w:sz w:val="20"/>
                <w:szCs w:val="20"/>
              </w:rPr>
              <w:t xml:space="preserve">Uređenje interpretacijskog centra Slava Raškaj – dijalog s potrebitima </w:t>
            </w:r>
          </w:p>
          <w:p w14:paraId="59EAF2DE" w14:textId="2EE573D1" w:rsidR="003A7597" w:rsidRPr="00E14AFB" w:rsidRDefault="003A7597" w:rsidP="003A7597">
            <w:pPr>
              <w:tabs>
                <w:tab w:val="left" w:pos="3613"/>
              </w:tabs>
              <w:jc w:val="left"/>
              <w:rPr>
                <w:sz w:val="20"/>
                <w:szCs w:val="20"/>
              </w:rPr>
            </w:pPr>
            <w:r w:rsidRPr="00E14AFB">
              <w:rPr>
                <w:sz w:val="20"/>
                <w:szCs w:val="20"/>
              </w:rPr>
              <w:t>Održavanje  edukativnih radionica čiji je cilj razvoj nepoljoprivrednih djelatnosti na ruralnom području te proširenje i stvaranje nove turističke ponude, uz uključenje osoba s posebnim potrebama. Radi se o integralnom projektu koji je moguće izvoditi i u fazama.</w:t>
            </w:r>
          </w:p>
          <w:p w14:paraId="5E34BC99" w14:textId="77777777" w:rsidR="003A7597" w:rsidRDefault="003A7597" w:rsidP="003A7597">
            <w:pPr>
              <w:tabs>
                <w:tab w:val="left" w:pos="3613"/>
              </w:tabs>
              <w:jc w:val="left"/>
              <w:rPr>
                <w:sz w:val="20"/>
                <w:szCs w:val="20"/>
              </w:rPr>
            </w:pPr>
            <w:r w:rsidRPr="00E14AFB">
              <w:rPr>
                <w:sz w:val="20"/>
                <w:szCs w:val="20"/>
              </w:rPr>
              <w:t>Prezentacija i promocija projekta i njegovih rezultata</w:t>
            </w:r>
            <w:r w:rsidR="00E14AFB">
              <w:rPr>
                <w:sz w:val="20"/>
                <w:szCs w:val="20"/>
              </w:rPr>
              <w:t>.</w:t>
            </w:r>
          </w:p>
          <w:p w14:paraId="53EDA130" w14:textId="77777777" w:rsidR="00E14AFB" w:rsidRDefault="00E14AFB" w:rsidP="003A7597">
            <w:pPr>
              <w:tabs>
                <w:tab w:val="left" w:pos="3613"/>
              </w:tabs>
              <w:jc w:val="left"/>
              <w:rPr>
                <w:sz w:val="20"/>
                <w:szCs w:val="20"/>
              </w:rPr>
            </w:pPr>
            <w:r>
              <w:rPr>
                <w:sz w:val="20"/>
                <w:szCs w:val="20"/>
              </w:rPr>
              <w:t>POD-PROJEKTI spremni za provedbu (kategorije I):</w:t>
            </w:r>
          </w:p>
          <w:p w14:paraId="53DA3DD5" w14:textId="77777777" w:rsidR="00E14AFB" w:rsidRPr="00B54887" w:rsidRDefault="00E14AFB" w:rsidP="00F950C3">
            <w:pPr>
              <w:pStyle w:val="ListParagraph"/>
              <w:numPr>
                <w:ilvl w:val="0"/>
                <w:numId w:val="19"/>
              </w:numPr>
              <w:tabs>
                <w:tab w:val="left" w:pos="3613"/>
              </w:tabs>
              <w:jc w:val="left"/>
              <w:rPr>
                <w:sz w:val="20"/>
                <w:szCs w:val="20"/>
              </w:rPr>
            </w:pPr>
            <w:r w:rsidRPr="00B54887">
              <w:rPr>
                <w:sz w:val="20"/>
                <w:szCs w:val="20"/>
              </w:rPr>
              <w:t>Šetnica uz potok Vlahovku i pristupne stube Kaptolu</w:t>
            </w:r>
          </w:p>
          <w:p w14:paraId="19585C3E" w14:textId="36019510" w:rsidR="00E14AFB" w:rsidRPr="00B54887" w:rsidRDefault="00B54887" w:rsidP="00F950C3">
            <w:pPr>
              <w:pStyle w:val="ListParagraph"/>
              <w:numPr>
                <w:ilvl w:val="0"/>
                <w:numId w:val="19"/>
              </w:numPr>
              <w:tabs>
                <w:tab w:val="left" w:pos="3613"/>
              </w:tabs>
              <w:jc w:val="left"/>
              <w:rPr>
                <w:sz w:val="20"/>
                <w:szCs w:val="20"/>
              </w:rPr>
            </w:pPr>
            <w:r w:rsidRPr="00B54887">
              <w:rPr>
                <w:sz w:val="20"/>
                <w:szCs w:val="20"/>
              </w:rPr>
              <w:lastRenderedPageBreak/>
              <w:t>Nastavak uređenja š</w:t>
            </w:r>
            <w:r w:rsidR="00E14AFB" w:rsidRPr="00B54887">
              <w:rPr>
                <w:sz w:val="20"/>
                <w:szCs w:val="20"/>
              </w:rPr>
              <w:t>etnice u centru Ozlja</w:t>
            </w:r>
          </w:p>
          <w:p w14:paraId="75C067C4" w14:textId="7159CC0D" w:rsidR="00B54887" w:rsidRPr="00B54887" w:rsidRDefault="00B54887" w:rsidP="00F950C3">
            <w:pPr>
              <w:pStyle w:val="ListParagraph"/>
              <w:numPr>
                <w:ilvl w:val="0"/>
                <w:numId w:val="19"/>
              </w:numPr>
              <w:tabs>
                <w:tab w:val="left" w:pos="3613"/>
              </w:tabs>
              <w:jc w:val="left"/>
              <w:rPr>
                <w:sz w:val="20"/>
                <w:szCs w:val="20"/>
              </w:rPr>
            </w:pPr>
            <w:r w:rsidRPr="00B54887">
              <w:rPr>
                <w:sz w:val="20"/>
                <w:szCs w:val="20"/>
              </w:rPr>
              <w:t>Kuća ”Migan”</w:t>
            </w:r>
          </w:p>
          <w:p w14:paraId="1CF606AF" w14:textId="77777777" w:rsidR="00E14AFB" w:rsidRPr="00B54887" w:rsidRDefault="00E14AFB" w:rsidP="00F950C3">
            <w:pPr>
              <w:pStyle w:val="ListParagraph"/>
              <w:numPr>
                <w:ilvl w:val="0"/>
                <w:numId w:val="19"/>
              </w:numPr>
              <w:tabs>
                <w:tab w:val="left" w:pos="3613"/>
              </w:tabs>
              <w:jc w:val="left"/>
              <w:rPr>
                <w:sz w:val="20"/>
                <w:szCs w:val="20"/>
              </w:rPr>
            </w:pPr>
            <w:r w:rsidRPr="00B54887">
              <w:rPr>
                <w:sz w:val="20"/>
                <w:szCs w:val="20"/>
              </w:rPr>
              <w:t>Centar za posjetioce / Interpretacijski centar Slava Raškaj</w:t>
            </w:r>
            <w:r w:rsidR="00B54887" w:rsidRPr="00B54887">
              <w:rPr>
                <w:sz w:val="20"/>
                <w:szCs w:val="20"/>
              </w:rPr>
              <w:t xml:space="preserve"> – dijalog s potrebitima</w:t>
            </w:r>
          </w:p>
          <w:p w14:paraId="256B3A12" w14:textId="1CE3EA14" w:rsidR="00B54887" w:rsidRPr="00B54887" w:rsidRDefault="00B54887" w:rsidP="00F950C3">
            <w:pPr>
              <w:pStyle w:val="ListParagraph"/>
              <w:numPr>
                <w:ilvl w:val="0"/>
                <w:numId w:val="19"/>
              </w:numPr>
              <w:tabs>
                <w:tab w:val="left" w:pos="3613"/>
              </w:tabs>
              <w:jc w:val="left"/>
              <w:rPr>
                <w:sz w:val="20"/>
                <w:szCs w:val="20"/>
              </w:rPr>
            </w:pPr>
            <w:r w:rsidRPr="00B54887">
              <w:rPr>
                <w:sz w:val="20"/>
                <w:szCs w:val="20"/>
              </w:rPr>
              <w:t>Kupalište Slave Raškaj u Ozlju, nastavak gradnje</w:t>
            </w:r>
          </w:p>
          <w:p w14:paraId="6098E16A" w14:textId="77777777" w:rsidR="00B54887" w:rsidRPr="00264ECA" w:rsidRDefault="00B54887" w:rsidP="00F950C3">
            <w:pPr>
              <w:pStyle w:val="ListParagraph"/>
              <w:numPr>
                <w:ilvl w:val="0"/>
                <w:numId w:val="19"/>
              </w:numPr>
              <w:tabs>
                <w:tab w:val="left" w:pos="3613"/>
              </w:tabs>
              <w:jc w:val="left"/>
              <w:rPr>
                <w:rFonts w:eastAsia="Times New Roman" w:cs="Times New Roman"/>
                <w:color w:val="000000"/>
                <w:sz w:val="20"/>
                <w:szCs w:val="20"/>
              </w:rPr>
            </w:pPr>
            <w:r w:rsidRPr="00B54887">
              <w:rPr>
                <w:sz w:val="20"/>
                <w:szCs w:val="20"/>
              </w:rPr>
              <w:t>Uređenje ulice Kaptol</w:t>
            </w:r>
          </w:p>
          <w:p w14:paraId="6077B790" w14:textId="357C6191" w:rsidR="00264ECA" w:rsidRPr="00B54887" w:rsidRDefault="00264ECA" w:rsidP="00F950C3">
            <w:pPr>
              <w:pStyle w:val="ListParagraph"/>
              <w:numPr>
                <w:ilvl w:val="0"/>
                <w:numId w:val="19"/>
              </w:numPr>
              <w:tabs>
                <w:tab w:val="left" w:pos="3613"/>
              </w:tabs>
              <w:jc w:val="left"/>
              <w:rPr>
                <w:rFonts w:eastAsia="Times New Roman" w:cs="Times New Roman"/>
                <w:color w:val="000000"/>
                <w:sz w:val="20"/>
                <w:szCs w:val="20"/>
              </w:rPr>
            </w:pPr>
            <w:r>
              <w:rPr>
                <w:sz w:val="20"/>
                <w:szCs w:val="20"/>
              </w:rPr>
              <w:t>Priprema projekta za Uređenje gradskog trga u Gornjem Ozlju</w:t>
            </w:r>
          </w:p>
        </w:tc>
      </w:tr>
      <w:tr w:rsidR="003A7597" w14:paraId="4EC80B5A" w14:textId="77777777" w:rsidTr="003A7597">
        <w:tc>
          <w:tcPr>
            <w:tcW w:w="2235" w:type="dxa"/>
            <w:shd w:val="clear" w:color="auto" w:fill="E5DFEC" w:themeFill="accent4" w:themeFillTint="33"/>
          </w:tcPr>
          <w:p w14:paraId="3BAEF297" w14:textId="1D9F9DDB" w:rsidR="003A7597" w:rsidRPr="0058603F" w:rsidRDefault="003A7597" w:rsidP="003A7597">
            <w:pPr>
              <w:rPr>
                <w:b/>
                <w:sz w:val="20"/>
                <w:szCs w:val="20"/>
              </w:rPr>
            </w:pPr>
            <w:r w:rsidRPr="0058603F">
              <w:rPr>
                <w:b/>
                <w:sz w:val="20"/>
                <w:szCs w:val="20"/>
              </w:rPr>
              <w:lastRenderedPageBreak/>
              <w:t>Ciljano područje:</w:t>
            </w:r>
          </w:p>
        </w:tc>
        <w:tc>
          <w:tcPr>
            <w:tcW w:w="7053" w:type="dxa"/>
          </w:tcPr>
          <w:p w14:paraId="419D68BE" w14:textId="0CEBD359" w:rsidR="003A7597" w:rsidRPr="0058603F" w:rsidRDefault="00E14AFB" w:rsidP="003A7597">
            <w:pPr>
              <w:rPr>
                <w:sz w:val="20"/>
                <w:szCs w:val="20"/>
              </w:rPr>
            </w:pPr>
            <w:r>
              <w:rPr>
                <w:sz w:val="20"/>
                <w:szCs w:val="20"/>
              </w:rPr>
              <w:t>Ozalj</w:t>
            </w:r>
          </w:p>
        </w:tc>
      </w:tr>
      <w:tr w:rsidR="003A7597" w14:paraId="0A849019" w14:textId="77777777" w:rsidTr="003A7597">
        <w:tc>
          <w:tcPr>
            <w:tcW w:w="2235" w:type="dxa"/>
            <w:shd w:val="clear" w:color="auto" w:fill="E5DFEC" w:themeFill="accent4" w:themeFillTint="33"/>
          </w:tcPr>
          <w:p w14:paraId="6B685CBA" w14:textId="77777777" w:rsidR="003A7597" w:rsidRPr="0058603F" w:rsidRDefault="003A7597" w:rsidP="003A7597">
            <w:pPr>
              <w:rPr>
                <w:b/>
                <w:sz w:val="20"/>
                <w:szCs w:val="20"/>
              </w:rPr>
            </w:pPr>
            <w:r w:rsidRPr="0058603F">
              <w:rPr>
                <w:b/>
                <w:sz w:val="20"/>
                <w:szCs w:val="20"/>
              </w:rPr>
              <w:t>Tip projekta:</w:t>
            </w:r>
          </w:p>
        </w:tc>
        <w:tc>
          <w:tcPr>
            <w:tcW w:w="7053" w:type="dxa"/>
          </w:tcPr>
          <w:p w14:paraId="1DBA2E07" w14:textId="4E17A904" w:rsidR="003A7597" w:rsidRPr="0058603F" w:rsidRDefault="003A7597" w:rsidP="003A7597">
            <w:pPr>
              <w:rPr>
                <w:sz w:val="20"/>
                <w:szCs w:val="20"/>
              </w:rPr>
            </w:pPr>
            <w:r>
              <w:rPr>
                <w:sz w:val="20"/>
                <w:szCs w:val="20"/>
              </w:rPr>
              <w:t xml:space="preserve">Infrastrukturni </w:t>
            </w:r>
            <w:r w:rsidR="00E14AFB">
              <w:rPr>
                <w:sz w:val="20"/>
                <w:szCs w:val="20"/>
              </w:rPr>
              <w:t>+ soft</w:t>
            </w:r>
          </w:p>
        </w:tc>
      </w:tr>
      <w:tr w:rsidR="003A7597" w14:paraId="04D37844" w14:textId="77777777" w:rsidTr="003A7597">
        <w:tc>
          <w:tcPr>
            <w:tcW w:w="2235" w:type="dxa"/>
            <w:shd w:val="clear" w:color="auto" w:fill="E5DFEC" w:themeFill="accent4" w:themeFillTint="33"/>
          </w:tcPr>
          <w:p w14:paraId="1A98C27C" w14:textId="77777777" w:rsidR="003A7597" w:rsidRPr="0058603F" w:rsidRDefault="003A7597" w:rsidP="003A7597">
            <w:pPr>
              <w:rPr>
                <w:b/>
                <w:sz w:val="20"/>
                <w:szCs w:val="20"/>
              </w:rPr>
            </w:pPr>
            <w:r w:rsidRPr="0058603F">
              <w:rPr>
                <w:b/>
                <w:sz w:val="20"/>
                <w:szCs w:val="20"/>
              </w:rPr>
              <w:t>Pripremljenost projekta:</w:t>
            </w:r>
          </w:p>
        </w:tc>
        <w:tc>
          <w:tcPr>
            <w:tcW w:w="7053" w:type="dxa"/>
          </w:tcPr>
          <w:p w14:paraId="7169D9BF" w14:textId="6AB66EDA" w:rsidR="003A7597" w:rsidRPr="0058603F" w:rsidRDefault="003A7597" w:rsidP="003A7597">
            <w:pPr>
              <w:rPr>
                <w:sz w:val="20"/>
                <w:szCs w:val="20"/>
              </w:rPr>
            </w:pPr>
            <w:r>
              <w:rPr>
                <w:sz w:val="20"/>
                <w:szCs w:val="20"/>
              </w:rPr>
              <w:t>Kategorija I</w:t>
            </w:r>
            <w:r w:rsidR="00B54887">
              <w:rPr>
                <w:sz w:val="20"/>
                <w:szCs w:val="20"/>
              </w:rPr>
              <w:t xml:space="preserve"> </w:t>
            </w:r>
          </w:p>
        </w:tc>
      </w:tr>
      <w:tr w:rsidR="003A7597" w14:paraId="6F74D47B" w14:textId="77777777" w:rsidTr="003A7597">
        <w:tc>
          <w:tcPr>
            <w:tcW w:w="2235" w:type="dxa"/>
            <w:shd w:val="clear" w:color="auto" w:fill="E5DFEC" w:themeFill="accent4" w:themeFillTint="33"/>
          </w:tcPr>
          <w:p w14:paraId="3FB97031" w14:textId="77777777" w:rsidR="003A7597" w:rsidRPr="0058603F" w:rsidRDefault="003A7597" w:rsidP="003A7597">
            <w:pPr>
              <w:rPr>
                <w:b/>
                <w:sz w:val="20"/>
                <w:szCs w:val="20"/>
              </w:rPr>
            </w:pPr>
            <w:r w:rsidRPr="0058603F">
              <w:rPr>
                <w:b/>
                <w:sz w:val="20"/>
                <w:szCs w:val="20"/>
              </w:rPr>
              <w:t xml:space="preserve">Indikativni </w:t>
            </w:r>
            <w:r>
              <w:rPr>
                <w:b/>
                <w:sz w:val="20"/>
                <w:szCs w:val="20"/>
              </w:rPr>
              <w:t>proračun projekta</w:t>
            </w:r>
            <w:r w:rsidRPr="0058603F">
              <w:rPr>
                <w:b/>
                <w:sz w:val="20"/>
                <w:szCs w:val="20"/>
              </w:rPr>
              <w:t xml:space="preserve"> (HRK):</w:t>
            </w:r>
          </w:p>
        </w:tc>
        <w:tc>
          <w:tcPr>
            <w:tcW w:w="7053" w:type="dxa"/>
          </w:tcPr>
          <w:p w14:paraId="4811D713" w14:textId="1FE6D1E2" w:rsidR="003A7597" w:rsidRPr="0058603F" w:rsidRDefault="00B54887" w:rsidP="00B54887">
            <w:pPr>
              <w:rPr>
                <w:sz w:val="20"/>
                <w:szCs w:val="20"/>
              </w:rPr>
            </w:pPr>
            <w:r>
              <w:rPr>
                <w:sz w:val="20"/>
                <w:szCs w:val="20"/>
              </w:rPr>
              <w:t>9.600.000</w:t>
            </w:r>
            <w:r w:rsidR="003A7597">
              <w:rPr>
                <w:sz w:val="20"/>
                <w:szCs w:val="20"/>
              </w:rPr>
              <w:t xml:space="preserve"> HRK (</w:t>
            </w:r>
            <w:r>
              <w:rPr>
                <w:sz w:val="20"/>
                <w:szCs w:val="20"/>
              </w:rPr>
              <w:t>podprojekti kategorije I</w:t>
            </w:r>
            <w:r w:rsidR="003A7597">
              <w:rPr>
                <w:sz w:val="20"/>
                <w:szCs w:val="20"/>
              </w:rPr>
              <w:t>)</w:t>
            </w:r>
          </w:p>
        </w:tc>
      </w:tr>
      <w:tr w:rsidR="003A7597" w14:paraId="689FE2A2" w14:textId="77777777" w:rsidTr="003A7597">
        <w:tc>
          <w:tcPr>
            <w:tcW w:w="2235" w:type="dxa"/>
            <w:shd w:val="clear" w:color="auto" w:fill="E5DFEC" w:themeFill="accent4" w:themeFillTint="33"/>
          </w:tcPr>
          <w:p w14:paraId="7008780E" w14:textId="77777777" w:rsidR="003A7597" w:rsidRPr="0058603F" w:rsidRDefault="003A7597" w:rsidP="003A7597">
            <w:pPr>
              <w:rPr>
                <w:b/>
                <w:sz w:val="20"/>
                <w:szCs w:val="20"/>
              </w:rPr>
            </w:pPr>
            <w:r w:rsidRPr="0058603F">
              <w:rPr>
                <w:b/>
                <w:sz w:val="20"/>
                <w:szCs w:val="20"/>
              </w:rPr>
              <w:t>Izvori financiranja:</w:t>
            </w:r>
          </w:p>
        </w:tc>
        <w:tc>
          <w:tcPr>
            <w:tcW w:w="7053" w:type="dxa"/>
          </w:tcPr>
          <w:p w14:paraId="0FF29737" w14:textId="77777777" w:rsidR="003A7597" w:rsidRPr="0058603F" w:rsidRDefault="003A7597" w:rsidP="003A7597">
            <w:pPr>
              <w:rPr>
                <w:sz w:val="20"/>
                <w:szCs w:val="20"/>
              </w:rPr>
            </w:pPr>
            <w:r>
              <w:rPr>
                <w:sz w:val="20"/>
                <w:szCs w:val="20"/>
              </w:rPr>
              <w:t>EU fondovi (ITU mehanizam), Gradski proračun</w:t>
            </w:r>
          </w:p>
        </w:tc>
      </w:tr>
    </w:tbl>
    <w:p w14:paraId="1C618B84" w14:textId="77777777" w:rsidR="00E40354" w:rsidRDefault="00E40354" w:rsidP="00C4655E"/>
    <w:tbl>
      <w:tblPr>
        <w:tblStyle w:val="TableGrid"/>
        <w:tblW w:w="0" w:type="auto"/>
        <w:tblBorders>
          <w:insideH w:val="dotted" w:sz="4" w:space="0" w:color="auto"/>
          <w:insideV w:val="none" w:sz="0" w:space="0" w:color="auto"/>
        </w:tblBorders>
        <w:tblLook w:val="04A0" w:firstRow="1" w:lastRow="0" w:firstColumn="1" w:lastColumn="0" w:noHBand="0" w:noVBand="1"/>
      </w:tblPr>
      <w:tblGrid>
        <w:gridCol w:w="2235"/>
        <w:gridCol w:w="7053"/>
      </w:tblGrid>
      <w:tr w:rsidR="00B54887" w:rsidRPr="00D6307B" w14:paraId="3B085AD3" w14:textId="77777777" w:rsidTr="00B54887">
        <w:tc>
          <w:tcPr>
            <w:tcW w:w="2235" w:type="dxa"/>
            <w:shd w:val="clear" w:color="auto" w:fill="E5DFEC" w:themeFill="accent4" w:themeFillTint="33"/>
          </w:tcPr>
          <w:p w14:paraId="4106E4B8" w14:textId="77777777" w:rsidR="00B54887" w:rsidRPr="0058603F" w:rsidRDefault="00B54887" w:rsidP="00B54887">
            <w:pPr>
              <w:rPr>
                <w:b/>
                <w:sz w:val="20"/>
                <w:szCs w:val="20"/>
              </w:rPr>
            </w:pPr>
            <w:r>
              <w:rPr>
                <w:b/>
                <w:sz w:val="20"/>
                <w:szCs w:val="20"/>
              </w:rPr>
              <w:t>Rbr.</w:t>
            </w:r>
          </w:p>
        </w:tc>
        <w:tc>
          <w:tcPr>
            <w:tcW w:w="7053" w:type="dxa"/>
          </w:tcPr>
          <w:p w14:paraId="40814A33" w14:textId="65887627" w:rsidR="00B54887" w:rsidRPr="00D6307B" w:rsidRDefault="00B54887" w:rsidP="00B54887">
            <w:pPr>
              <w:rPr>
                <w:b/>
                <w:color w:val="660066"/>
                <w:sz w:val="28"/>
                <w:szCs w:val="28"/>
              </w:rPr>
            </w:pPr>
            <w:r>
              <w:rPr>
                <w:b/>
                <w:color w:val="660066"/>
                <w:sz w:val="28"/>
                <w:szCs w:val="28"/>
              </w:rPr>
              <w:t>4</w:t>
            </w:r>
          </w:p>
        </w:tc>
      </w:tr>
      <w:tr w:rsidR="00B54887" w:rsidRPr="00252F2E" w14:paraId="51328C22" w14:textId="77777777" w:rsidTr="00B54887">
        <w:tc>
          <w:tcPr>
            <w:tcW w:w="2235" w:type="dxa"/>
            <w:shd w:val="clear" w:color="auto" w:fill="E5DFEC" w:themeFill="accent4" w:themeFillTint="33"/>
          </w:tcPr>
          <w:p w14:paraId="4A911164" w14:textId="77777777" w:rsidR="00B54887" w:rsidRPr="0058603F" w:rsidRDefault="00B54887" w:rsidP="00B54887">
            <w:pPr>
              <w:rPr>
                <w:b/>
                <w:sz w:val="20"/>
                <w:szCs w:val="20"/>
              </w:rPr>
            </w:pPr>
            <w:r w:rsidRPr="0058603F">
              <w:rPr>
                <w:b/>
                <w:sz w:val="20"/>
                <w:szCs w:val="20"/>
              </w:rPr>
              <w:t>Prioritet:</w:t>
            </w:r>
          </w:p>
        </w:tc>
        <w:tc>
          <w:tcPr>
            <w:tcW w:w="7053" w:type="dxa"/>
          </w:tcPr>
          <w:p w14:paraId="3A5500C5" w14:textId="77777777" w:rsidR="00B54887" w:rsidRDefault="00B54887" w:rsidP="00B54887">
            <w:pPr>
              <w:rPr>
                <w:sz w:val="20"/>
                <w:szCs w:val="20"/>
              </w:rPr>
            </w:pPr>
            <w:r w:rsidRPr="00252F2E">
              <w:rPr>
                <w:sz w:val="20"/>
                <w:szCs w:val="20"/>
              </w:rPr>
              <w:t>SC1.P1</w:t>
            </w:r>
            <w:r>
              <w:rPr>
                <w:sz w:val="20"/>
                <w:szCs w:val="20"/>
              </w:rPr>
              <w:t xml:space="preserve"> Obnova urbanih gradskih jezgri</w:t>
            </w:r>
          </w:p>
          <w:p w14:paraId="6A0B5E6E" w14:textId="77777777" w:rsidR="00B54887" w:rsidRPr="00252F2E" w:rsidRDefault="00B54887" w:rsidP="00B54887">
            <w:pPr>
              <w:rPr>
                <w:sz w:val="20"/>
                <w:szCs w:val="20"/>
              </w:rPr>
            </w:pPr>
            <w:r w:rsidRPr="00D45536">
              <w:rPr>
                <w:sz w:val="20"/>
                <w:szCs w:val="20"/>
              </w:rPr>
              <w:t>SC1.P2 Razvoj sadržaja za revitalizaciju gospodarskog i društvenog života</w:t>
            </w:r>
          </w:p>
        </w:tc>
      </w:tr>
      <w:tr w:rsidR="00B54887" w:rsidRPr="00A93EB0" w14:paraId="756E1764" w14:textId="77777777" w:rsidTr="00B54887">
        <w:tc>
          <w:tcPr>
            <w:tcW w:w="2235" w:type="dxa"/>
            <w:shd w:val="clear" w:color="auto" w:fill="E5DFEC" w:themeFill="accent4" w:themeFillTint="33"/>
          </w:tcPr>
          <w:p w14:paraId="1B36DCF4" w14:textId="77777777" w:rsidR="00B54887" w:rsidRPr="0058603F" w:rsidRDefault="00B54887" w:rsidP="00B54887">
            <w:pPr>
              <w:rPr>
                <w:b/>
                <w:sz w:val="20"/>
                <w:szCs w:val="20"/>
              </w:rPr>
            </w:pPr>
            <w:r w:rsidRPr="0058603F">
              <w:rPr>
                <w:b/>
                <w:sz w:val="20"/>
                <w:szCs w:val="20"/>
              </w:rPr>
              <w:t>Mjera:</w:t>
            </w:r>
          </w:p>
        </w:tc>
        <w:tc>
          <w:tcPr>
            <w:tcW w:w="7053" w:type="dxa"/>
          </w:tcPr>
          <w:p w14:paraId="22C745FF" w14:textId="77777777" w:rsidR="00B54887" w:rsidRDefault="00B54887" w:rsidP="00B54887">
            <w:pPr>
              <w:rPr>
                <w:sz w:val="20"/>
                <w:szCs w:val="20"/>
              </w:rPr>
            </w:pPr>
            <w:r w:rsidRPr="00D45536">
              <w:rPr>
                <w:sz w:val="20"/>
                <w:szCs w:val="20"/>
              </w:rPr>
              <w:t>Mjera SC1 P2.1 Kulturna baština kao resurs za razvoj turizma i društvenog života</w:t>
            </w:r>
          </w:p>
          <w:p w14:paraId="77724280" w14:textId="1D868987" w:rsidR="00B54887" w:rsidRPr="00A93EB0" w:rsidRDefault="00B54887" w:rsidP="00B54887">
            <w:pPr>
              <w:rPr>
                <w:sz w:val="20"/>
                <w:szCs w:val="20"/>
              </w:rPr>
            </w:pPr>
            <w:r w:rsidRPr="00D45536">
              <w:rPr>
                <w:sz w:val="20"/>
                <w:szCs w:val="20"/>
              </w:rPr>
              <w:t xml:space="preserve">Mjera SC1 P2.2 Programi društvenog razvoja </w:t>
            </w:r>
          </w:p>
        </w:tc>
      </w:tr>
      <w:tr w:rsidR="00B54887" w:rsidRPr="003A7597" w14:paraId="33A32826" w14:textId="77777777" w:rsidTr="00B54887">
        <w:tc>
          <w:tcPr>
            <w:tcW w:w="2235" w:type="dxa"/>
            <w:shd w:val="clear" w:color="auto" w:fill="E5DFEC" w:themeFill="accent4" w:themeFillTint="33"/>
          </w:tcPr>
          <w:p w14:paraId="1B8450F0" w14:textId="77777777" w:rsidR="00B54887" w:rsidRPr="0058603F" w:rsidRDefault="00B54887" w:rsidP="00B54887">
            <w:pPr>
              <w:rPr>
                <w:b/>
                <w:sz w:val="20"/>
                <w:szCs w:val="20"/>
              </w:rPr>
            </w:pPr>
            <w:r w:rsidRPr="0058603F">
              <w:rPr>
                <w:b/>
                <w:sz w:val="20"/>
                <w:szCs w:val="20"/>
              </w:rPr>
              <w:t>Naziv projekta:</w:t>
            </w:r>
          </w:p>
        </w:tc>
        <w:tc>
          <w:tcPr>
            <w:tcW w:w="7053" w:type="dxa"/>
            <w:shd w:val="clear" w:color="auto" w:fill="E5DFEC" w:themeFill="accent4" w:themeFillTint="33"/>
          </w:tcPr>
          <w:p w14:paraId="3E21D989" w14:textId="58DA0866" w:rsidR="00B54887" w:rsidRPr="00B54887" w:rsidRDefault="00B33836" w:rsidP="00B33836">
            <w:pPr>
              <w:rPr>
                <w:b/>
              </w:rPr>
            </w:pPr>
            <w:r>
              <w:rPr>
                <w:b/>
              </w:rPr>
              <w:t>Revitalizacija vrtnog grada Duga Rese</w:t>
            </w:r>
          </w:p>
        </w:tc>
      </w:tr>
      <w:tr w:rsidR="00B54887" w:rsidRPr="0058603F" w14:paraId="3112B584" w14:textId="77777777" w:rsidTr="00B54887">
        <w:tc>
          <w:tcPr>
            <w:tcW w:w="2235" w:type="dxa"/>
            <w:shd w:val="clear" w:color="auto" w:fill="E5DFEC" w:themeFill="accent4" w:themeFillTint="33"/>
          </w:tcPr>
          <w:p w14:paraId="1548094E" w14:textId="77777777" w:rsidR="00B54887" w:rsidRPr="0058603F" w:rsidRDefault="00B54887" w:rsidP="00B54887">
            <w:pPr>
              <w:rPr>
                <w:b/>
                <w:sz w:val="20"/>
                <w:szCs w:val="20"/>
              </w:rPr>
            </w:pPr>
            <w:r w:rsidRPr="0058603F">
              <w:rPr>
                <w:b/>
                <w:sz w:val="20"/>
                <w:szCs w:val="20"/>
              </w:rPr>
              <w:t>Nositelj i partneri:</w:t>
            </w:r>
          </w:p>
        </w:tc>
        <w:tc>
          <w:tcPr>
            <w:tcW w:w="7053" w:type="dxa"/>
          </w:tcPr>
          <w:p w14:paraId="0799C477" w14:textId="4EF94FE9" w:rsidR="00B54887" w:rsidRPr="0058603F" w:rsidRDefault="00B54887" w:rsidP="00B33836">
            <w:pPr>
              <w:rPr>
                <w:sz w:val="20"/>
                <w:szCs w:val="20"/>
              </w:rPr>
            </w:pPr>
            <w:r>
              <w:rPr>
                <w:sz w:val="20"/>
                <w:szCs w:val="20"/>
              </w:rPr>
              <w:t xml:space="preserve">Grad </w:t>
            </w:r>
            <w:r w:rsidR="00B33836">
              <w:rPr>
                <w:sz w:val="20"/>
                <w:szCs w:val="20"/>
              </w:rPr>
              <w:t>Duga Resa</w:t>
            </w:r>
          </w:p>
        </w:tc>
      </w:tr>
      <w:tr w:rsidR="00B54887" w:rsidRPr="00E14AFB" w14:paraId="275C6E0C" w14:textId="77777777" w:rsidTr="00B54887">
        <w:tc>
          <w:tcPr>
            <w:tcW w:w="2235" w:type="dxa"/>
            <w:shd w:val="clear" w:color="auto" w:fill="E5DFEC" w:themeFill="accent4" w:themeFillTint="33"/>
          </w:tcPr>
          <w:p w14:paraId="35CA49D8" w14:textId="77777777" w:rsidR="00B54887" w:rsidRPr="0058603F" w:rsidRDefault="00B54887" w:rsidP="00B54887">
            <w:pPr>
              <w:rPr>
                <w:b/>
                <w:sz w:val="20"/>
                <w:szCs w:val="20"/>
              </w:rPr>
            </w:pPr>
            <w:r w:rsidRPr="0058603F">
              <w:rPr>
                <w:b/>
                <w:sz w:val="20"/>
                <w:szCs w:val="20"/>
              </w:rPr>
              <w:t>Cilj projekta:</w:t>
            </w:r>
          </w:p>
        </w:tc>
        <w:tc>
          <w:tcPr>
            <w:tcW w:w="7053" w:type="dxa"/>
          </w:tcPr>
          <w:p w14:paraId="37893FAC" w14:textId="0BCF4418" w:rsidR="00B54887" w:rsidRPr="00B84BFA" w:rsidRDefault="00B84BFA" w:rsidP="00B84BFA">
            <w:pPr>
              <w:rPr>
                <w:sz w:val="20"/>
                <w:szCs w:val="20"/>
              </w:rPr>
            </w:pPr>
            <w:r>
              <w:rPr>
                <w:sz w:val="20"/>
                <w:szCs w:val="20"/>
              </w:rPr>
              <w:t xml:space="preserve">Urbana obnova i revitalizacija uskog urbanog središta Duge Rese koje </w:t>
            </w:r>
            <w:r w:rsidR="00B33836" w:rsidRPr="00B84BFA">
              <w:rPr>
                <w:sz w:val="20"/>
                <w:szCs w:val="20"/>
              </w:rPr>
              <w:t>ima status zaštićenog kulturnog dobra</w:t>
            </w:r>
            <w:r>
              <w:rPr>
                <w:sz w:val="20"/>
                <w:szCs w:val="20"/>
              </w:rPr>
              <w:t xml:space="preserve"> kao</w:t>
            </w:r>
            <w:r w:rsidR="00B33836" w:rsidRPr="00B84BFA">
              <w:rPr>
                <w:sz w:val="20"/>
                <w:szCs w:val="20"/>
              </w:rPr>
              <w:t xml:space="preserve"> nekadašnje industrijsko naselje koncipirano kao vrtni grad s objektima okruženima perivojem, drvoredima i predvrtovima. </w:t>
            </w:r>
            <w:r>
              <w:rPr>
                <w:sz w:val="20"/>
                <w:szCs w:val="20"/>
              </w:rPr>
              <w:t>Ciljanim intervencijama u obnovu javne inf</w:t>
            </w:r>
            <w:r w:rsidR="000A42BF">
              <w:rPr>
                <w:sz w:val="20"/>
                <w:szCs w:val="20"/>
              </w:rPr>
              <w:t>r</w:t>
            </w:r>
            <w:r>
              <w:rPr>
                <w:sz w:val="20"/>
                <w:szCs w:val="20"/>
              </w:rPr>
              <w:t>astrukture i stavljanjem ključnih objekata u funkciju društvenog i kulturnog</w:t>
            </w:r>
            <w:r w:rsidR="00953057">
              <w:rPr>
                <w:sz w:val="20"/>
                <w:szCs w:val="20"/>
              </w:rPr>
              <w:t xml:space="preserve"> života teži se revitalizirati i</w:t>
            </w:r>
            <w:r>
              <w:rPr>
                <w:sz w:val="20"/>
                <w:szCs w:val="20"/>
              </w:rPr>
              <w:t xml:space="preserve"> očuvati ovaj rijedak </w:t>
            </w:r>
            <w:r w:rsidR="00B33836" w:rsidRPr="00B84BFA">
              <w:rPr>
                <w:sz w:val="20"/>
                <w:szCs w:val="20"/>
              </w:rPr>
              <w:t xml:space="preserve">primjer cjelovito očuvanog industrijskog i vrtnog grada s kraja 19. i početka 20. st. na području srednje Europe. </w:t>
            </w:r>
          </w:p>
        </w:tc>
      </w:tr>
      <w:tr w:rsidR="00B54887" w:rsidRPr="00B54887" w14:paraId="2372B98E" w14:textId="77777777" w:rsidTr="00B54887">
        <w:tc>
          <w:tcPr>
            <w:tcW w:w="2235" w:type="dxa"/>
            <w:shd w:val="clear" w:color="auto" w:fill="E5DFEC" w:themeFill="accent4" w:themeFillTint="33"/>
          </w:tcPr>
          <w:p w14:paraId="1FF67D8E" w14:textId="77777777" w:rsidR="00B54887" w:rsidRPr="0058603F" w:rsidRDefault="00B54887" w:rsidP="00B54887">
            <w:pPr>
              <w:rPr>
                <w:b/>
                <w:sz w:val="20"/>
                <w:szCs w:val="20"/>
              </w:rPr>
            </w:pPr>
            <w:r w:rsidRPr="0058603F">
              <w:rPr>
                <w:b/>
                <w:sz w:val="20"/>
                <w:szCs w:val="20"/>
              </w:rPr>
              <w:t>Sažetak aktivnosti:</w:t>
            </w:r>
          </w:p>
        </w:tc>
        <w:tc>
          <w:tcPr>
            <w:tcW w:w="7053" w:type="dxa"/>
          </w:tcPr>
          <w:p w14:paraId="311EC898" w14:textId="77777777" w:rsidR="00B84BFA" w:rsidRDefault="00B84BFA" w:rsidP="00B84BFA">
            <w:pPr>
              <w:spacing w:before="0" w:after="0"/>
              <w:jc w:val="left"/>
              <w:rPr>
                <w:rFonts w:eastAsia="Times New Roman" w:cs="Times New Roman"/>
                <w:color w:val="000000"/>
                <w:sz w:val="20"/>
                <w:szCs w:val="20"/>
              </w:rPr>
            </w:pPr>
            <w:r>
              <w:rPr>
                <w:rFonts w:eastAsia="Times New Roman" w:cs="Times New Roman"/>
                <w:color w:val="000000"/>
                <w:sz w:val="20"/>
                <w:szCs w:val="20"/>
              </w:rPr>
              <w:t>POD-PROJEKTI:</w:t>
            </w:r>
          </w:p>
          <w:p w14:paraId="7AA3C3B8" w14:textId="07D644ED" w:rsidR="00B84BFA" w:rsidRDefault="00B84BFA" w:rsidP="00F950C3">
            <w:pPr>
              <w:pStyle w:val="ListParagraph"/>
              <w:numPr>
                <w:ilvl w:val="0"/>
                <w:numId w:val="21"/>
              </w:numPr>
              <w:spacing w:before="0" w:after="0"/>
              <w:jc w:val="left"/>
              <w:rPr>
                <w:rFonts w:eastAsia="Times New Roman" w:cs="Times New Roman"/>
                <w:color w:val="000000"/>
                <w:sz w:val="20"/>
                <w:szCs w:val="20"/>
              </w:rPr>
            </w:pPr>
            <w:r w:rsidRPr="00B84BFA">
              <w:rPr>
                <w:rFonts w:eastAsia="Times New Roman" w:cs="Times New Roman"/>
                <w:color w:val="000000"/>
                <w:sz w:val="20"/>
                <w:szCs w:val="20"/>
              </w:rPr>
              <w:t xml:space="preserve">Obnova parka dr. F. Tuđmana (obnova javne zelene površine) </w:t>
            </w:r>
          </w:p>
          <w:p w14:paraId="2C5469AE" w14:textId="6B69088F" w:rsidR="00B84BFA" w:rsidRPr="00B84BFA" w:rsidRDefault="00B84BFA" w:rsidP="00F950C3">
            <w:pPr>
              <w:pStyle w:val="ListParagraph"/>
              <w:numPr>
                <w:ilvl w:val="0"/>
                <w:numId w:val="21"/>
              </w:numPr>
              <w:spacing w:before="0" w:after="0"/>
              <w:jc w:val="left"/>
              <w:rPr>
                <w:rFonts w:eastAsia="Times New Roman" w:cs="Times New Roman"/>
                <w:color w:val="000000"/>
                <w:sz w:val="20"/>
                <w:szCs w:val="20"/>
              </w:rPr>
            </w:pPr>
            <w:r w:rsidRPr="00B84BFA">
              <w:rPr>
                <w:rFonts w:eastAsia="Times New Roman" w:cs="Times New Roman"/>
                <w:color w:val="000000"/>
                <w:sz w:val="20"/>
                <w:szCs w:val="20"/>
              </w:rPr>
              <w:t>Centar izviđača i mladih umjetnika (rekonstrukcija i moguća nadogradnja zgrade za potrebe izviđača i mladih amaterskih umjetnika)</w:t>
            </w:r>
          </w:p>
          <w:p w14:paraId="4D56B312" w14:textId="7B9D5DBB" w:rsidR="00B54887" w:rsidRPr="003C7E95" w:rsidRDefault="003C7E95" w:rsidP="003C7E95">
            <w:pPr>
              <w:pStyle w:val="ListParagraph"/>
              <w:numPr>
                <w:ilvl w:val="0"/>
                <w:numId w:val="21"/>
              </w:numPr>
              <w:spacing w:before="0" w:after="0"/>
              <w:jc w:val="left"/>
              <w:rPr>
                <w:rFonts w:eastAsia="Times New Roman" w:cs="Times New Roman"/>
                <w:color w:val="000000"/>
                <w:sz w:val="20"/>
                <w:szCs w:val="20"/>
              </w:rPr>
            </w:pPr>
            <w:r>
              <w:rPr>
                <w:rFonts w:eastAsia="Times New Roman" w:cs="Times New Roman"/>
                <w:color w:val="000000"/>
                <w:sz w:val="20"/>
                <w:szCs w:val="20"/>
              </w:rPr>
              <w:t>Društveno kulturni centar</w:t>
            </w:r>
            <w:r w:rsidRPr="003C7E95">
              <w:rPr>
                <w:rFonts w:eastAsia="Times New Roman" w:cs="Times New Roman"/>
                <w:color w:val="000000"/>
                <w:sz w:val="20"/>
                <w:szCs w:val="20"/>
              </w:rPr>
              <w:t xml:space="preserve"> i nadogradnja galerijskog prostora Miroslav Šutej</w:t>
            </w:r>
          </w:p>
          <w:p w14:paraId="5F21C3F8" w14:textId="77777777" w:rsidR="00473C8D" w:rsidRDefault="00473C8D" w:rsidP="00F950C3">
            <w:pPr>
              <w:pStyle w:val="ListParagraph"/>
              <w:numPr>
                <w:ilvl w:val="0"/>
                <w:numId w:val="21"/>
              </w:numPr>
              <w:spacing w:before="0" w:after="0"/>
              <w:jc w:val="left"/>
              <w:rPr>
                <w:rFonts w:eastAsia="Times New Roman" w:cs="Times New Roman"/>
                <w:color w:val="000000"/>
                <w:sz w:val="20"/>
                <w:szCs w:val="20"/>
              </w:rPr>
            </w:pPr>
            <w:r>
              <w:rPr>
                <w:rFonts w:eastAsia="Times New Roman" w:cs="Times New Roman"/>
                <w:color w:val="000000"/>
                <w:sz w:val="20"/>
                <w:szCs w:val="20"/>
              </w:rPr>
              <w:t>Programi potpore udrugama u kulturi i udrugama mladih</w:t>
            </w:r>
          </w:p>
          <w:p w14:paraId="0032444C" w14:textId="2D67F6CF" w:rsidR="003C7E95" w:rsidRPr="00B84BFA" w:rsidRDefault="003C7E95" w:rsidP="00F950C3">
            <w:pPr>
              <w:pStyle w:val="ListParagraph"/>
              <w:numPr>
                <w:ilvl w:val="0"/>
                <w:numId w:val="21"/>
              </w:numPr>
              <w:spacing w:before="0" w:after="0"/>
              <w:jc w:val="left"/>
              <w:rPr>
                <w:rFonts w:eastAsia="Times New Roman" w:cs="Times New Roman"/>
                <w:color w:val="000000"/>
                <w:sz w:val="20"/>
                <w:szCs w:val="20"/>
              </w:rPr>
            </w:pPr>
            <w:r>
              <w:rPr>
                <w:rFonts w:eastAsia="Times New Roman" w:cs="Times New Roman"/>
                <w:color w:val="000000"/>
                <w:sz w:val="20"/>
                <w:szCs w:val="20"/>
              </w:rPr>
              <w:t>Uređenje šetnica</w:t>
            </w:r>
          </w:p>
        </w:tc>
      </w:tr>
      <w:tr w:rsidR="00B54887" w:rsidRPr="0058603F" w14:paraId="1F9CFAC2" w14:textId="77777777" w:rsidTr="00B54887">
        <w:tc>
          <w:tcPr>
            <w:tcW w:w="2235" w:type="dxa"/>
            <w:shd w:val="clear" w:color="auto" w:fill="E5DFEC" w:themeFill="accent4" w:themeFillTint="33"/>
          </w:tcPr>
          <w:p w14:paraId="03453AEF" w14:textId="05022F49" w:rsidR="00B54887" w:rsidRPr="0058603F" w:rsidRDefault="00B54887" w:rsidP="00B54887">
            <w:pPr>
              <w:rPr>
                <w:b/>
                <w:sz w:val="20"/>
                <w:szCs w:val="20"/>
              </w:rPr>
            </w:pPr>
            <w:r w:rsidRPr="0058603F">
              <w:rPr>
                <w:b/>
                <w:sz w:val="20"/>
                <w:szCs w:val="20"/>
              </w:rPr>
              <w:t>Ciljano područje:</w:t>
            </w:r>
          </w:p>
        </w:tc>
        <w:tc>
          <w:tcPr>
            <w:tcW w:w="7053" w:type="dxa"/>
          </w:tcPr>
          <w:p w14:paraId="11F2831F" w14:textId="5CD6C847" w:rsidR="00B54887" w:rsidRPr="0058603F" w:rsidRDefault="00473C8D" w:rsidP="00B54887">
            <w:pPr>
              <w:rPr>
                <w:sz w:val="20"/>
                <w:szCs w:val="20"/>
              </w:rPr>
            </w:pPr>
            <w:r>
              <w:rPr>
                <w:sz w:val="20"/>
                <w:szCs w:val="20"/>
              </w:rPr>
              <w:t>Duga Resa</w:t>
            </w:r>
          </w:p>
        </w:tc>
      </w:tr>
      <w:tr w:rsidR="00B54887" w:rsidRPr="0058603F" w14:paraId="27939C89" w14:textId="77777777" w:rsidTr="00B54887">
        <w:tc>
          <w:tcPr>
            <w:tcW w:w="2235" w:type="dxa"/>
            <w:shd w:val="clear" w:color="auto" w:fill="E5DFEC" w:themeFill="accent4" w:themeFillTint="33"/>
          </w:tcPr>
          <w:p w14:paraId="644C9B52" w14:textId="77777777" w:rsidR="00B54887" w:rsidRPr="0058603F" w:rsidRDefault="00B54887" w:rsidP="00B54887">
            <w:pPr>
              <w:rPr>
                <w:b/>
                <w:sz w:val="20"/>
                <w:szCs w:val="20"/>
              </w:rPr>
            </w:pPr>
            <w:r w:rsidRPr="0058603F">
              <w:rPr>
                <w:b/>
                <w:sz w:val="20"/>
                <w:szCs w:val="20"/>
              </w:rPr>
              <w:t>Tip projekta:</w:t>
            </w:r>
          </w:p>
        </w:tc>
        <w:tc>
          <w:tcPr>
            <w:tcW w:w="7053" w:type="dxa"/>
          </w:tcPr>
          <w:p w14:paraId="69EF977E" w14:textId="77777777" w:rsidR="00B54887" w:rsidRPr="0058603F" w:rsidRDefault="00B54887" w:rsidP="00B54887">
            <w:pPr>
              <w:rPr>
                <w:sz w:val="20"/>
                <w:szCs w:val="20"/>
              </w:rPr>
            </w:pPr>
            <w:r>
              <w:rPr>
                <w:sz w:val="20"/>
                <w:szCs w:val="20"/>
              </w:rPr>
              <w:t>Infrastrukturni + soft</w:t>
            </w:r>
          </w:p>
        </w:tc>
      </w:tr>
      <w:tr w:rsidR="00B54887" w:rsidRPr="0058603F" w14:paraId="6DAD94AF" w14:textId="77777777" w:rsidTr="00B54887">
        <w:tc>
          <w:tcPr>
            <w:tcW w:w="2235" w:type="dxa"/>
            <w:shd w:val="clear" w:color="auto" w:fill="E5DFEC" w:themeFill="accent4" w:themeFillTint="33"/>
          </w:tcPr>
          <w:p w14:paraId="64E8EC7D" w14:textId="77777777" w:rsidR="00B54887" w:rsidRPr="0058603F" w:rsidRDefault="00B54887" w:rsidP="00B54887">
            <w:pPr>
              <w:rPr>
                <w:b/>
                <w:sz w:val="20"/>
                <w:szCs w:val="20"/>
              </w:rPr>
            </w:pPr>
            <w:r w:rsidRPr="0058603F">
              <w:rPr>
                <w:b/>
                <w:sz w:val="20"/>
                <w:szCs w:val="20"/>
              </w:rPr>
              <w:lastRenderedPageBreak/>
              <w:t>Pripremljenost projekta:</w:t>
            </w:r>
          </w:p>
        </w:tc>
        <w:tc>
          <w:tcPr>
            <w:tcW w:w="7053" w:type="dxa"/>
          </w:tcPr>
          <w:p w14:paraId="56C56481" w14:textId="50EEC086" w:rsidR="00B54887" w:rsidRPr="0058603F" w:rsidRDefault="00B54887" w:rsidP="00B54887">
            <w:pPr>
              <w:rPr>
                <w:sz w:val="20"/>
                <w:szCs w:val="20"/>
              </w:rPr>
            </w:pPr>
            <w:r>
              <w:rPr>
                <w:sz w:val="20"/>
                <w:szCs w:val="20"/>
              </w:rPr>
              <w:t xml:space="preserve">Kategorija I </w:t>
            </w:r>
            <w:r w:rsidR="00B84BFA">
              <w:rPr>
                <w:sz w:val="20"/>
                <w:szCs w:val="20"/>
              </w:rPr>
              <w:t>do III</w:t>
            </w:r>
          </w:p>
        </w:tc>
      </w:tr>
      <w:tr w:rsidR="00B54887" w:rsidRPr="0058603F" w14:paraId="4A9A5985" w14:textId="77777777" w:rsidTr="00B54887">
        <w:tc>
          <w:tcPr>
            <w:tcW w:w="2235" w:type="dxa"/>
            <w:shd w:val="clear" w:color="auto" w:fill="E5DFEC" w:themeFill="accent4" w:themeFillTint="33"/>
          </w:tcPr>
          <w:p w14:paraId="372DE606" w14:textId="77777777" w:rsidR="00B54887" w:rsidRPr="0058603F" w:rsidRDefault="00B54887" w:rsidP="00B54887">
            <w:pPr>
              <w:rPr>
                <w:b/>
                <w:sz w:val="20"/>
                <w:szCs w:val="20"/>
              </w:rPr>
            </w:pPr>
            <w:r w:rsidRPr="0058603F">
              <w:rPr>
                <w:b/>
                <w:sz w:val="20"/>
                <w:szCs w:val="20"/>
              </w:rPr>
              <w:t xml:space="preserve">Indikativni </w:t>
            </w:r>
            <w:r>
              <w:rPr>
                <w:b/>
                <w:sz w:val="20"/>
                <w:szCs w:val="20"/>
              </w:rPr>
              <w:t>proračun projekta</w:t>
            </w:r>
            <w:r w:rsidRPr="0058603F">
              <w:rPr>
                <w:b/>
                <w:sz w:val="20"/>
                <w:szCs w:val="20"/>
              </w:rPr>
              <w:t xml:space="preserve"> (HRK):</w:t>
            </w:r>
          </w:p>
        </w:tc>
        <w:tc>
          <w:tcPr>
            <w:tcW w:w="7053" w:type="dxa"/>
          </w:tcPr>
          <w:p w14:paraId="76DE561C" w14:textId="33F3C3FB" w:rsidR="00B54887" w:rsidRPr="0058603F" w:rsidRDefault="00473C8D" w:rsidP="00B84BFA">
            <w:pPr>
              <w:rPr>
                <w:sz w:val="20"/>
                <w:szCs w:val="20"/>
              </w:rPr>
            </w:pPr>
            <w:r>
              <w:rPr>
                <w:sz w:val="20"/>
                <w:szCs w:val="20"/>
              </w:rPr>
              <w:t>33.775.000</w:t>
            </w:r>
            <w:r w:rsidR="00B54887">
              <w:rPr>
                <w:sz w:val="20"/>
                <w:szCs w:val="20"/>
              </w:rPr>
              <w:t xml:space="preserve"> HRK </w:t>
            </w:r>
          </w:p>
        </w:tc>
      </w:tr>
      <w:tr w:rsidR="00B54887" w:rsidRPr="0058603F" w14:paraId="00BDB36B" w14:textId="77777777" w:rsidTr="00B54887">
        <w:tc>
          <w:tcPr>
            <w:tcW w:w="2235" w:type="dxa"/>
            <w:shd w:val="clear" w:color="auto" w:fill="E5DFEC" w:themeFill="accent4" w:themeFillTint="33"/>
          </w:tcPr>
          <w:p w14:paraId="1E692C25" w14:textId="77777777" w:rsidR="00B54887" w:rsidRPr="0058603F" w:rsidRDefault="00B54887" w:rsidP="00B54887">
            <w:pPr>
              <w:rPr>
                <w:b/>
                <w:sz w:val="20"/>
                <w:szCs w:val="20"/>
              </w:rPr>
            </w:pPr>
            <w:r w:rsidRPr="0058603F">
              <w:rPr>
                <w:b/>
                <w:sz w:val="20"/>
                <w:szCs w:val="20"/>
              </w:rPr>
              <w:t>Izvori financiranja:</w:t>
            </w:r>
          </w:p>
        </w:tc>
        <w:tc>
          <w:tcPr>
            <w:tcW w:w="7053" w:type="dxa"/>
          </w:tcPr>
          <w:p w14:paraId="43CF3F57" w14:textId="77777777" w:rsidR="00B54887" w:rsidRPr="0058603F" w:rsidRDefault="00B54887" w:rsidP="00B54887">
            <w:pPr>
              <w:rPr>
                <w:sz w:val="20"/>
                <w:szCs w:val="20"/>
              </w:rPr>
            </w:pPr>
            <w:r>
              <w:rPr>
                <w:sz w:val="20"/>
                <w:szCs w:val="20"/>
              </w:rPr>
              <w:t>EU fondovi (ITU mehanizam), Gradski proračun</w:t>
            </w:r>
          </w:p>
        </w:tc>
      </w:tr>
    </w:tbl>
    <w:p w14:paraId="211BC2A4" w14:textId="77777777" w:rsidR="00B54887" w:rsidRDefault="00B54887" w:rsidP="00C4655E"/>
    <w:p w14:paraId="4DD59CBF" w14:textId="41AF8BAB" w:rsidR="00B54887" w:rsidRPr="00B54887" w:rsidRDefault="00B54887" w:rsidP="00C4655E">
      <w:pPr>
        <w:rPr>
          <w:b/>
          <w:color w:val="943634" w:themeColor="accent2" w:themeShade="BF"/>
        </w:rPr>
      </w:pPr>
      <w:r>
        <w:t xml:space="preserve">Strateški projekti za ostvarenje </w:t>
      </w:r>
      <w:r w:rsidRPr="00D6307B">
        <w:rPr>
          <w:b/>
          <w:color w:val="943634" w:themeColor="accent2" w:themeShade="BF"/>
        </w:rPr>
        <w:t>Specifičnog cilja 2.</w:t>
      </w:r>
      <w:r>
        <w:t xml:space="preserve"> </w:t>
      </w:r>
      <w:r w:rsidRPr="00781F91">
        <w:rPr>
          <w:b/>
          <w:color w:val="943634" w:themeColor="accent2" w:themeShade="BF"/>
        </w:rPr>
        <w:t xml:space="preserve">Velika infrastruktura za </w:t>
      </w:r>
      <w:r>
        <w:rPr>
          <w:b/>
          <w:color w:val="943634" w:themeColor="accent2" w:themeShade="BF"/>
        </w:rPr>
        <w:t xml:space="preserve">održivi </w:t>
      </w:r>
      <w:r w:rsidRPr="00781F91">
        <w:rPr>
          <w:b/>
          <w:color w:val="943634" w:themeColor="accent2" w:themeShade="BF"/>
        </w:rPr>
        <w:t>razvoj</w:t>
      </w:r>
      <w:r>
        <w:rPr>
          <w:b/>
          <w:color w:val="943634" w:themeColor="accent2" w:themeShade="BF"/>
        </w:rPr>
        <w:t>:</w:t>
      </w:r>
    </w:p>
    <w:tbl>
      <w:tblPr>
        <w:tblStyle w:val="TableGrid"/>
        <w:tblW w:w="0" w:type="auto"/>
        <w:tblBorders>
          <w:insideH w:val="dotted" w:sz="4" w:space="0" w:color="auto"/>
          <w:insideV w:val="none" w:sz="0" w:space="0" w:color="auto"/>
        </w:tblBorders>
        <w:tblLook w:val="04A0" w:firstRow="1" w:lastRow="0" w:firstColumn="1" w:lastColumn="0" w:noHBand="0" w:noVBand="1"/>
      </w:tblPr>
      <w:tblGrid>
        <w:gridCol w:w="2235"/>
        <w:gridCol w:w="7053"/>
      </w:tblGrid>
      <w:tr w:rsidR="00B54887" w:rsidRPr="00D6307B" w14:paraId="1EE8210A" w14:textId="77777777" w:rsidTr="00B54887">
        <w:tc>
          <w:tcPr>
            <w:tcW w:w="2235" w:type="dxa"/>
            <w:shd w:val="clear" w:color="auto" w:fill="F2DBDB" w:themeFill="accent2" w:themeFillTint="33"/>
          </w:tcPr>
          <w:p w14:paraId="09E3B5C3" w14:textId="77777777" w:rsidR="00B54887" w:rsidRPr="0058603F" w:rsidRDefault="00B54887" w:rsidP="00B54887">
            <w:pPr>
              <w:rPr>
                <w:b/>
                <w:sz w:val="20"/>
                <w:szCs w:val="20"/>
              </w:rPr>
            </w:pPr>
            <w:r>
              <w:rPr>
                <w:b/>
                <w:sz w:val="20"/>
                <w:szCs w:val="20"/>
              </w:rPr>
              <w:t>Rbr.</w:t>
            </w:r>
          </w:p>
        </w:tc>
        <w:tc>
          <w:tcPr>
            <w:tcW w:w="7053" w:type="dxa"/>
          </w:tcPr>
          <w:p w14:paraId="7FC0B4E1" w14:textId="48A7B24D" w:rsidR="00B54887" w:rsidRPr="00B54887" w:rsidRDefault="00B54887" w:rsidP="00B54887">
            <w:pPr>
              <w:rPr>
                <w:b/>
                <w:color w:val="943634" w:themeColor="accent2" w:themeShade="BF"/>
                <w:sz w:val="28"/>
                <w:szCs w:val="28"/>
              </w:rPr>
            </w:pPr>
            <w:r w:rsidRPr="00B54887">
              <w:rPr>
                <w:b/>
                <w:color w:val="943634" w:themeColor="accent2" w:themeShade="BF"/>
                <w:sz w:val="28"/>
                <w:szCs w:val="28"/>
              </w:rPr>
              <w:t>5</w:t>
            </w:r>
          </w:p>
        </w:tc>
      </w:tr>
      <w:tr w:rsidR="00B54887" w:rsidRPr="00252F2E" w14:paraId="13B69AC0" w14:textId="77777777" w:rsidTr="00B54887">
        <w:tc>
          <w:tcPr>
            <w:tcW w:w="2235" w:type="dxa"/>
            <w:shd w:val="clear" w:color="auto" w:fill="F2DBDB" w:themeFill="accent2" w:themeFillTint="33"/>
          </w:tcPr>
          <w:p w14:paraId="4A483581" w14:textId="77777777" w:rsidR="00B54887" w:rsidRPr="0058603F" w:rsidRDefault="00B54887" w:rsidP="00B54887">
            <w:pPr>
              <w:rPr>
                <w:b/>
                <w:sz w:val="20"/>
                <w:szCs w:val="20"/>
              </w:rPr>
            </w:pPr>
            <w:r w:rsidRPr="0058603F">
              <w:rPr>
                <w:b/>
                <w:sz w:val="20"/>
                <w:szCs w:val="20"/>
              </w:rPr>
              <w:t>Prioritet:</w:t>
            </w:r>
          </w:p>
        </w:tc>
        <w:tc>
          <w:tcPr>
            <w:tcW w:w="7053" w:type="dxa"/>
          </w:tcPr>
          <w:p w14:paraId="68B8C6FC" w14:textId="62E7A7F2" w:rsidR="00B54887" w:rsidRPr="00252F2E" w:rsidRDefault="00953057" w:rsidP="00473C8D">
            <w:pPr>
              <w:rPr>
                <w:sz w:val="20"/>
                <w:szCs w:val="20"/>
              </w:rPr>
            </w:pPr>
            <w:r>
              <w:rPr>
                <w:sz w:val="20"/>
                <w:szCs w:val="20"/>
              </w:rPr>
              <w:t>SC2.P1 Unapr</w:t>
            </w:r>
            <w:r w:rsidR="00473C8D" w:rsidRPr="00D45536">
              <w:rPr>
                <w:sz w:val="20"/>
                <w:szCs w:val="20"/>
              </w:rPr>
              <w:t>jeđenje energetske infrastrukture</w:t>
            </w:r>
          </w:p>
        </w:tc>
      </w:tr>
      <w:tr w:rsidR="00B54887" w:rsidRPr="00A93EB0" w14:paraId="05E5477C" w14:textId="77777777" w:rsidTr="00B54887">
        <w:tc>
          <w:tcPr>
            <w:tcW w:w="2235" w:type="dxa"/>
            <w:shd w:val="clear" w:color="auto" w:fill="F2DBDB" w:themeFill="accent2" w:themeFillTint="33"/>
          </w:tcPr>
          <w:p w14:paraId="5F5B6C20" w14:textId="77777777" w:rsidR="00B54887" w:rsidRPr="0058603F" w:rsidRDefault="00B54887" w:rsidP="00B54887">
            <w:pPr>
              <w:rPr>
                <w:b/>
                <w:sz w:val="20"/>
                <w:szCs w:val="20"/>
              </w:rPr>
            </w:pPr>
            <w:r w:rsidRPr="0058603F">
              <w:rPr>
                <w:b/>
                <w:sz w:val="20"/>
                <w:szCs w:val="20"/>
              </w:rPr>
              <w:t>Mjera:</w:t>
            </w:r>
          </w:p>
        </w:tc>
        <w:tc>
          <w:tcPr>
            <w:tcW w:w="7053" w:type="dxa"/>
          </w:tcPr>
          <w:p w14:paraId="5F1D662A" w14:textId="205E155A" w:rsidR="00B54887" w:rsidRPr="00A93EB0" w:rsidRDefault="00473C8D" w:rsidP="00B54887">
            <w:pPr>
              <w:rPr>
                <w:sz w:val="20"/>
                <w:szCs w:val="20"/>
              </w:rPr>
            </w:pPr>
            <w:r w:rsidRPr="00D45536">
              <w:rPr>
                <w:sz w:val="20"/>
                <w:szCs w:val="20"/>
              </w:rPr>
              <w:t>Mjera SC2. P1.1 Veliki projekti</w:t>
            </w:r>
          </w:p>
        </w:tc>
      </w:tr>
      <w:tr w:rsidR="00B54887" w:rsidRPr="00B54887" w14:paraId="03126541" w14:textId="77777777" w:rsidTr="00B54887">
        <w:tc>
          <w:tcPr>
            <w:tcW w:w="2235" w:type="dxa"/>
            <w:shd w:val="clear" w:color="auto" w:fill="F2DBDB" w:themeFill="accent2" w:themeFillTint="33"/>
          </w:tcPr>
          <w:p w14:paraId="47F402F7" w14:textId="77777777" w:rsidR="00B54887" w:rsidRPr="0058603F" w:rsidRDefault="00B54887" w:rsidP="00B54887">
            <w:pPr>
              <w:rPr>
                <w:b/>
                <w:sz w:val="20"/>
                <w:szCs w:val="20"/>
              </w:rPr>
            </w:pPr>
            <w:r w:rsidRPr="0058603F">
              <w:rPr>
                <w:b/>
                <w:sz w:val="20"/>
                <w:szCs w:val="20"/>
              </w:rPr>
              <w:t>Naziv projekta:</w:t>
            </w:r>
          </w:p>
        </w:tc>
        <w:tc>
          <w:tcPr>
            <w:tcW w:w="7053" w:type="dxa"/>
            <w:shd w:val="clear" w:color="auto" w:fill="F2DBDB" w:themeFill="accent2" w:themeFillTint="33"/>
          </w:tcPr>
          <w:p w14:paraId="772289EE" w14:textId="5E7F8458" w:rsidR="00B54887" w:rsidRPr="00B54887" w:rsidRDefault="00B54887" w:rsidP="00B54887">
            <w:pPr>
              <w:rPr>
                <w:b/>
              </w:rPr>
            </w:pPr>
            <w:r w:rsidRPr="00B54887">
              <w:rPr>
                <w:b/>
              </w:rPr>
              <w:t>Toplinarstvo i korištenje obnovljivih izvora energije</w:t>
            </w:r>
          </w:p>
        </w:tc>
      </w:tr>
      <w:tr w:rsidR="00B54887" w:rsidRPr="0058603F" w14:paraId="0374C4D1" w14:textId="77777777" w:rsidTr="00B54887">
        <w:tc>
          <w:tcPr>
            <w:tcW w:w="2235" w:type="dxa"/>
            <w:shd w:val="clear" w:color="auto" w:fill="F2DBDB" w:themeFill="accent2" w:themeFillTint="33"/>
          </w:tcPr>
          <w:p w14:paraId="73C31067" w14:textId="77777777" w:rsidR="00B54887" w:rsidRPr="0058603F" w:rsidRDefault="00B54887" w:rsidP="00B54887">
            <w:pPr>
              <w:rPr>
                <w:b/>
                <w:sz w:val="20"/>
                <w:szCs w:val="20"/>
              </w:rPr>
            </w:pPr>
            <w:r w:rsidRPr="0058603F">
              <w:rPr>
                <w:b/>
                <w:sz w:val="20"/>
                <w:szCs w:val="20"/>
              </w:rPr>
              <w:t>Nositelj i partneri:</w:t>
            </w:r>
          </w:p>
        </w:tc>
        <w:tc>
          <w:tcPr>
            <w:tcW w:w="7053" w:type="dxa"/>
          </w:tcPr>
          <w:p w14:paraId="1D593C8E" w14:textId="6FE9227D" w:rsidR="00B54887" w:rsidRPr="0058603F" w:rsidRDefault="00570BAB" w:rsidP="00B54887">
            <w:pPr>
              <w:rPr>
                <w:sz w:val="20"/>
                <w:szCs w:val="20"/>
              </w:rPr>
            </w:pPr>
            <w:r>
              <w:rPr>
                <w:sz w:val="20"/>
                <w:szCs w:val="20"/>
              </w:rPr>
              <w:t>Grad Karlovac, Gradska Toplana d.o.o.</w:t>
            </w:r>
          </w:p>
        </w:tc>
      </w:tr>
      <w:tr w:rsidR="00B54887" w:rsidRPr="00E14AFB" w14:paraId="11E905B2" w14:textId="77777777" w:rsidTr="00B54887">
        <w:tc>
          <w:tcPr>
            <w:tcW w:w="2235" w:type="dxa"/>
            <w:shd w:val="clear" w:color="auto" w:fill="F2DBDB" w:themeFill="accent2" w:themeFillTint="33"/>
          </w:tcPr>
          <w:p w14:paraId="31AF465E" w14:textId="77777777" w:rsidR="00B54887" w:rsidRPr="0058603F" w:rsidRDefault="00B54887" w:rsidP="00B54887">
            <w:pPr>
              <w:rPr>
                <w:b/>
                <w:sz w:val="20"/>
                <w:szCs w:val="20"/>
              </w:rPr>
            </w:pPr>
            <w:r w:rsidRPr="0058603F">
              <w:rPr>
                <w:b/>
                <w:sz w:val="20"/>
                <w:szCs w:val="20"/>
              </w:rPr>
              <w:t>Cilj projekta:</w:t>
            </w:r>
          </w:p>
        </w:tc>
        <w:tc>
          <w:tcPr>
            <w:tcW w:w="7053" w:type="dxa"/>
          </w:tcPr>
          <w:p w14:paraId="4B8293E2" w14:textId="0E121389" w:rsidR="00570BAB" w:rsidRPr="00BB3CD2" w:rsidRDefault="00D45D1B" w:rsidP="00D45D1B">
            <w:pPr>
              <w:rPr>
                <w:sz w:val="20"/>
                <w:szCs w:val="20"/>
              </w:rPr>
            </w:pPr>
            <w:r w:rsidRPr="00BB3CD2">
              <w:rPr>
                <w:sz w:val="20"/>
                <w:szCs w:val="20"/>
              </w:rPr>
              <w:t xml:space="preserve">Kratkoročan cilj: </w:t>
            </w:r>
            <w:r w:rsidR="00570BAB" w:rsidRPr="00BB3CD2">
              <w:rPr>
                <w:sz w:val="20"/>
                <w:szCs w:val="20"/>
              </w:rPr>
              <w:t xml:space="preserve">Promicanje energetske učinkovitosti u sustavu stambenih zgrada i javne energetske infrastrukture (centralnog toplinskog sustava) i smanjenje potrošnje energije u višestambenim zgradama kroz  povećanje učinkovitosti sustava toplinarstva. </w:t>
            </w:r>
          </w:p>
          <w:p w14:paraId="123838D5" w14:textId="6A94B717" w:rsidR="00D45D1B" w:rsidRPr="00BB3CD2" w:rsidRDefault="00D45D1B" w:rsidP="007E05F2">
            <w:pPr>
              <w:rPr>
                <w:sz w:val="20"/>
                <w:szCs w:val="20"/>
              </w:rPr>
            </w:pPr>
            <w:r w:rsidRPr="00BB3CD2">
              <w:rPr>
                <w:sz w:val="20"/>
                <w:szCs w:val="20"/>
              </w:rPr>
              <w:t>Dugoročan</w:t>
            </w:r>
            <w:r w:rsidR="00570BAB" w:rsidRPr="00BB3CD2">
              <w:rPr>
                <w:sz w:val="20"/>
                <w:szCs w:val="20"/>
              </w:rPr>
              <w:t xml:space="preserve"> cilj: </w:t>
            </w:r>
            <w:r w:rsidRPr="00BB3CD2">
              <w:rPr>
                <w:sz w:val="20"/>
                <w:szCs w:val="20"/>
              </w:rPr>
              <w:t xml:space="preserve">Diverzifikacija izvora energije, promicanje obnovljivih izvora energije i </w:t>
            </w:r>
            <w:r w:rsidR="00570BAB" w:rsidRPr="00BB3CD2">
              <w:rPr>
                <w:sz w:val="20"/>
                <w:szCs w:val="20"/>
              </w:rPr>
              <w:t>energetske učinkovitosti u sustavu stambenih zgrada i javne energetske infrastrukture (centralnog toplinskog sustava)</w:t>
            </w:r>
          </w:p>
        </w:tc>
      </w:tr>
      <w:tr w:rsidR="00B54887" w:rsidRPr="00B54887" w14:paraId="6C5D6715" w14:textId="77777777" w:rsidTr="00B54887">
        <w:tc>
          <w:tcPr>
            <w:tcW w:w="2235" w:type="dxa"/>
            <w:shd w:val="clear" w:color="auto" w:fill="F2DBDB" w:themeFill="accent2" w:themeFillTint="33"/>
          </w:tcPr>
          <w:p w14:paraId="338C27A0" w14:textId="77777777" w:rsidR="00B54887" w:rsidRPr="0058603F" w:rsidRDefault="00B54887" w:rsidP="00B54887">
            <w:pPr>
              <w:rPr>
                <w:b/>
                <w:sz w:val="20"/>
                <w:szCs w:val="20"/>
              </w:rPr>
            </w:pPr>
            <w:r w:rsidRPr="0058603F">
              <w:rPr>
                <w:b/>
                <w:sz w:val="20"/>
                <w:szCs w:val="20"/>
              </w:rPr>
              <w:t>Sažetak aktivnosti:</w:t>
            </w:r>
          </w:p>
        </w:tc>
        <w:tc>
          <w:tcPr>
            <w:tcW w:w="7053" w:type="dxa"/>
          </w:tcPr>
          <w:p w14:paraId="585125D5" w14:textId="77777777" w:rsidR="00D45D1B" w:rsidRPr="00BB3CD2" w:rsidRDefault="00D45D1B" w:rsidP="00D45D1B">
            <w:pPr>
              <w:rPr>
                <w:sz w:val="20"/>
                <w:szCs w:val="20"/>
              </w:rPr>
            </w:pPr>
            <w:r w:rsidRPr="00BB3CD2">
              <w:rPr>
                <w:sz w:val="20"/>
                <w:szCs w:val="20"/>
              </w:rPr>
              <w:t>POD-PROJEKTI:</w:t>
            </w:r>
          </w:p>
          <w:p w14:paraId="5253AE3A" w14:textId="163A2576" w:rsidR="00B54887" w:rsidRPr="007E05F2" w:rsidRDefault="00473C8D" w:rsidP="00F950C3">
            <w:pPr>
              <w:pStyle w:val="ListParagraph"/>
              <w:numPr>
                <w:ilvl w:val="0"/>
                <w:numId w:val="22"/>
              </w:numPr>
              <w:rPr>
                <w:sz w:val="20"/>
                <w:szCs w:val="20"/>
              </w:rPr>
            </w:pPr>
            <w:r w:rsidRPr="007E05F2">
              <w:rPr>
                <w:b/>
                <w:sz w:val="20"/>
                <w:szCs w:val="20"/>
              </w:rPr>
              <w:t>Revitalizacija vrelovodne mreže grada Karlovca</w:t>
            </w:r>
            <w:r w:rsidR="00BB3CD2" w:rsidRPr="007E05F2">
              <w:rPr>
                <w:sz w:val="20"/>
                <w:szCs w:val="20"/>
              </w:rPr>
              <w:t>: zamjena/rekonstrukcija dotrajale vrelovodne mreže u cilju postizanja energetskih ušteda i pružanja kvalitetnije javne usluge distribucije toplinske energije, omogućavanja održivog razvoja i financijske održivosti centralnog toplinskog sustava grada Karlovca.</w:t>
            </w:r>
          </w:p>
          <w:p w14:paraId="4E92AF56" w14:textId="3158FD77" w:rsidR="00570BAB" w:rsidRPr="007E05F2" w:rsidRDefault="00473C8D" w:rsidP="00F950C3">
            <w:pPr>
              <w:pStyle w:val="ListParagraph"/>
              <w:numPr>
                <w:ilvl w:val="0"/>
                <w:numId w:val="22"/>
              </w:numPr>
              <w:rPr>
                <w:sz w:val="20"/>
                <w:szCs w:val="20"/>
              </w:rPr>
            </w:pPr>
            <w:r w:rsidRPr="007E05F2">
              <w:rPr>
                <w:b/>
                <w:sz w:val="20"/>
                <w:szCs w:val="20"/>
              </w:rPr>
              <w:t>Istraživanje i iskorištenje geotermalnih potencijala</w:t>
            </w:r>
            <w:r w:rsidR="007E05F2" w:rsidRPr="007E05F2">
              <w:rPr>
                <w:sz w:val="20"/>
                <w:szCs w:val="20"/>
              </w:rPr>
              <w:t>: nastavno na preliminarne analize, provođenje daljnjih istraživanja potencijala i načina eksploatacije geotermalne vode s mogućim primjenama geotermalni potencijala za potrebe Gradske toplane, zagrijavanja vertikalnih vrtova i bazenskog kompleksa.</w:t>
            </w:r>
          </w:p>
        </w:tc>
      </w:tr>
      <w:tr w:rsidR="00B54887" w:rsidRPr="0058603F" w14:paraId="4C664221" w14:textId="77777777" w:rsidTr="00B54887">
        <w:tc>
          <w:tcPr>
            <w:tcW w:w="2235" w:type="dxa"/>
            <w:shd w:val="clear" w:color="auto" w:fill="F2DBDB" w:themeFill="accent2" w:themeFillTint="33"/>
          </w:tcPr>
          <w:p w14:paraId="56487F99" w14:textId="3C2552FE" w:rsidR="00B54887" w:rsidRPr="0058603F" w:rsidRDefault="00B54887" w:rsidP="00B54887">
            <w:pPr>
              <w:rPr>
                <w:b/>
                <w:sz w:val="20"/>
                <w:szCs w:val="20"/>
              </w:rPr>
            </w:pPr>
            <w:r w:rsidRPr="0058603F">
              <w:rPr>
                <w:b/>
                <w:sz w:val="20"/>
                <w:szCs w:val="20"/>
              </w:rPr>
              <w:t>Ciljano područje:</w:t>
            </w:r>
          </w:p>
        </w:tc>
        <w:tc>
          <w:tcPr>
            <w:tcW w:w="7053" w:type="dxa"/>
          </w:tcPr>
          <w:p w14:paraId="3653EADF" w14:textId="590EAF0E" w:rsidR="00B54887" w:rsidRPr="0058603F" w:rsidRDefault="007E05F2" w:rsidP="00B54887">
            <w:pPr>
              <w:rPr>
                <w:sz w:val="20"/>
                <w:szCs w:val="20"/>
              </w:rPr>
            </w:pPr>
            <w:r>
              <w:rPr>
                <w:sz w:val="20"/>
                <w:szCs w:val="20"/>
              </w:rPr>
              <w:t>VUPKA</w:t>
            </w:r>
          </w:p>
        </w:tc>
      </w:tr>
      <w:tr w:rsidR="00B54887" w:rsidRPr="0058603F" w14:paraId="096D3116" w14:textId="77777777" w:rsidTr="00B54887">
        <w:tc>
          <w:tcPr>
            <w:tcW w:w="2235" w:type="dxa"/>
            <w:shd w:val="clear" w:color="auto" w:fill="F2DBDB" w:themeFill="accent2" w:themeFillTint="33"/>
          </w:tcPr>
          <w:p w14:paraId="0A03D305" w14:textId="77777777" w:rsidR="00B54887" w:rsidRPr="0058603F" w:rsidRDefault="00B54887" w:rsidP="00B54887">
            <w:pPr>
              <w:rPr>
                <w:b/>
                <w:sz w:val="20"/>
                <w:szCs w:val="20"/>
              </w:rPr>
            </w:pPr>
            <w:r w:rsidRPr="0058603F">
              <w:rPr>
                <w:b/>
                <w:sz w:val="20"/>
                <w:szCs w:val="20"/>
              </w:rPr>
              <w:t>Tip projekta:</w:t>
            </w:r>
          </w:p>
        </w:tc>
        <w:tc>
          <w:tcPr>
            <w:tcW w:w="7053" w:type="dxa"/>
          </w:tcPr>
          <w:p w14:paraId="4FC310ED" w14:textId="235E8A59" w:rsidR="00B54887" w:rsidRPr="0058603F" w:rsidRDefault="007E05F2" w:rsidP="00B54887">
            <w:pPr>
              <w:rPr>
                <w:sz w:val="20"/>
                <w:szCs w:val="20"/>
              </w:rPr>
            </w:pPr>
            <w:r>
              <w:rPr>
                <w:sz w:val="20"/>
                <w:szCs w:val="20"/>
              </w:rPr>
              <w:t>infrastrukturni</w:t>
            </w:r>
          </w:p>
        </w:tc>
      </w:tr>
      <w:tr w:rsidR="00B54887" w:rsidRPr="0058603F" w14:paraId="7887C9CD" w14:textId="77777777" w:rsidTr="00B54887">
        <w:tc>
          <w:tcPr>
            <w:tcW w:w="2235" w:type="dxa"/>
            <w:shd w:val="clear" w:color="auto" w:fill="F2DBDB" w:themeFill="accent2" w:themeFillTint="33"/>
          </w:tcPr>
          <w:p w14:paraId="3D00DC6E" w14:textId="77777777" w:rsidR="00B54887" w:rsidRPr="0058603F" w:rsidRDefault="00B54887" w:rsidP="00B54887">
            <w:pPr>
              <w:rPr>
                <w:b/>
                <w:sz w:val="20"/>
                <w:szCs w:val="20"/>
              </w:rPr>
            </w:pPr>
            <w:r w:rsidRPr="0058603F">
              <w:rPr>
                <w:b/>
                <w:sz w:val="20"/>
                <w:szCs w:val="20"/>
              </w:rPr>
              <w:t>Pripremljenost projekta:</w:t>
            </w:r>
          </w:p>
        </w:tc>
        <w:tc>
          <w:tcPr>
            <w:tcW w:w="7053" w:type="dxa"/>
          </w:tcPr>
          <w:p w14:paraId="4FBBDFEE" w14:textId="77777777" w:rsidR="00B54887" w:rsidRPr="007E05F2" w:rsidRDefault="00BB3CD2" w:rsidP="00F950C3">
            <w:pPr>
              <w:pStyle w:val="ListParagraph"/>
              <w:numPr>
                <w:ilvl w:val="0"/>
                <w:numId w:val="23"/>
              </w:numPr>
              <w:rPr>
                <w:sz w:val="20"/>
                <w:szCs w:val="20"/>
              </w:rPr>
            </w:pPr>
            <w:r w:rsidRPr="007E05F2">
              <w:rPr>
                <w:sz w:val="20"/>
                <w:szCs w:val="20"/>
              </w:rPr>
              <w:t>Projekt spreman za provedbu 2020.</w:t>
            </w:r>
          </w:p>
          <w:p w14:paraId="65152DB8" w14:textId="48F9714E" w:rsidR="00BB3CD2" w:rsidRPr="007E05F2" w:rsidRDefault="000A42BF" w:rsidP="00F950C3">
            <w:pPr>
              <w:pStyle w:val="ListParagraph"/>
              <w:numPr>
                <w:ilvl w:val="0"/>
                <w:numId w:val="23"/>
              </w:numPr>
              <w:rPr>
                <w:sz w:val="20"/>
                <w:szCs w:val="20"/>
              </w:rPr>
            </w:pPr>
            <w:r>
              <w:rPr>
                <w:sz w:val="20"/>
                <w:szCs w:val="20"/>
              </w:rPr>
              <w:t>Izrađena pred-i</w:t>
            </w:r>
            <w:r w:rsidR="00BB3CD2" w:rsidRPr="007E05F2">
              <w:rPr>
                <w:sz w:val="20"/>
                <w:szCs w:val="20"/>
              </w:rPr>
              <w:t>n</w:t>
            </w:r>
            <w:r>
              <w:rPr>
                <w:sz w:val="20"/>
                <w:szCs w:val="20"/>
              </w:rPr>
              <w:t>v</w:t>
            </w:r>
            <w:r w:rsidR="00BB3CD2" w:rsidRPr="007E05F2">
              <w:rPr>
                <w:sz w:val="20"/>
                <w:szCs w:val="20"/>
              </w:rPr>
              <w:t>esticijska studija geotermalnog polja</w:t>
            </w:r>
          </w:p>
        </w:tc>
      </w:tr>
      <w:tr w:rsidR="00B54887" w:rsidRPr="0058603F" w14:paraId="1BE9EB0B" w14:textId="77777777" w:rsidTr="00B54887">
        <w:tc>
          <w:tcPr>
            <w:tcW w:w="2235" w:type="dxa"/>
            <w:shd w:val="clear" w:color="auto" w:fill="F2DBDB" w:themeFill="accent2" w:themeFillTint="33"/>
          </w:tcPr>
          <w:p w14:paraId="0C55B523" w14:textId="758A92E9" w:rsidR="00B54887" w:rsidRPr="0058603F" w:rsidRDefault="00B54887" w:rsidP="00B54887">
            <w:pPr>
              <w:rPr>
                <w:b/>
                <w:sz w:val="20"/>
                <w:szCs w:val="20"/>
              </w:rPr>
            </w:pPr>
            <w:r w:rsidRPr="0058603F">
              <w:rPr>
                <w:b/>
                <w:sz w:val="20"/>
                <w:szCs w:val="20"/>
              </w:rPr>
              <w:t xml:space="preserve">Indikativni </w:t>
            </w:r>
            <w:r>
              <w:rPr>
                <w:b/>
                <w:sz w:val="20"/>
                <w:szCs w:val="20"/>
              </w:rPr>
              <w:t>proračun projekta</w:t>
            </w:r>
            <w:r w:rsidRPr="0058603F">
              <w:rPr>
                <w:b/>
                <w:sz w:val="20"/>
                <w:szCs w:val="20"/>
              </w:rPr>
              <w:t xml:space="preserve"> (HRK):</w:t>
            </w:r>
          </w:p>
        </w:tc>
        <w:tc>
          <w:tcPr>
            <w:tcW w:w="7053" w:type="dxa"/>
          </w:tcPr>
          <w:p w14:paraId="69DF68E4" w14:textId="77777777" w:rsidR="00B54887" w:rsidRPr="007E05F2" w:rsidRDefault="007E05F2" w:rsidP="00F950C3">
            <w:pPr>
              <w:pStyle w:val="ListParagraph"/>
              <w:numPr>
                <w:ilvl w:val="0"/>
                <w:numId w:val="24"/>
              </w:numPr>
              <w:rPr>
                <w:sz w:val="20"/>
                <w:szCs w:val="20"/>
              </w:rPr>
            </w:pPr>
            <w:r w:rsidRPr="007E05F2">
              <w:rPr>
                <w:sz w:val="20"/>
                <w:szCs w:val="20"/>
              </w:rPr>
              <w:t>72.000.000 HRK</w:t>
            </w:r>
          </w:p>
          <w:p w14:paraId="4F12B656" w14:textId="2425072F" w:rsidR="007E05F2" w:rsidRPr="007E05F2" w:rsidRDefault="007E05F2" w:rsidP="00F950C3">
            <w:pPr>
              <w:pStyle w:val="ListParagraph"/>
              <w:numPr>
                <w:ilvl w:val="0"/>
                <w:numId w:val="24"/>
              </w:numPr>
              <w:rPr>
                <w:sz w:val="20"/>
                <w:szCs w:val="20"/>
              </w:rPr>
            </w:pPr>
            <w:r w:rsidRPr="007E05F2">
              <w:rPr>
                <w:sz w:val="20"/>
                <w:szCs w:val="20"/>
              </w:rPr>
              <w:t>70.000.000 HRK</w:t>
            </w:r>
          </w:p>
        </w:tc>
      </w:tr>
      <w:tr w:rsidR="00B54887" w:rsidRPr="0058603F" w14:paraId="61B4A659" w14:textId="77777777" w:rsidTr="00B54887">
        <w:tc>
          <w:tcPr>
            <w:tcW w:w="2235" w:type="dxa"/>
            <w:shd w:val="clear" w:color="auto" w:fill="F2DBDB" w:themeFill="accent2" w:themeFillTint="33"/>
          </w:tcPr>
          <w:p w14:paraId="77EACAC0" w14:textId="3AC7F594" w:rsidR="00B54887" w:rsidRPr="0058603F" w:rsidRDefault="00B54887" w:rsidP="00B54887">
            <w:pPr>
              <w:rPr>
                <w:b/>
                <w:sz w:val="20"/>
                <w:szCs w:val="20"/>
              </w:rPr>
            </w:pPr>
            <w:r w:rsidRPr="0058603F">
              <w:rPr>
                <w:b/>
                <w:sz w:val="20"/>
                <w:szCs w:val="20"/>
              </w:rPr>
              <w:t>Izvori financiranja:</w:t>
            </w:r>
          </w:p>
        </w:tc>
        <w:tc>
          <w:tcPr>
            <w:tcW w:w="7053" w:type="dxa"/>
          </w:tcPr>
          <w:p w14:paraId="05712C14" w14:textId="7B93A2F4" w:rsidR="00B54887" w:rsidRPr="0058603F" w:rsidRDefault="00B54887" w:rsidP="00B54887">
            <w:pPr>
              <w:rPr>
                <w:sz w:val="20"/>
                <w:szCs w:val="20"/>
              </w:rPr>
            </w:pPr>
            <w:r>
              <w:rPr>
                <w:sz w:val="20"/>
                <w:szCs w:val="20"/>
              </w:rPr>
              <w:t xml:space="preserve">EU fondovi (ITU mehanizam), </w:t>
            </w:r>
            <w:r w:rsidR="007E05F2">
              <w:rPr>
                <w:sz w:val="20"/>
                <w:szCs w:val="20"/>
              </w:rPr>
              <w:t xml:space="preserve">Gradska Toplana, privatni investitori, </w:t>
            </w:r>
            <w:r>
              <w:rPr>
                <w:sz w:val="20"/>
                <w:szCs w:val="20"/>
              </w:rPr>
              <w:t>Gradski proračun</w:t>
            </w:r>
          </w:p>
        </w:tc>
      </w:tr>
    </w:tbl>
    <w:p w14:paraId="16EB2681" w14:textId="77777777" w:rsidR="00B54887" w:rsidRDefault="00B54887" w:rsidP="00C4655E"/>
    <w:tbl>
      <w:tblPr>
        <w:tblStyle w:val="TableGrid"/>
        <w:tblW w:w="0" w:type="auto"/>
        <w:tblBorders>
          <w:insideH w:val="dotted" w:sz="4" w:space="0" w:color="auto"/>
          <w:insideV w:val="none" w:sz="0" w:space="0" w:color="auto"/>
        </w:tblBorders>
        <w:tblLook w:val="04A0" w:firstRow="1" w:lastRow="0" w:firstColumn="1" w:lastColumn="0" w:noHBand="0" w:noVBand="1"/>
      </w:tblPr>
      <w:tblGrid>
        <w:gridCol w:w="2235"/>
        <w:gridCol w:w="7053"/>
      </w:tblGrid>
      <w:tr w:rsidR="00B54887" w:rsidRPr="00D6307B" w14:paraId="3C09ECC9" w14:textId="77777777" w:rsidTr="00B54887">
        <w:tc>
          <w:tcPr>
            <w:tcW w:w="2235" w:type="dxa"/>
            <w:shd w:val="clear" w:color="auto" w:fill="F2DBDB" w:themeFill="accent2" w:themeFillTint="33"/>
          </w:tcPr>
          <w:p w14:paraId="4696BE13" w14:textId="77777777" w:rsidR="00B54887" w:rsidRPr="0058603F" w:rsidRDefault="00B54887" w:rsidP="00B54887">
            <w:pPr>
              <w:rPr>
                <w:b/>
                <w:sz w:val="20"/>
                <w:szCs w:val="20"/>
              </w:rPr>
            </w:pPr>
            <w:r>
              <w:rPr>
                <w:b/>
                <w:sz w:val="20"/>
                <w:szCs w:val="20"/>
              </w:rPr>
              <w:t>Rbr.</w:t>
            </w:r>
          </w:p>
        </w:tc>
        <w:tc>
          <w:tcPr>
            <w:tcW w:w="7053" w:type="dxa"/>
          </w:tcPr>
          <w:p w14:paraId="2006B2E6" w14:textId="7E3B4755" w:rsidR="00B54887" w:rsidRPr="00B54887" w:rsidRDefault="00B54887" w:rsidP="00B54887">
            <w:pPr>
              <w:rPr>
                <w:b/>
                <w:color w:val="943634" w:themeColor="accent2" w:themeShade="BF"/>
                <w:sz w:val="28"/>
                <w:szCs w:val="28"/>
              </w:rPr>
            </w:pPr>
            <w:r w:rsidRPr="00B54887">
              <w:rPr>
                <w:b/>
                <w:color w:val="943634" w:themeColor="accent2" w:themeShade="BF"/>
                <w:sz w:val="28"/>
                <w:szCs w:val="28"/>
              </w:rPr>
              <w:t>6</w:t>
            </w:r>
          </w:p>
        </w:tc>
      </w:tr>
      <w:tr w:rsidR="00B54887" w:rsidRPr="00252F2E" w14:paraId="3BE3F509" w14:textId="77777777" w:rsidTr="00B54887">
        <w:tc>
          <w:tcPr>
            <w:tcW w:w="2235" w:type="dxa"/>
            <w:shd w:val="clear" w:color="auto" w:fill="F2DBDB" w:themeFill="accent2" w:themeFillTint="33"/>
          </w:tcPr>
          <w:p w14:paraId="63CD9C94" w14:textId="77777777" w:rsidR="00B54887" w:rsidRPr="0058603F" w:rsidRDefault="00B54887" w:rsidP="00B54887">
            <w:pPr>
              <w:rPr>
                <w:b/>
                <w:sz w:val="20"/>
                <w:szCs w:val="20"/>
              </w:rPr>
            </w:pPr>
            <w:r w:rsidRPr="0058603F">
              <w:rPr>
                <w:b/>
                <w:sz w:val="20"/>
                <w:szCs w:val="20"/>
              </w:rPr>
              <w:t>Prioritet:</w:t>
            </w:r>
          </w:p>
        </w:tc>
        <w:tc>
          <w:tcPr>
            <w:tcW w:w="7053" w:type="dxa"/>
          </w:tcPr>
          <w:p w14:paraId="61FCD77E" w14:textId="2CBE1985" w:rsidR="00B54887" w:rsidRPr="00252F2E" w:rsidRDefault="007E05F2" w:rsidP="00B54887">
            <w:pPr>
              <w:rPr>
                <w:sz w:val="20"/>
                <w:szCs w:val="20"/>
              </w:rPr>
            </w:pPr>
            <w:r w:rsidRPr="00D45536">
              <w:rPr>
                <w:sz w:val="20"/>
                <w:szCs w:val="20"/>
              </w:rPr>
              <w:t>SC2.P2 Poboljšanje mobilnosti i pristupačnosti</w:t>
            </w:r>
          </w:p>
        </w:tc>
      </w:tr>
      <w:tr w:rsidR="00B54887" w:rsidRPr="00A93EB0" w14:paraId="7BB946FD" w14:textId="77777777" w:rsidTr="00B54887">
        <w:tc>
          <w:tcPr>
            <w:tcW w:w="2235" w:type="dxa"/>
            <w:shd w:val="clear" w:color="auto" w:fill="F2DBDB" w:themeFill="accent2" w:themeFillTint="33"/>
          </w:tcPr>
          <w:p w14:paraId="333C2234" w14:textId="77777777" w:rsidR="00B54887" w:rsidRPr="0058603F" w:rsidRDefault="00B54887" w:rsidP="00B54887">
            <w:pPr>
              <w:rPr>
                <w:b/>
                <w:sz w:val="20"/>
                <w:szCs w:val="20"/>
              </w:rPr>
            </w:pPr>
            <w:r w:rsidRPr="0058603F">
              <w:rPr>
                <w:b/>
                <w:sz w:val="20"/>
                <w:szCs w:val="20"/>
              </w:rPr>
              <w:t>Mjera:</w:t>
            </w:r>
          </w:p>
        </w:tc>
        <w:tc>
          <w:tcPr>
            <w:tcW w:w="7053" w:type="dxa"/>
          </w:tcPr>
          <w:p w14:paraId="24F8E6C1" w14:textId="4676FD00" w:rsidR="00B54887" w:rsidRPr="00A93EB0" w:rsidRDefault="007E05F2" w:rsidP="007E05F2">
            <w:pPr>
              <w:rPr>
                <w:sz w:val="20"/>
                <w:szCs w:val="20"/>
              </w:rPr>
            </w:pPr>
            <w:r w:rsidRPr="00D45536">
              <w:rPr>
                <w:sz w:val="20"/>
                <w:szCs w:val="20"/>
              </w:rPr>
              <w:t>Mjera SC2. P2.1 Veliki projekti</w:t>
            </w:r>
          </w:p>
        </w:tc>
      </w:tr>
      <w:tr w:rsidR="00B54887" w:rsidRPr="00B54887" w14:paraId="71EF2C28" w14:textId="77777777" w:rsidTr="00B54887">
        <w:tc>
          <w:tcPr>
            <w:tcW w:w="2235" w:type="dxa"/>
            <w:shd w:val="clear" w:color="auto" w:fill="F2DBDB" w:themeFill="accent2" w:themeFillTint="33"/>
          </w:tcPr>
          <w:p w14:paraId="0DE53FB0" w14:textId="77777777" w:rsidR="00B54887" w:rsidRPr="0058603F" w:rsidRDefault="00B54887" w:rsidP="00B54887">
            <w:pPr>
              <w:rPr>
                <w:b/>
                <w:sz w:val="20"/>
                <w:szCs w:val="20"/>
              </w:rPr>
            </w:pPr>
            <w:r w:rsidRPr="0058603F">
              <w:rPr>
                <w:b/>
                <w:sz w:val="20"/>
                <w:szCs w:val="20"/>
              </w:rPr>
              <w:t>Naziv projekta:</w:t>
            </w:r>
          </w:p>
        </w:tc>
        <w:tc>
          <w:tcPr>
            <w:tcW w:w="7053" w:type="dxa"/>
            <w:shd w:val="clear" w:color="auto" w:fill="F2DBDB" w:themeFill="accent2" w:themeFillTint="33"/>
          </w:tcPr>
          <w:p w14:paraId="2EC90C72" w14:textId="6EDDC807" w:rsidR="00B54887" w:rsidRPr="00B54887" w:rsidRDefault="00B54887" w:rsidP="00B54887">
            <w:pPr>
              <w:rPr>
                <w:b/>
              </w:rPr>
            </w:pPr>
            <w:r w:rsidRPr="00B54887">
              <w:rPr>
                <w:b/>
              </w:rPr>
              <w:t>Integrirani projekt mobilnosti VUPKA</w:t>
            </w:r>
          </w:p>
        </w:tc>
      </w:tr>
      <w:tr w:rsidR="00B54887" w:rsidRPr="0058603F" w14:paraId="3C8457AB" w14:textId="77777777" w:rsidTr="00B54887">
        <w:tc>
          <w:tcPr>
            <w:tcW w:w="2235" w:type="dxa"/>
            <w:shd w:val="clear" w:color="auto" w:fill="F2DBDB" w:themeFill="accent2" w:themeFillTint="33"/>
          </w:tcPr>
          <w:p w14:paraId="7F7DE3F4" w14:textId="77777777" w:rsidR="00B54887" w:rsidRPr="0058603F" w:rsidRDefault="00B54887" w:rsidP="00B54887">
            <w:pPr>
              <w:rPr>
                <w:b/>
                <w:sz w:val="20"/>
                <w:szCs w:val="20"/>
              </w:rPr>
            </w:pPr>
            <w:r w:rsidRPr="0058603F">
              <w:rPr>
                <w:b/>
                <w:sz w:val="20"/>
                <w:szCs w:val="20"/>
              </w:rPr>
              <w:t>Nositelj i partneri:</w:t>
            </w:r>
          </w:p>
        </w:tc>
        <w:tc>
          <w:tcPr>
            <w:tcW w:w="7053" w:type="dxa"/>
          </w:tcPr>
          <w:p w14:paraId="1B9EF75C" w14:textId="3A5BC321" w:rsidR="00B54887" w:rsidRPr="0058603F" w:rsidRDefault="007E05F2" w:rsidP="00B54887">
            <w:pPr>
              <w:rPr>
                <w:sz w:val="20"/>
                <w:szCs w:val="20"/>
              </w:rPr>
            </w:pPr>
            <w:r>
              <w:rPr>
                <w:sz w:val="20"/>
                <w:szCs w:val="20"/>
              </w:rPr>
              <w:t>Gradovi Karlovac, Ozalj i Duga Resa</w:t>
            </w:r>
          </w:p>
        </w:tc>
      </w:tr>
      <w:tr w:rsidR="00B54887" w:rsidRPr="00E14AFB" w14:paraId="2164D911" w14:textId="77777777" w:rsidTr="00B54887">
        <w:tc>
          <w:tcPr>
            <w:tcW w:w="2235" w:type="dxa"/>
            <w:shd w:val="clear" w:color="auto" w:fill="F2DBDB" w:themeFill="accent2" w:themeFillTint="33"/>
          </w:tcPr>
          <w:p w14:paraId="3C240D65" w14:textId="77777777" w:rsidR="00B54887" w:rsidRPr="0058603F" w:rsidRDefault="00B54887" w:rsidP="00B54887">
            <w:pPr>
              <w:rPr>
                <w:b/>
                <w:sz w:val="20"/>
                <w:szCs w:val="20"/>
              </w:rPr>
            </w:pPr>
            <w:r w:rsidRPr="0058603F">
              <w:rPr>
                <w:b/>
                <w:sz w:val="20"/>
                <w:szCs w:val="20"/>
              </w:rPr>
              <w:t>Cilj projekta:</w:t>
            </w:r>
          </w:p>
        </w:tc>
        <w:tc>
          <w:tcPr>
            <w:tcW w:w="7053" w:type="dxa"/>
          </w:tcPr>
          <w:p w14:paraId="4E22A01A" w14:textId="26CF29C7" w:rsidR="00B54887" w:rsidRPr="00E14AFB" w:rsidRDefault="007E05F2" w:rsidP="00B54887">
            <w:pPr>
              <w:rPr>
                <w:sz w:val="20"/>
                <w:szCs w:val="20"/>
              </w:rPr>
            </w:pPr>
            <w:r>
              <w:rPr>
                <w:sz w:val="20"/>
                <w:szCs w:val="20"/>
              </w:rPr>
              <w:t xml:space="preserve">Poboljšanje lokalne i regionalne povezanosti i </w:t>
            </w:r>
            <w:r w:rsidR="00634FD3">
              <w:rPr>
                <w:sz w:val="20"/>
                <w:szCs w:val="20"/>
              </w:rPr>
              <w:t>smanjenje pritisaka na okoliš</w:t>
            </w:r>
          </w:p>
        </w:tc>
      </w:tr>
      <w:tr w:rsidR="00B54887" w:rsidRPr="00B54887" w14:paraId="2F039F33" w14:textId="77777777" w:rsidTr="00B54887">
        <w:tc>
          <w:tcPr>
            <w:tcW w:w="2235" w:type="dxa"/>
            <w:shd w:val="clear" w:color="auto" w:fill="F2DBDB" w:themeFill="accent2" w:themeFillTint="33"/>
          </w:tcPr>
          <w:p w14:paraId="34E82FED" w14:textId="77777777" w:rsidR="00B54887" w:rsidRPr="0058603F" w:rsidRDefault="00B54887" w:rsidP="00B54887">
            <w:pPr>
              <w:rPr>
                <w:b/>
                <w:sz w:val="20"/>
                <w:szCs w:val="20"/>
              </w:rPr>
            </w:pPr>
            <w:r w:rsidRPr="0058603F">
              <w:rPr>
                <w:b/>
                <w:sz w:val="20"/>
                <w:szCs w:val="20"/>
              </w:rPr>
              <w:t>Sažetak aktivnosti:</w:t>
            </w:r>
          </w:p>
        </w:tc>
        <w:tc>
          <w:tcPr>
            <w:tcW w:w="7053" w:type="dxa"/>
          </w:tcPr>
          <w:p w14:paraId="3EBE9C4F" w14:textId="329D7DD9" w:rsidR="00634FD3" w:rsidRPr="00634FD3" w:rsidRDefault="00634FD3" w:rsidP="00F950C3">
            <w:pPr>
              <w:pStyle w:val="ListParagraph"/>
              <w:numPr>
                <w:ilvl w:val="0"/>
                <w:numId w:val="25"/>
              </w:numPr>
              <w:rPr>
                <w:sz w:val="20"/>
                <w:szCs w:val="20"/>
              </w:rPr>
            </w:pPr>
            <w:r w:rsidRPr="00634FD3">
              <w:rPr>
                <w:sz w:val="20"/>
                <w:szCs w:val="20"/>
              </w:rPr>
              <w:t>Obnova Mosta Banija – poboljšanje regionalne povezanosti (jedina veza između Zagreba i luke Rijeka za prijevoz specijalnih tereta)</w:t>
            </w:r>
          </w:p>
          <w:p w14:paraId="1B65FAD1" w14:textId="342685FB" w:rsidR="00634FD3" w:rsidRPr="00634FD3" w:rsidRDefault="00634FD3" w:rsidP="00F950C3">
            <w:pPr>
              <w:pStyle w:val="ListParagraph"/>
              <w:numPr>
                <w:ilvl w:val="0"/>
                <w:numId w:val="25"/>
              </w:numPr>
              <w:rPr>
                <w:sz w:val="20"/>
                <w:szCs w:val="20"/>
              </w:rPr>
            </w:pPr>
            <w:r w:rsidRPr="00634FD3">
              <w:rPr>
                <w:sz w:val="20"/>
                <w:szCs w:val="20"/>
              </w:rPr>
              <w:t>Obnova Mosta Hrnetić – poboljšanje lokalne povezanosti Hrnetić – Velika Jelsa</w:t>
            </w:r>
          </w:p>
          <w:p w14:paraId="065E45CC" w14:textId="548A569F" w:rsidR="00634FD3" w:rsidRPr="00634FD3" w:rsidRDefault="00634FD3" w:rsidP="00F950C3">
            <w:pPr>
              <w:pStyle w:val="ListParagraph"/>
              <w:numPr>
                <w:ilvl w:val="0"/>
                <w:numId w:val="25"/>
              </w:numPr>
              <w:rPr>
                <w:sz w:val="20"/>
                <w:szCs w:val="20"/>
              </w:rPr>
            </w:pPr>
            <w:r w:rsidRPr="00634FD3">
              <w:rPr>
                <w:sz w:val="20"/>
                <w:szCs w:val="20"/>
              </w:rPr>
              <w:t xml:space="preserve">Obnova mosta Mala Švarča - poboljšanje prometne povezanosti poduzetničke zone Mala Švarča radi prijevoza posebnih tereta </w:t>
            </w:r>
          </w:p>
          <w:p w14:paraId="121942CF" w14:textId="247CA69D" w:rsidR="00B54887" w:rsidRDefault="00634FD3" w:rsidP="00F950C3">
            <w:pPr>
              <w:pStyle w:val="ListParagraph"/>
              <w:numPr>
                <w:ilvl w:val="0"/>
                <w:numId w:val="25"/>
              </w:numPr>
              <w:rPr>
                <w:sz w:val="20"/>
                <w:szCs w:val="20"/>
              </w:rPr>
            </w:pPr>
            <w:r w:rsidRPr="00634FD3">
              <w:rPr>
                <w:sz w:val="20"/>
                <w:szCs w:val="20"/>
              </w:rPr>
              <w:t>Obnova mosta Rakovac – poboljšanje lo</w:t>
            </w:r>
            <w:r w:rsidR="000A42BF">
              <w:rPr>
                <w:sz w:val="20"/>
                <w:szCs w:val="20"/>
              </w:rPr>
              <w:t>k</w:t>
            </w:r>
            <w:r w:rsidRPr="00634FD3">
              <w:rPr>
                <w:sz w:val="20"/>
                <w:szCs w:val="20"/>
              </w:rPr>
              <w:t>alne povezanosti i sigurnosti prometa</w:t>
            </w:r>
          </w:p>
          <w:p w14:paraId="08742464" w14:textId="5D546176" w:rsidR="003C7E95" w:rsidRDefault="003C7E95" w:rsidP="00F950C3">
            <w:pPr>
              <w:pStyle w:val="ListParagraph"/>
              <w:numPr>
                <w:ilvl w:val="0"/>
                <w:numId w:val="25"/>
              </w:numPr>
              <w:rPr>
                <w:sz w:val="20"/>
                <w:szCs w:val="20"/>
              </w:rPr>
            </w:pPr>
            <w:r>
              <w:rPr>
                <w:sz w:val="20"/>
                <w:szCs w:val="20"/>
              </w:rPr>
              <w:t>Obnova mostova na području Ozlja i Duge Rese</w:t>
            </w:r>
          </w:p>
          <w:p w14:paraId="77BB90A9" w14:textId="2B1A2EDC" w:rsidR="00CE796C" w:rsidRPr="00634FD3" w:rsidRDefault="00CE796C" w:rsidP="00F950C3">
            <w:pPr>
              <w:pStyle w:val="ListParagraph"/>
              <w:numPr>
                <w:ilvl w:val="0"/>
                <w:numId w:val="25"/>
              </w:numPr>
              <w:rPr>
                <w:sz w:val="20"/>
                <w:szCs w:val="20"/>
              </w:rPr>
            </w:pPr>
            <w:r>
              <w:rPr>
                <w:sz w:val="20"/>
                <w:szCs w:val="20"/>
              </w:rPr>
              <w:t>Rješavanje pojedinih neuralgičnih prometnih točaka u gradovima</w:t>
            </w:r>
          </w:p>
          <w:p w14:paraId="5A1DED70" w14:textId="77777777" w:rsidR="00634FD3" w:rsidRPr="00634FD3" w:rsidRDefault="00634FD3" w:rsidP="00F950C3">
            <w:pPr>
              <w:pStyle w:val="ListParagraph"/>
              <w:numPr>
                <w:ilvl w:val="0"/>
                <w:numId w:val="25"/>
              </w:numPr>
              <w:rPr>
                <w:sz w:val="20"/>
                <w:szCs w:val="20"/>
              </w:rPr>
            </w:pPr>
            <w:r w:rsidRPr="00634FD3">
              <w:rPr>
                <w:sz w:val="20"/>
                <w:szCs w:val="20"/>
              </w:rPr>
              <w:t>Nabava električnih autobusa</w:t>
            </w:r>
          </w:p>
          <w:p w14:paraId="0AC1952E" w14:textId="36837D28" w:rsidR="00634FD3" w:rsidRPr="00634FD3" w:rsidRDefault="00634FD3" w:rsidP="00F950C3">
            <w:pPr>
              <w:pStyle w:val="ListParagraph"/>
              <w:numPr>
                <w:ilvl w:val="0"/>
                <w:numId w:val="25"/>
              </w:numPr>
              <w:rPr>
                <w:sz w:val="20"/>
                <w:szCs w:val="20"/>
              </w:rPr>
            </w:pPr>
            <w:r w:rsidRPr="00634FD3">
              <w:rPr>
                <w:sz w:val="20"/>
                <w:szCs w:val="20"/>
              </w:rPr>
              <w:t>Uređenje autobusnih stajališta</w:t>
            </w:r>
          </w:p>
          <w:p w14:paraId="6D65463D" w14:textId="77777777" w:rsidR="00634FD3" w:rsidRPr="00634FD3" w:rsidRDefault="00634FD3" w:rsidP="00F950C3">
            <w:pPr>
              <w:pStyle w:val="ListParagraph"/>
              <w:numPr>
                <w:ilvl w:val="0"/>
                <w:numId w:val="25"/>
              </w:numPr>
              <w:rPr>
                <w:sz w:val="20"/>
                <w:szCs w:val="20"/>
              </w:rPr>
            </w:pPr>
            <w:r w:rsidRPr="00634FD3">
              <w:rPr>
                <w:sz w:val="20"/>
                <w:szCs w:val="20"/>
              </w:rPr>
              <w:t>Uređenje punionica za električna vozila</w:t>
            </w:r>
          </w:p>
          <w:p w14:paraId="4A836D44" w14:textId="0DC8FF23" w:rsidR="00634FD3" w:rsidRPr="00634FD3" w:rsidRDefault="00634FD3" w:rsidP="00F950C3">
            <w:pPr>
              <w:pStyle w:val="ListParagraph"/>
              <w:numPr>
                <w:ilvl w:val="0"/>
                <w:numId w:val="25"/>
              </w:numPr>
              <w:rPr>
                <w:sz w:val="20"/>
                <w:szCs w:val="20"/>
              </w:rPr>
            </w:pPr>
            <w:r w:rsidRPr="00634FD3">
              <w:rPr>
                <w:sz w:val="20"/>
                <w:szCs w:val="20"/>
              </w:rPr>
              <w:t>Uvođenje digitalnih sustava upravljanja javnim prijevozom</w:t>
            </w:r>
          </w:p>
        </w:tc>
      </w:tr>
      <w:tr w:rsidR="00B54887" w:rsidRPr="0058603F" w14:paraId="294AD98E" w14:textId="77777777" w:rsidTr="00B54887">
        <w:tc>
          <w:tcPr>
            <w:tcW w:w="2235" w:type="dxa"/>
            <w:shd w:val="clear" w:color="auto" w:fill="F2DBDB" w:themeFill="accent2" w:themeFillTint="33"/>
          </w:tcPr>
          <w:p w14:paraId="38FF24AB" w14:textId="492AD1DB" w:rsidR="00B54887" w:rsidRPr="0058603F" w:rsidRDefault="00B54887" w:rsidP="00B54887">
            <w:pPr>
              <w:rPr>
                <w:b/>
                <w:sz w:val="20"/>
                <w:szCs w:val="20"/>
              </w:rPr>
            </w:pPr>
            <w:r w:rsidRPr="0058603F">
              <w:rPr>
                <w:b/>
                <w:sz w:val="20"/>
                <w:szCs w:val="20"/>
              </w:rPr>
              <w:t>Ciljano područje:</w:t>
            </w:r>
          </w:p>
        </w:tc>
        <w:tc>
          <w:tcPr>
            <w:tcW w:w="7053" w:type="dxa"/>
          </w:tcPr>
          <w:p w14:paraId="2F2E965A" w14:textId="72F08B13" w:rsidR="00B54887" w:rsidRPr="0058603F" w:rsidRDefault="00634FD3" w:rsidP="00B54887">
            <w:pPr>
              <w:rPr>
                <w:sz w:val="20"/>
                <w:szCs w:val="20"/>
              </w:rPr>
            </w:pPr>
            <w:r>
              <w:rPr>
                <w:sz w:val="20"/>
                <w:szCs w:val="20"/>
              </w:rPr>
              <w:t>VUPKA</w:t>
            </w:r>
          </w:p>
        </w:tc>
      </w:tr>
      <w:tr w:rsidR="00B54887" w:rsidRPr="0058603F" w14:paraId="109267DD" w14:textId="77777777" w:rsidTr="00B54887">
        <w:tc>
          <w:tcPr>
            <w:tcW w:w="2235" w:type="dxa"/>
            <w:shd w:val="clear" w:color="auto" w:fill="F2DBDB" w:themeFill="accent2" w:themeFillTint="33"/>
          </w:tcPr>
          <w:p w14:paraId="3788F4C7" w14:textId="77777777" w:rsidR="00B54887" w:rsidRPr="0058603F" w:rsidRDefault="00B54887" w:rsidP="00B54887">
            <w:pPr>
              <w:rPr>
                <w:b/>
                <w:sz w:val="20"/>
                <w:szCs w:val="20"/>
              </w:rPr>
            </w:pPr>
            <w:r w:rsidRPr="0058603F">
              <w:rPr>
                <w:b/>
                <w:sz w:val="20"/>
                <w:szCs w:val="20"/>
              </w:rPr>
              <w:t>Tip projekta:</w:t>
            </w:r>
          </w:p>
        </w:tc>
        <w:tc>
          <w:tcPr>
            <w:tcW w:w="7053" w:type="dxa"/>
          </w:tcPr>
          <w:p w14:paraId="1C23481E" w14:textId="674EF4E7" w:rsidR="00B54887" w:rsidRPr="0058603F" w:rsidRDefault="00634FD3" w:rsidP="00B54887">
            <w:pPr>
              <w:rPr>
                <w:sz w:val="20"/>
                <w:szCs w:val="20"/>
              </w:rPr>
            </w:pPr>
            <w:r>
              <w:rPr>
                <w:sz w:val="20"/>
                <w:szCs w:val="20"/>
              </w:rPr>
              <w:t xml:space="preserve">Infrastrukturni </w:t>
            </w:r>
          </w:p>
        </w:tc>
      </w:tr>
      <w:tr w:rsidR="00B54887" w:rsidRPr="0058603F" w14:paraId="4E6C63F9" w14:textId="77777777" w:rsidTr="00B54887">
        <w:tc>
          <w:tcPr>
            <w:tcW w:w="2235" w:type="dxa"/>
            <w:shd w:val="clear" w:color="auto" w:fill="F2DBDB" w:themeFill="accent2" w:themeFillTint="33"/>
          </w:tcPr>
          <w:p w14:paraId="5BA74F44" w14:textId="77777777" w:rsidR="00B54887" w:rsidRPr="0058603F" w:rsidRDefault="00B54887" w:rsidP="00B54887">
            <w:pPr>
              <w:rPr>
                <w:b/>
                <w:sz w:val="20"/>
                <w:szCs w:val="20"/>
              </w:rPr>
            </w:pPr>
            <w:r w:rsidRPr="0058603F">
              <w:rPr>
                <w:b/>
                <w:sz w:val="20"/>
                <w:szCs w:val="20"/>
              </w:rPr>
              <w:t>Pripremljenost projekta:</w:t>
            </w:r>
          </w:p>
        </w:tc>
        <w:tc>
          <w:tcPr>
            <w:tcW w:w="7053" w:type="dxa"/>
          </w:tcPr>
          <w:p w14:paraId="3C98D692" w14:textId="5254FCC3" w:rsidR="00B54887" w:rsidRPr="0058603F" w:rsidRDefault="00634FD3" w:rsidP="00B54887">
            <w:pPr>
              <w:rPr>
                <w:sz w:val="20"/>
                <w:szCs w:val="20"/>
              </w:rPr>
            </w:pPr>
            <w:r>
              <w:rPr>
                <w:sz w:val="20"/>
                <w:szCs w:val="20"/>
              </w:rPr>
              <w:t>Kategorija I</w:t>
            </w:r>
            <w:r w:rsidR="00755836">
              <w:rPr>
                <w:sz w:val="20"/>
                <w:szCs w:val="20"/>
              </w:rPr>
              <w:t xml:space="preserve"> do III</w:t>
            </w:r>
          </w:p>
        </w:tc>
      </w:tr>
      <w:tr w:rsidR="00B54887" w:rsidRPr="0058603F" w14:paraId="3202F76D" w14:textId="77777777" w:rsidTr="00B54887">
        <w:tc>
          <w:tcPr>
            <w:tcW w:w="2235" w:type="dxa"/>
            <w:shd w:val="clear" w:color="auto" w:fill="F2DBDB" w:themeFill="accent2" w:themeFillTint="33"/>
          </w:tcPr>
          <w:p w14:paraId="2F44257E" w14:textId="77777777" w:rsidR="00B54887" w:rsidRPr="0058603F" w:rsidRDefault="00B54887" w:rsidP="00B54887">
            <w:pPr>
              <w:rPr>
                <w:b/>
                <w:sz w:val="20"/>
                <w:szCs w:val="20"/>
              </w:rPr>
            </w:pPr>
            <w:r w:rsidRPr="0058603F">
              <w:rPr>
                <w:b/>
                <w:sz w:val="20"/>
                <w:szCs w:val="20"/>
              </w:rPr>
              <w:t xml:space="preserve">Indikativni </w:t>
            </w:r>
            <w:r>
              <w:rPr>
                <w:b/>
                <w:sz w:val="20"/>
                <w:szCs w:val="20"/>
              </w:rPr>
              <w:t>proračun projekta</w:t>
            </w:r>
            <w:r w:rsidRPr="0058603F">
              <w:rPr>
                <w:b/>
                <w:sz w:val="20"/>
                <w:szCs w:val="20"/>
              </w:rPr>
              <w:t xml:space="preserve"> (HRK):</w:t>
            </w:r>
          </w:p>
        </w:tc>
        <w:tc>
          <w:tcPr>
            <w:tcW w:w="7053" w:type="dxa"/>
          </w:tcPr>
          <w:p w14:paraId="645F2B09" w14:textId="2171A0DB" w:rsidR="00B54887" w:rsidRPr="0058603F" w:rsidRDefault="0070594A" w:rsidP="00B54887">
            <w:pPr>
              <w:rPr>
                <w:sz w:val="20"/>
                <w:szCs w:val="20"/>
              </w:rPr>
            </w:pPr>
            <w:r>
              <w:rPr>
                <w:sz w:val="20"/>
                <w:szCs w:val="20"/>
              </w:rPr>
              <w:t>52</w:t>
            </w:r>
            <w:r w:rsidR="00634FD3">
              <w:rPr>
                <w:sz w:val="20"/>
                <w:szCs w:val="20"/>
              </w:rPr>
              <w:t>.770.600 HRK</w:t>
            </w:r>
            <w:r w:rsidR="00755836">
              <w:rPr>
                <w:sz w:val="20"/>
                <w:szCs w:val="20"/>
              </w:rPr>
              <w:t xml:space="preserve"> (samo mostovi)</w:t>
            </w:r>
          </w:p>
        </w:tc>
      </w:tr>
      <w:tr w:rsidR="00B54887" w:rsidRPr="0058603F" w14:paraId="6BE93B1F" w14:textId="77777777" w:rsidTr="00B54887">
        <w:tc>
          <w:tcPr>
            <w:tcW w:w="2235" w:type="dxa"/>
            <w:shd w:val="clear" w:color="auto" w:fill="F2DBDB" w:themeFill="accent2" w:themeFillTint="33"/>
          </w:tcPr>
          <w:p w14:paraId="36DACD71" w14:textId="77777777" w:rsidR="00B54887" w:rsidRPr="0058603F" w:rsidRDefault="00B54887" w:rsidP="00B54887">
            <w:pPr>
              <w:rPr>
                <w:b/>
                <w:sz w:val="20"/>
                <w:szCs w:val="20"/>
              </w:rPr>
            </w:pPr>
            <w:r w:rsidRPr="0058603F">
              <w:rPr>
                <w:b/>
                <w:sz w:val="20"/>
                <w:szCs w:val="20"/>
              </w:rPr>
              <w:t>Izvori financiranja:</w:t>
            </w:r>
          </w:p>
        </w:tc>
        <w:tc>
          <w:tcPr>
            <w:tcW w:w="7053" w:type="dxa"/>
          </w:tcPr>
          <w:p w14:paraId="03082E6A" w14:textId="1BBE0E6A" w:rsidR="00B54887" w:rsidRPr="0058603F" w:rsidRDefault="00B54887" w:rsidP="006D16DB">
            <w:pPr>
              <w:rPr>
                <w:sz w:val="20"/>
                <w:szCs w:val="20"/>
              </w:rPr>
            </w:pPr>
            <w:r>
              <w:rPr>
                <w:sz w:val="20"/>
                <w:szCs w:val="20"/>
              </w:rPr>
              <w:t xml:space="preserve">EU fondovi (ITU mehanizam), </w:t>
            </w:r>
            <w:r w:rsidR="006D16DB">
              <w:rPr>
                <w:sz w:val="20"/>
                <w:szCs w:val="20"/>
              </w:rPr>
              <w:t>Županijski i gradski</w:t>
            </w:r>
            <w:r>
              <w:rPr>
                <w:sz w:val="20"/>
                <w:szCs w:val="20"/>
              </w:rPr>
              <w:t xml:space="preserve"> proračun</w:t>
            </w:r>
            <w:r w:rsidR="00634FD3">
              <w:rPr>
                <w:sz w:val="20"/>
                <w:szCs w:val="20"/>
              </w:rPr>
              <w:t>i</w:t>
            </w:r>
            <w:r w:rsidR="006D16DB">
              <w:rPr>
                <w:sz w:val="20"/>
                <w:szCs w:val="20"/>
              </w:rPr>
              <w:t>, Hrvatske ceste</w:t>
            </w:r>
          </w:p>
        </w:tc>
      </w:tr>
    </w:tbl>
    <w:p w14:paraId="03CF665D" w14:textId="77777777" w:rsidR="00B54887" w:rsidRDefault="00B54887" w:rsidP="00B54887"/>
    <w:tbl>
      <w:tblPr>
        <w:tblStyle w:val="TableGrid"/>
        <w:tblW w:w="0" w:type="auto"/>
        <w:tblBorders>
          <w:insideH w:val="dotted" w:sz="4" w:space="0" w:color="auto"/>
          <w:insideV w:val="none" w:sz="0" w:space="0" w:color="auto"/>
        </w:tblBorders>
        <w:tblLook w:val="04A0" w:firstRow="1" w:lastRow="0" w:firstColumn="1" w:lastColumn="0" w:noHBand="0" w:noVBand="1"/>
      </w:tblPr>
      <w:tblGrid>
        <w:gridCol w:w="2235"/>
        <w:gridCol w:w="7053"/>
      </w:tblGrid>
      <w:tr w:rsidR="009F6171" w:rsidRPr="00D6307B" w14:paraId="245CCF2C" w14:textId="77777777" w:rsidTr="009F6171">
        <w:tc>
          <w:tcPr>
            <w:tcW w:w="2235" w:type="dxa"/>
            <w:shd w:val="clear" w:color="auto" w:fill="F2DBDB" w:themeFill="accent2" w:themeFillTint="33"/>
          </w:tcPr>
          <w:p w14:paraId="0FA197A0" w14:textId="77777777" w:rsidR="009F6171" w:rsidRPr="0058603F" w:rsidRDefault="009F6171" w:rsidP="009F6171">
            <w:pPr>
              <w:rPr>
                <w:b/>
                <w:sz w:val="20"/>
                <w:szCs w:val="20"/>
              </w:rPr>
            </w:pPr>
            <w:r>
              <w:rPr>
                <w:b/>
                <w:sz w:val="20"/>
                <w:szCs w:val="20"/>
              </w:rPr>
              <w:t>Rbr.</w:t>
            </w:r>
          </w:p>
        </w:tc>
        <w:tc>
          <w:tcPr>
            <w:tcW w:w="7053" w:type="dxa"/>
          </w:tcPr>
          <w:p w14:paraId="454287B4" w14:textId="0E75A303" w:rsidR="009F6171" w:rsidRPr="00B54887" w:rsidRDefault="009F6171" w:rsidP="009F6171">
            <w:pPr>
              <w:rPr>
                <w:b/>
                <w:color w:val="943634" w:themeColor="accent2" w:themeShade="BF"/>
                <w:sz w:val="28"/>
                <w:szCs w:val="28"/>
              </w:rPr>
            </w:pPr>
            <w:r>
              <w:rPr>
                <w:b/>
                <w:color w:val="943634" w:themeColor="accent2" w:themeShade="BF"/>
                <w:sz w:val="28"/>
                <w:szCs w:val="28"/>
              </w:rPr>
              <w:t>7</w:t>
            </w:r>
          </w:p>
        </w:tc>
      </w:tr>
      <w:tr w:rsidR="009F6171" w:rsidRPr="00252F2E" w14:paraId="7151B1FE" w14:textId="77777777" w:rsidTr="009F6171">
        <w:tc>
          <w:tcPr>
            <w:tcW w:w="2235" w:type="dxa"/>
            <w:shd w:val="clear" w:color="auto" w:fill="F2DBDB" w:themeFill="accent2" w:themeFillTint="33"/>
          </w:tcPr>
          <w:p w14:paraId="1784891A" w14:textId="77777777" w:rsidR="009F6171" w:rsidRPr="0058603F" w:rsidRDefault="009F6171" w:rsidP="009F6171">
            <w:pPr>
              <w:rPr>
                <w:b/>
                <w:sz w:val="20"/>
                <w:szCs w:val="20"/>
              </w:rPr>
            </w:pPr>
            <w:r w:rsidRPr="0058603F">
              <w:rPr>
                <w:b/>
                <w:sz w:val="20"/>
                <w:szCs w:val="20"/>
              </w:rPr>
              <w:t>Prioritet:</w:t>
            </w:r>
          </w:p>
        </w:tc>
        <w:tc>
          <w:tcPr>
            <w:tcW w:w="7053" w:type="dxa"/>
          </w:tcPr>
          <w:p w14:paraId="528C742D" w14:textId="3F412E12" w:rsidR="009F6171" w:rsidRPr="00252F2E" w:rsidRDefault="004659F9" w:rsidP="004659F9">
            <w:pPr>
              <w:rPr>
                <w:sz w:val="20"/>
                <w:szCs w:val="20"/>
              </w:rPr>
            </w:pPr>
            <w:r>
              <w:rPr>
                <w:sz w:val="20"/>
                <w:szCs w:val="20"/>
              </w:rPr>
              <w:t>SC2.</w:t>
            </w:r>
            <w:r w:rsidR="009F6171" w:rsidRPr="00D45536">
              <w:rPr>
                <w:sz w:val="20"/>
                <w:szCs w:val="20"/>
              </w:rPr>
              <w:t xml:space="preserve"> </w:t>
            </w:r>
            <w:r w:rsidRPr="00D45536">
              <w:rPr>
                <w:sz w:val="20"/>
                <w:szCs w:val="20"/>
              </w:rPr>
              <w:t>P3 Vodna i komunalna infrastruktura</w:t>
            </w:r>
          </w:p>
        </w:tc>
      </w:tr>
      <w:tr w:rsidR="009F6171" w:rsidRPr="00A93EB0" w14:paraId="02D68CB5" w14:textId="77777777" w:rsidTr="009F6171">
        <w:tc>
          <w:tcPr>
            <w:tcW w:w="2235" w:type="dxa"/>
            <w:shd w:val="clear" w:color="auto" w:fill="F2DBDB" w:themeFill="accent2" w:themeFillTint="33"/>
          </w:tcPr>
          <w:p w14:paraId="662660B2" w14:textId="77777777" w:rsidR="009F6171" w:rsidRPr="0058603F" w:rsidRDefault="009F6171" w:rsidP="009F6171">
            <w:pPr>
              <w:rPr>
                <w:b/>
                <w:sz w:val="20"/>
                <w:szCs w:val="20"/>
              </w:rPr>
            </w:pPr>
            <w:r w:rsidRPr="0058603F">
              <w:rPr>
                <w:b/>
                <w:sz w:val="20"/>
                <w:szCs w:val="20"/>
              </w:rPr>
              <w:t>Mjera:</w:t>
            </w:r>
          </w:p>
        </w:tc>
        <w:tc>
          <w:tcPr>
            <w:tcW w:w="7053" w:type="dxa"/>
          </w:tcPr>
          <w:p w14:paraId="69587D94" w14:textId="5DBD0E89" w:rsidR="009F6171" w:rsidRPr="00A93EB0" w:rsidRDefault="009F6171" w:rsidP="004659F9">
            <w:pPr>
              <w:rPr>
                <w:sz w:val="20"/>
                <w:szCs w:val="20"/>
              </w:rPr>
            </w:pPr>
            <w:r w:rsidRPr="00D45536">
              <w:rPr>
                <w:sz w:val="20"/>
                <w:szCs w:val="20"/>
              </w:rPr>
              <w:t>Mjera SC2. P</w:t>
            </w:r>
            <w:r w:rsidR="004659F9">
              <w:rPr>
                <w:sz w:val="20"/>
                <w:szCs w:val="20"/>
              </w:rPr>
              <w:t>3</w:t>
            </w:r>
            <w:r w:rsidRPr="00D45536">
              <w:rPr>
                <w:sz w:val="20"/>
                <w:szCs w:val="20"/>
              </w:rPr>
              <w:t>.1 Veliki projekti</w:t>
            </w:r>
          </w:p>
        </w:tc>
      </w:tr>
      <w:tr w:rsidR="009F6171" w:rsidRPr="00B54887" w14:paraId="54E119BE" w14:textId="77777777" w:rsidTr="009F6171">
        <w:tc>
          <w:tcPr>
            <w:tcW w:w="2235" w:type="dxa"/>
            <w:shd w:val="clear" w:color="auto" w:fill="F2DBDB" w:themeFill="accent2" w:themeFillTint="33"/>
          </w:tcPr>
          <w:p w14:paraId="7BE0AB7B" w14:textId="77777777" w:rsidR="009F6171" w:rsidRPr="0058603F" w:rsidRDefault="009F6171" w:rsidP="009F6171">
            <w:pPr>
              <w:rPr>
                <w:b/>
                <w:sz w:val="20"/>
                <w:szCs w:val="20"/>
              </w:rPr>
            </w:pPr>
            <w:r w:rsidRPr="0058603F">
              <w:rPr>
                <w:b/>
                <w:sz w:val="20"/>
                <w:szCs w:val="20"/>
              </w:rPr>
              <w:t>Naziv projekta:</w:t>
            </w:r>
          </w:p>
        </w:tc>
        <w:tc>
          <w:tcPr>
            <w:tcW w:w="7053" w:type="dxa"/>
            <w:shd w:val="clear" w:color="auto" w:fill="F2DBDB" w:themeFill="accent2" w:themeFillTint="33"/>
          </w:tcPr>
          <w:p w14:paraId="751F8292" w14:textId="564DA937" w:rsidR="009F6171" w:rsidRPr="00B54887" w:rsidRDefault="004659F9" w:rsidP="009F6171">
            <w:pPr>
              <w:rPr>
                <w:b/>
              </w:rPr>
            </w:pPr>
            <w:r w:rsidRPr="004659F9">
              <w:rPr>
                <w:b/>
              </w:rPr>
              <w:t>Aglomeracija Karlovac – Duga Resa</w:t>
            </w:r>
            <w:r w:rsidR="00E57E7A">
              <w:rPr>
                <w:b/>
              </w:rPr>
              <w:t xml:space="preserve"> II</w:t>
            </w:r>
          </w:p>
        </w:tc>
      </w:tr>
      <w:tr w:rsidR="009F6171" w:rsidRPr="0058603F" w14:paraId="644559A5" w14:textId="77777777" w:rsidTr="009F6171">
        <w:tc>
          <w:tcPr>
            <w:tcW w:w="2235" w:type="dxa"/>
            <w:shd w:val="clear" w:color="auto" w:fill="F2DBDB" w:themeFill="accent2" w:themeFillTint="33"/>
          </w:tcPr>
          <w:p w14:paraId="5AA56DDB" w14:textId="77777777" w:rsidR="009F6171" w:rsidRPr="0058603F" w:rsidRDefault="009F6171" w:rsidP="009F6171">
            <w:pPr>
              <w:rPr>
                <w:b/>
                <w:sz w:val="20"/>
                <w:szCs w:val="20"/>
              </w:rPr>
            </w:pPr>
            <w:r w:rsidRPr="0058603F">
              <w:rPr>
                <w:b/>
                <w:sz w:val="20"/>
                <w:szCs w:val="20"/>
              </w:rPr>
              <w:t>Nositelj i partneri:</w:t>
            </w:r>
          </w:p>
        </w:tc>
        <w:tc>
          <w:tcPr>
            <w:tcW w:w="7053" w:type="dxa"/>
          </w:tcPr>
          <w:p w14:paraId="1774509D" w14:textId="78B51759" w:rsidR="009F6171" w:rsidRPr="0058603F" w:rsidRDefault="00E57E7A" w:rsidP="004659F9">
            <w:pPr>
              <w:rPr>
                <w:sz w:val="20"/>
                <w:szCs w:val="20"/>
              </w:rPr>
            </w:pPr>
            <w:r>
              <w:rPr>
                <w:sz w:val="20"/>
                <w:szCs w:val="20"/>
              </w:rPr>
              <w:t>Grad</w:t>
            </w:r>
            <w:r w:rsidR="009F6171">
              <w:rPr>
                <w:sz w:val="20"/>
                <w:szCs w:val="20"/>
              </w:rPr>
              <w:t xml:space="preserve"> Karlovac</w:t>
            </w:r>
          </w:p>
        </w:tc>
      </w:tr>
      <w:tr w:rsidR="009F6171" w:rsidRPr="00E14AFB" w14:paraId="15EE511F" w14:textId="77777777" w:rsidTr="009F6171">
        <w:tc>
          <w:tcPr>
            <w:tcW w:w="2235" w:type="dxa"/>
            <w:shd w:val="clear" w:color="auto" w:fill="F2DBDB" w:themeFill="accent2" w:themeFillTint="33"/>
          </w:tcPr>
          <w:p w14:paraId="538CFB23" w14:textId="77777777" w:rsidR="009F6171" w:rsidRPr="0058603F" w:rsidRDefault="009F6171" w:rsidP="009F6171">
            <w:pPr>
              <w:rPr>
                <w:b/>
                <w:sz w:val="20"/>
                <w:szCs w:val="20"/>
              </w:rPr>
            </w:pPr>
            <w:r w:rsidRPr="0058603F">
              <w:rPr>
                <w:b/>
                <w:sz w:val="20"/>
                <w:szCs w:val="20"/>
              </w:rPr>
              <w:lastRenderedPageBreak/>
              <w:t>Cilj projekta:</w:t>
            </w:r>
          </w:p>
        </w:tc>
        <w:tc>
          <w:tcPr>
            <w:tcW w:w="7053" w:type="dxa"/>
          </w:tcPr>
          <w:p w14:paraId="628B52A4" w14:textId="16FDB2AB" w:rsidR="009F6171" w:rsidRPr="00E14AFB" w:rsidRDefault="009F6171" w:rsidP="004659F9">
            <w:pPr>
              <w:rPr>
                <w:sz w:val="20"/>
                <w:szCs w:val="20"/>
              </w:rPr>
            </w:pPr>
            <w:r>
              <w:rPr>
                <w:sz w:val="20"/>
                <w:szCs w:val="20"/>
              </w:rPr>
              <w:t xml:space="preserve">Poboljšanje </w:t>
            </w:r>
            <w:r w:rsidR="004659F9">
              <w:rPr>
                <w:sz w:val="20"/>
                <w:szCs w:val="20"/>
              </w:rPr>
              <w:t>vodoopskrbne i kanalizacijske mreže</w:t>
            </w:r>
          </w:p>
        </w:tc>
      </w:tr>
      <w:tr w:rsidR="009F6171" w:rsidRPr="00B54887" w14:paraId="7F0644F4" w14:textId="77777777" w:rsidTr="009F6171">
        <w:tc>
          <w:tcPr>
            <w:tcW w:w="2235" w:type="dxa"/>
            <w:shd w:val="clear" w:color="auto" w:fill="F2DBDB" w:themeFill="accent2" w:themeFillTint="33"/>
          </w:tcPr>
          <w:p w14:paraId="72AAC92E" w14:textId="77777777" w:rsidR="009F6171" w:rsidRPr="0058603F" w:rsidRDefault="009F6171" w:rsidP="009F6171">
            <w:pPr>
              <w:rPr>
                <w:b/>
                <w:sz w:val="20"/>
                <w:szCs w:val="20"/>
              </w:rPr>
            </w:pPr>
            <w:r w:rsidRPr="0058603F">
              <w:rPr>
                <w:b/>
                <w:sz w:val="20"/>
                <w:szCs w:val="20"/>
              </w:rPr>
              <w:t>Sažetak aktivnosti:</w:t>
            </w:r>
          </w:p>
        </w:tc>
        <w:tc>
          <w:tcPr>
            <w:tcW w:w="7053" w:type="dxa"/>
          </w:tcPr>
          <w:p w14:paraId="23834BF9" w14:textId="507842B1" w:rsidR="009F6171" w:rsidRPr="00634FD3" w:rsidRDefault="009F6171" w:rsidP="004659F9">
            <w:pPr>
              <w:pStyle w:val="ListParagraph"/>
              <w:numPr>
                <w:ilvl w:val="0"/>
                <w:numId w:val="25"/>
              </w:numPr>
              <w:rPr>
                <w:sz w:val="20"/>
                <w:szCs w:val="20"/>
              </w:rPr>
            </w:pPr>
            <w:r w:rsidRPr="00634FD3">
              <w:rPr>
                <w:sz w:val="20"/>
                <w:szCs w:val="20"/>
              </w:rPr>
              <w:t xml:space="preserve">Obnova </w:t>
            </w:r>
            <w:r w:rsidR="004659F9">
              <w:rPr>
                <w:sz w:val="20"/>
                <w:szCs w:val="20"/>
              </w:rPr>
              <w:t>i proširenje vodovodne i kanalizacijske mreže</w:t>
            </w:r>
          </w:p>
        </w:tc>
      </w:tr>
      <w:tr w:rsidR="009F6171" w:rsidRPr="0058603F" w14:paraId="6DA3979C" w14:textId="77777777" w:rsidTr="009F6171">
        <w:tc>
          <w:tcPr>
            <w:tcW w:w="2235" w:type="dxa"/>
            <w:shd w:val="clear" w:color="auto" w:fill="F2DBDB" w:themeFill="accent2" w:themeFillTint="33"/>
          </w:tcPr>
          <w:p w14:paraId="2E903901" w14:textId="77777777" w:rsidR="009F6171" w:rsidRPr="0058603F" w:rsidRDefault="009F6171" w:rsidP="009F6171">
            <w:pPr>
              <w:rPr>
                <w:b/>
                <w:sz w:val="20"/>
                <w:szCs w:val="20"/>
              </w:rPr>
            </w:pPr>
            <w:r w:rsidRPr="0058603F">
              <w:rPr>
                <w:b/>
                <w:sz w:val="20"/>
                <w:szCs w:val="20"/>
              </w:rPr>
              <w:t>Ciljano područje:</w:t>
            </w:r>
          </w:p>
        </w:tc>
        <w:tc>
          <w:tcPr>
            <w:tcW w:w="7053" w:type="dxa"/>
          </w:tcPr>
          <w:p w14:paraId="6DE7B8A6" w14:textId="77777777" w:rsidR="009F6171" w:rsidRPr="0058603F" w:rsidRDefault="009F6171" w:rsidP="009F6171">
            <w:pPr>
              <w:rPr>
                <w:sz w:val="20"/>
                <w:szCs w:val="20"/>
              </w:rPr>
            </w:pPr>
            <w:r>
              <w:rPr>
                <w:sz w:val="20"/>
                <w:szCs w:val="20"/>
              </w:rPr>
              <w:t>VUPKA</w:t>
            </w:r>
          </w:p>
        </w:tc>
      </w:tr>
      <w:tr w:rsidR="009F6171" w:rsidRPr="0058603F" w14:paraId="65D0BCFE" w14:textId="77777777" w:rsidTr="009F6171">
        <w:tc>
          <w:tcPr>
            <w:tcW w:w="2235" w:type="dxa"/>
            <w:shd w:val="clear" w:color="auto" w:fill="F2DBDB" w:themeFill="accent2" w:themeFillTint="33"/>
          </w:tcPr>
          <w:p w14:paraId="37FC3DAC" w14:textId="77777777" w:rsidR="009F6171" w:rsidRPr="0058603F" w:rsidRDefault="009F6171" w:rsidP="009F6171">
            <w:pPr>
              <w:rPr>
                <w:b/>
                <w:sz w:val="20"/>
                <w:szCs w:val="20"/>
              </w:rPr>
            </w:pPr>
            <w:r w:rsidRPr="0058603F">
              <w:rPr>
                <w:b/>
                <w:sz w:val="20"/>
                <w:szCs w:val="20"/>
              </w:rPr>
              <w:t>Tip projekta:</w:t>
            </w:r>
          </w:p>
        </w:tc>
        <w:tc>
          <w:tcPr>
            <w:tcW w:w="7053" w:type="dxa"/>
          </w:tcPr>
          <w:p w14:paraId="62D6CF04" w14:textId="77777777" w:rsidR="009F6171" w:rsidRPr="0058603F" w:rsidRDefault="009F6171" w:rsidP="009F6171">
            <w:pPr>
              <w:rPr>
                <w:sz w:val="20"/>
                <w:szCs w:val="20"/>
              </w:rPr>
            </w:pPr>
            <w:r>
              <w:rPr>
                <w:sz w:val="20"/>
                <w:szCs w:val="20"/>
              </w:rPr>
              <w:t xml:space="preserve">Infrastrukturni </w:t>
            </w:r>
          </w:p>
        </w:tc>
      </w:tr>
      <w:tr w:rsidR="009F6171" w:rsidRPr="0058603F" w14:paraId="504F0081" w14:textId="77777777" w:rsidTr="009F6171">
        <w:tc>
          <w:tcPr>
            <w:tcW w:w="2235" w:type="dxa"/>
            <w:shd w:val="clear" w:color="auto" w:fill="F2DBDB" w:themeFill="accent2" w:themeFillTint="33"/>
          </w:tcPr>
          <w:p w14:paraId="13EF55BC" w14:textId="77777777" w:rsidR="009F6171" w:rsidRPr="0058603F" w:rsidRDefault="009F6171" w:rsidP="009F6171">
            <w:pPr>
              <w:rPr>
                <w:b/>
                <w:sz w:val="20"/>
                <w:szCs w:val="20"/>
              </w:rPr>
            </w:pPr>
            <w:r w:rsidRPr="0058603F">
              <w:rPr>
                <w:b/>
                <w:sz w:val="20"/>
                <w:szCs w:val="20"/>
              </w:rPr>
              <w:t>Pripremljenost projekta:</w:t>
            </w:r>
          </w:p>
        </w:tc>
        <w:tc>
          <w:tcPr>
            <w:tcW w:w="7053" w:type="dxa"/>
          </w:tcPr>
          <w:p w14:paraId="5FB8D1A1" w14:textId="77777777" w:rsidR="009F6171" w:rsidRPr="0058603F" w:rsidRDefault="009F6171" w:rsidP="009F6171">
            <w:pPr>
              <w:rPr>
                <w:sz w:val="20"/>
                <w:szCs w:val="20"/>
              </w:rPr>
            </w:pPr>
            <w:r>
              <w:rPr>
                <w:sz w:val="20"/>
                <w:szCs w:val="20"/>
              </w:rPr>
              <w:t>Kategorija I</w:t>
            </w:r>
          </w:p>
        </w:tc>
      </w:tr>
      <w:tr w:rsidR="009F6171" w:rsidRPr="0058603F" w14:paraId="7AD6A45F" w14:textId="77777777" w:rsidTr="009F6171">
        <w:tc>
          <w:tcPr>
            <w:tcW w:w="2235" w:type="dxa"/>
            <w:shd w:val="clear" w:color="auto" w:fill="F2DBDB" w:themeFill="accent2" w:themeFillTint="33"/>
          </w:tcPr>
          <w:p w14:paraId="01D327BD" w14:textId="77777777" w:rsidR="009F6171" w:rsidRPr="0058603F" w:rsidRDefault="009F6171" w:rsidP="009F6171">
            <w:pPr>
              <w:rPr>
                <w:b/>
                <w:sz w:val="20"/>
                <w:szCs w:val="20"/>
              </w:rPr>
            </w:pPr>
            <w:r w:rsidRPr="0058603F">
              <w:rPr>
                <w:b/>
                <w:sz w:val="20"/>
                <w:szCs w:val="20"/>
              </w:rPr>
              <w:t xml:space="preserve">Indikativni </w:t>
            </w:r>
            <w:r>
              <w:rPr>
                <w:b/>
                <w:sz w:val="20"/>
                <w:szCs w:val="20"/>
              </w:rPr>
              <w:t>proračun projekta</w:t>
            </w:r>
            <w:r w:rsidRPr="0058603F">
              <w:rPr>
                <w:b/>
                <w:sz w:val="20"/>
                <w:szCs w:val="20"/>
              </w:rPr>
              <w:t xml:space="preserve"> (HRK):</w:t>
            </w:r>
          </w:p>
        </w:tc>
        <w:tc>
          <w:tcPr>
            <w:tcW w:w="7053" w:type="dxa"/>
          </w:tcPr>
          <w:p w14:paraId="1CA82D18" w14:textId="134A3BFD" w:rsidR="009F6171" w:rsidRPr="0058603F" w:rsidRDefault="00E57E7A" w:rsidP="009F6171">
            <w:pPr>
              <w:rPr>
                <w:sz w:val="20"/>
                <w:szCs w:val="20"/>
              </w:rPr>
            </w:pPr>
            <w:r w:rsidRPr="00E57E7A">
              <w:rPr>
                <w:sz w:val="20"/>
                <w:szCs w:val="20"/>
              </w:rPr>
              <w:t>411</w:t>
            </w:r>
            <w:r>
              <w:rPr>
                <w:sz w:val="20"/>
                <w:szCs w:val="20"/>
              </w:rPr>
              <w:t>.</w:t>
            </w:r>
            <w:r w:rsidRPr="00E57E7A">
              <w:rPr>
                <w:sz w:val="20"/>
                <w:szCs w:val="20"/>
              </w:rPr>
              <w:t>043</w:t>
            </w:r>
            <w:r>
              <w:rPr>
                <w:sz w:val="20"/>
                <w:szCs w:val="20"/>
              </w:rPr>
              <w:t>.</w:t>
            </w:r>
            <w:r w:rsidRPr="00E57E7A">
              <w:rPr>
                <w:sz w:val="20"/>
                <w:szCs w:val="20"/>
              </w:rPr>
              <w:t>500</w:t>
            </w:r>
            <w:r>
              <w:rPr>
                <w:sz w:val="20"/>
                <w:szCs w:val="20"/>
              </w:rPr>
              <w:t xml:space="preserve"> </w:t>
            </w:r>
            <w:r w:rsidR="009F6171">
              <w:rPr>
                <w:sz w:val="20"/>
                <w:szCs w:val="20"/>
              </w:rPr>
              <w:t>HRK</w:t>
            </w:r>
          </w:p>
        </w:tc>
      </w:tr>
      <w:tr w:rsidR="009F6171" w:rsidRPr="0058603F" w14:paraId="07D2CF86" w14:textId="77777777" w:rsidTr="009F6171">
        <w:tc>
          <w:tcPr>
            <w:tcW w:w="2235" w:type="dxa"/>
            <w:shd w:val="clear" w:color="auto" w:fill="F2DBDB" w:themeFill="accent2" w:themeFillTint="33"/>
          </w:tcPr>
          <w:p w14:paraId="176CB944" w14:textId="77777777" w:rsidR="009F6171" w:rsidRPr="0058603F" w:rsidRDefault="009F6171" w:rsidP="009F6171">
            <w:pPr>
              <w:rPr>
                <w:b/>
                <w:sz w:val="20"/>
                <w:szCs w:val="20"/>
              </w:rPr>
            </w:pPr>
            <w:r w:rsidRPr="0058603F">
              <w:rPr>
                <w:b/>
                <w:sz w:val="20"/>
                <w:szCs w:val="20"/>
              </w:rPr>
              <w:t>Izvori financiranja:</w:t>
            </w:r>
          </w:p>
        </w:tc>
        <w:tc>
          <w:tcPr>
            <w:tcW w:w="7053" w:type="dxa"/>
          </w:tcPr>
          <w:p w14:paraId="410C16C8" w14:textId="77777777" w:rsidR="009F6171" w:rsidRPr="0058603F" w:rsidRDefault="009F6171" w:rsidP="009F6171">
            <w:pPr>
              <w:rPr>
                <w:sz w:val="20"/>
                <w:szCs w:val="20"/>
              </w:rPr>
            </w:pPr>
            <w:r>
              <w:rPr>
                <w:sz w:val="20"/>
                <w:szCs w:val="20"/>
              </w:rPr>
              <w:t>EU fondovi (ITU mehanizam), Županijski i gradski proračuni, Hrvatske ceste</w:t>
            </w:r>
          </w:p>
        </w:tc>
      </w:tr>
    </w:tbl>
    <w:p w14:paraId="71DB92F4" w14:textId="77777777" w:rsidR="009F6171" w:rsidRDefault="009F6171" w:rsidP="00B54887"/>
    <w:p w14:paraId="328B8D89" w14:textId="77777777" w:rsidR="00B54887" w:rsidRDefault="00B54887" w:rsidP="00B54887">
      <w:pPr>
        <w:rPr>
          <w:b/>
          <w:color w:val="943634" w:themeColor="accent2" w:themeShade="BF"/>
        </w:rPr>
      </w:pPr>
      <w:r>
        <w:t xml:space="preserve">Strateški projekti za ostvarenje </w:t>
      </w:r>
      <w:r w:rsidRPr="00D6307B">
        <w:rPr>
          <w:b/>
          <w:color w:val="31849B" w:themeColor="accent5" w:themeShade="BF"/>
        </w:rPr>
        <w:t xml:space="preserve">Specifičnog cilja 3. </w:t>
      </w:r>
      <w:r w:rsidRPr="00464F70">
        <w:rPr>
          <w:b/>
          <w:color w:val="31849B" w:themeColor="accent5" w:themeShade="BF"/>
        </w:rPr>
        <w:t>Konkurentno i moderno gospodarstvo VUPKA</w:t>
      </w:r>
      <w:r>
        <w:rPr>
          <w:b/>
          <w:color w:val="31849B" w:themeColor="accent5" w:themeShade="BF"/>
        </w:rPr>
        <w:t>:</w:t>
      </w:r>
    </w:p>
    <w:tbl>
      <w:tblPr>
        <w:tblStyle w:val="TableGrid"/>
        <w:tblW w:w="0" w:type="auto"/>
        <w:tblBorders>
          <w:insideH w:val="dotted" w:sz="4" w:space="0" w:color="auto"/>
          <w:insideV w:val="none" w:sz="0" w:space="0" w:color="auto"/>
        </w:tblBorders>
        <w:tblLook w:val="04A0" w:firstRow="1" w:lastRow="0" w:firstColumn="1" w:lastColumn="0" w:noHBand="0" w:noVBand="1"/>
      </w:tblPr>
      <w:tblGrid>
        <w:gridCol w:w="2235"/>
        <w:gridCol w:w="7053"/>
      </w:tblGrid>
      <w:tr w:rsidR="00C155D6" w:rsidRPr="00B54887" w14:paraId="03F17F99" w14:textId="77777777" w:rsidTr="00C155D6">
        <w:tc>
          <w:tcPr>
            <w:tcW w:w="2235" w:type="dxa"/>
            <w:shd w:val="clear" w:color="auto" w:fill="DAEEF3" w:themeFill="accent5" w:themeFillTint="33"/>
          </w:tcPr>
          <w:p w14:paraId="70124ADD" w14:textId="77777777" w:rsidR="00C155D6" w:rsidRPr="0058603F" w:rsidRDefault="00C155D6" w:rsidP="00C155D6">
            <w:pPr>
              <w:rPr>
                <w:b/>
                <w:sz w:val="20"/>
                <w:szCs w:val="20"/>
              </w:rPr>
            </w:pPr>
            <w:r>
              <w:rPr>
                <w:b/>
                <w:sz w:val="20"/>
                <w:szCs w:val="20"/>
              </w:rPr>
              <w:t>Rbr.</w:t>
            </w:r>
          </w:p>
        </w:tc>
        <w:tc>
          <w:tcPr>
            <w:tcW w:w="7053" w:type="dxa"/>
          </w:tcPr>
          <w:p w14:paraId="08CEE345" w14:textId="3688AF96" w:rsidR="00C155D6" w:rsidRPr="00C155D6" w:rsidRDefault="009F6171" w:rsidP="00C155D6">
            <w:pPr>
              <w:rPr>
                <w:b/>
                <w:color w:val="31849B" w:themeColor="accent5" w:themeShade="BF"/>
                <w:sz w:val="28"/>
                <w:szCs w:val="28"/>
              </w:rPr>
            </w:pPr>
            <w:r>
              <w:rPr>
                <w:b/>
                <w:color w:val="31849B" w:themeColor="accent5" w:themeShade="BF"/>
                <w:sz w:val="28"/>
                <w:szCs w:val="28"/>
              </w:rPr>
              <w:t>8</w:t>
            </w:r>
          </w:p>
        </w:tc>
      </w:tr>
      <w:tr w:rsidR="00C155D6" w:rsidRPr="00252F2E" w14:paraId="56281E95" w14:textId="77777777" w:rsidTr="00C155D6">
        <w:tc>
          <w:tcPr>
            <w:tcW w:w="2235" w:type="dxa"/>
            <w:shd w:val="clear" w:color="auto" w:fill="DAEEF3" w:themeFill="accent5" w:themeFillTint="33"/>
          </w:tcPr>
          <w:p w14:paraId="62B8C687" w14:textId="77777777" w:rsidR="00C155D6" w:rsidRPr="0058603F" w:rsidRDefault="00C155D6" w:rsidP="00C155D6">
            <w:pPr>
              <w:rPr>
                <w:b/>
                <w:sz w:val="20"/>
                <w:szCs w:val="20"/>
              </w:rPr>
            </w:pPr>
            <w:r w:rsidRPr="0058603F">
              <w:rPr>
                <w:b/>
                <w:sz w:val="20"/>
                <w:szCs w:val="20"/>
              </w:rPr>
              <w:t>Prioritet:</w:t>
            </w:r>
          </w:p>
        </w:tc>
        <w:tc>
          <w:tcPr>
            <w:tcW w:w="7053" w:type="dxa"/>
          </w:tcPr>
          <w:p w14:paraId="0AEA360C" w14:textId="404515C8" w:rsidR="00C155D6" w:rsidRPr="00252F2E" w:rsidRDefault="0070594A" w:rsidP="00C155D6">
            <w:pPr>
              <w:rPr>
                <w:sz w:val="20"/>
                <w:szCs w:val="20"/>
              </w:rPr>
            </w:pPr>
            <w:r w:rsidRPr="00D45536">
              <w:rPr>
                <w:sz w:val="20"/>
                <w:szCs w:val="20"/>
              </w:rPr>
              <w:t>SC3.P2 Razvoj vještina, znanja i kapaciteta za moderno gospodarstvo</w:t>
            </w:r>
          </w:p>
        </w:tc>
      </w:tr>
      <w:tr w:rsidR="00C155D6" w:rsidRPr="00A93EB0" w14:paraId="1CA222CF" w14:textId="77777777" w:rsidTr="00C155D6">
        <w:tc>
          <w:tcPr>
            <w:tcW w:w="2235" w:type="dxa"/>
            <w:shd w:val="clear" w:color="auto" w:fill="DAEEF3" w:themeFill="accent5" w:themeFillTint="33"/>
          </w:tcPr>
          <w:p w14:paraId="5C2A2B1F" w14:textId="77777777" w:rsidR="00C155D6" w:rsidRPr="0058603F" w:rsidRDefault="00C155D6" w:rsidP="00C155D6">
            <w:pPr>
              <w:rPr>
                <w:b/>
                <w:sz w:val="20"/>
                <w:szCs w:val="20"/>
              </w:rPr>
            </w:pPr>
            <w:r w:rsidRPr="0058603F">
              <w:rPr>
                <w:b/>
                <w:sz w:val="20"/>
                <w:szCs w:val="20"/>
              </w:rPr>
              <w:t>Mjera:</w:t>
            </w:r>
          </w:p>
        </w:tc>
        <w:tc>
          <w:tcPr>
            <w:tcW w:w="7053" w:type="dxa"/>
          </w:tcPr>
          <w:p w14:paraId="0872C8BE" w14:textId="77777777" w:rsidR="00C155D6" w:rsidRDefault="0070594A" w:rsidP="00C155D6">
            <w:pPr>
              <w:rPr>
                <w:sz w:val="20"/>
                <w:szCs w:val="20"/>
              </w:rPr>
            </w:pPr>
            <w:r w:rsidRPr="00D45536">
              <w:rPr>
                <w:sz w:val="20"/>
                <w:szCs w:val="20"/>
              </w:rPr>
              <w:t>Mjera SC3. P2.1 Infrastrukturni i stručni kapaciteti za strukovno i visokoškolsko obrazovanje</w:t>
            </w:r>
          </w:p>
          <w:p w14:paraId="58C51ACD" w14:textId="3A0C5C17" w:rsidR="0070594A" w:rsidRPr="00A93EB0" w:rsidRDefault="0070594A" w:rsidP="00C155D6">
            <w:pPr>
              <w:rPr>
                <w:sz w:val="20"/>
                <w:szCs w:val="20"/>
              </w:rPr>
            </w:pPr>
            <w:r w:rsidRPr="00D45536">
              <w:rPr>
                <w:sz w:val="20"/>
                <w:szCs w:val="20"/>
              </w:rPr>
              <w:t>Mjera SC3. P2.2 2 Mjere i projekti poticanja poduzetničke kulture i inovacija, cjeloživotnog obra</w:t>
            </w:r>
            <w:r>
              <w:rPr>
                <w:sz w:val="20"/>
                <w:szCs w:val="20"/>
              </w:rPr>
              <w:t xml:space="preserve">zovanja i jačanja tržišta rada </w:t>
            </w:r>
          </w:p>
        </w:tc>
      </w:tr>
      <w:tr w:rsidR="00C155D6" w:rsidRPr="00B54887" w14:paraId="04F953B1" w14:textId="77777777" w:rsidTr="00C155D6">
        <w:tc>
          <w:tcPr>
            <w:tcW w:w="2235" w:type="dxa"/>
            <w:shd w:val="clear" w:color="auto" w:fill="DAEEF3" w:themeFill="accent5" w:themeFillTint="33"/>
          </w:tcPr>
          <w:p w14:paraId="131E2E1A" w14:textId="77777777" w:rsidR="00C155D6" w:rsidRPr="0058603F" w:rsidRDefault="00C155D6" w:rsidP="00C155D6">
            <w:pPr>
              <w:rPr>
                <w:b/>
                <w:sz w:val="20"/>
                <w:szCs w:val="20"/>
              </w:rPr>
            </w:pPr>
            <w:r w:rsidRPr="0058603F">
              <w:rPr>
                <w:b/>
                <w:sz w:val="20"/>
                <w:szCs w:val="20"/>
              </w:rPr>
              <w:t>Naziv projekta:</w:t>
            </w:r>
          </w:p>
        </w:tc>
        <w:tc>
          <w:tcPr>
            <w:tcW w:w="7053" w:type="dxa"/>
            <w:shd w:val="clear" w:color="auto" w:fill="DAEEF3" w:themeFill="accent5" w:themeFillTint="33"/>
          </w:tcPr>
          <w:p w14:paraId="07DB5931" w14:textId="54F9D7AD" w:rsidR="00C155D6" w:rsidRPr="00C155D6" w:rsidRDefault="00540333" w:rsidP="00540333">
            <w:pPr>
              <w:rPr>
                <w:b/>
              </w:rPr>
            </w:pPr>
            <w:r>
              <w:rPr>
                <w:b/>
              </w:rPr>
              <w:t>Razvoj ljudskih kapaciteta i obrazovanja</w:t>
            </w:r>
          </w:p>
        </w:tc>
      </w:tr>
      <w:tr w:rsidR="00C155D6" w:rsidRPr="0058603F" w14:paraId="46B3F2FF" w14:textId="77777777" w:rsidTr="00C155D6">
        <w:tc>
          <w:tcPr>
            <w:tcW w:w="2235" w:type="dxa"/>
            <w:shd w:val="clear" w:color="auto" w:fill="DAEEF3" w:themeFill="accent5" w:themeFillTint="33"/>
          </w:tcPr>
          <w:p w14:paraId="6C0C6B30" w14:textId="77777777" w:rsidR="00C155D6" w:rsidRPr="0058603F" w:rsidRDefault="00C155D6" w:rsidP="00C155D6">
            <w:pPr>
              <w:rPr>
                <w:b/>
                <w:sz w:val="20"/>
                <w:szCs w:val="20"/>
              </w:rPr>
            </w:pPr>
            <w:r w:rsidRPr="0058603F">
              <w:rPr>
                <w:b/>
                <w:sz w:val="20"/>
                <w:szCs w:val="20"/>
              </w:rPr>
              <w:t>Nositelj i partneri:</w:t>
            </w:r>
          </w:p>
        </w:tc>
        <w:tc>
          <w:tcPr>
            <w:tcW w:w="7053" w:type="dxa"/>
          </w:tcPr>
          <w:p w14:paraId="337911FD" w14:textId="210DC09C" w:rsidR="00C155D6" w:rsidRPr="0058603F" w:rsidRDefault="00C155D6" w:rsidP="00353169">
            <w:pPr>
              <w:rPr>
                <w:sz w:val="20"/>
                <w:szCs w:val="20"/>
              </w:rPr>
            </w:pPr>
            <w:r>
              <w:rPr>
                <w:sz w:val="20"/>
                <w:szCs w:val="20"/>
              </w:rPr>
              <w:t xml:space="preserve">Gradovi Karlovac, </w:t>
            </w:r>
            <w:r w:rsidR="00353169">
              <w:rPr>
                <w:sz w:val="20"/>
                <w:szCs w:val="20"/>
              </w:rPr>
              <w:t xml:space="preserve">Karlovačka županija, Veleučilište u Karlovcu, srednje škole, Hrvatski zavod za zapošljavanje </w:t>
            </w:r>
            <w:r>
              <w:rPr>
                <w:sz w:val="20"/>
                <w:szCs w:val="20"/>
              </w:rPr>
              <w:t xml:space="preserve"> </w:t>
            </w:r>
          </w:p>
        </w:tc>
      </w:tr>
      <w:tr w:rsidR="00C155D6" w:rsidRPr="00E14AFB" w14:paraId="1CF85570" w14:textId="77777777" w:rsidTr="00C155D6">
        <w:tc>
          <w:tcPr>
            <w:tcW w:w="2235" w:type="dxa"/>
            <w:shd w:val="clear" w:color="auto" w:fill="DAEEF3" w:themeFill="accent5" w:themeFillTint="33"/>
          </w:tcPr>
          <w:p w14:paraId="007E038C" w14:textId="77777777" w:rsidR="00C155D6" w:rsidRPr="0058603F" w:rsidRDefault="00C155D6" w:rsidP="00C155D6">
            <w:pPr>
              <w:rPr>
                <w:b/>
                <w:sz w:val="20"/>
                <w:szCs w:val="20"/>
              </w:rPr>
            </w:pPr>
            <w:r w:rsidRPr="0058603F">
              <w:rPr>
                <w:b/>
                <w:sz w:val="20"/>
                <w:szCs w:val="20"/>
              </w:rPr>
              <w:t>Cilj projekta:</w:t>
            </w:r>
          </w:p>
        </w:tc>
        <w:tc>
          <w:tcPr>
            <w:tcW w:w="7053" w:type="dxa"/>
          </w:tcPr>
          <w:p w14:paraId="135C1683" w14:textId="35BC6C82" w:rsidR="0070594A" w:rsidRDefault="0070594A" w:rsidP="0070594A">
            <w:pPr>
              <w:contextualSpacing/>
              <w:rPr>
                <w:sz w:val="20"/>
                <w:szCs w:val="20"/>
              </w:rPr>
            </w:pPr>
            <w:r w:rsidRPr="006D16DB">
              <w:rPr>
                <w:sz w:val="20"/>
                <w:szCs w:val="20"/>
              </w:rPr>
              <w:t xml:space="preserve">Doprinijeti smanjenju troškova studiranja i </w:t>
            </w:r>
            <w:r w:rsidR="006D16DB">
              <w:rPr>
                <w:sz w:val="20"/>
                <w:szCs w:val="20"/>
              </w:rPr>
              <w:t>lakšem pristupu srednjoškolskom i visokom obrazovanju te unaprijediti kvalitetu istog, kroz:</w:t>
            </w:r>
          </w:p>
          <w:p w14:paraId="386FE9C9" w14:textId="0FFD68F3" w:rsidR="0070594A" w:rsidRPr="006D16DB" w:rsidRDefault="00953057" w:rsidP="006D16DB">
            <w:pPr>
              <w:contextualSpacing/>
              <w:rPr>
                <w:sz w:val="20"/>
                <w:szCs w:val="20"/>
              </w:rPr>
            </w:pPr>
            <w:r>
              <w:rPr>
                <w:sz w:val="20"/>
                <w:szCs w:val="20"/>
              </w:rPr>
              <w:t>Unapr</w:t>
            </w:r>
            <w:r w:rsidR="006D16DB">
              <w:rPr>
                <w:sz w:val="20"/>
                <w:szCs w:val="20"/>
              </w:rPr>
              <w:t xml:space="preserve">jeđenje standarda studenata (studentski dom, objekt prehrane), i </w:t>
            </w:r>
            <w:r w:rsidR="0070594A" w:rsidRPr="006D16DB">
              <w:rPr>
                <w:sz w:val="20"/>
                <w:szCs w:val="20"/>
              </w:rPr>
              <w:t xml:space="preserve"> </w:t>
            </w:r>
          </w:p>
          <w:p w14:paraId="7D5ABC57" w14:textId="15D97B62" w:rsidR="0070594A" w:rsidRPr="006D16DB" w:rsidRDefault="0070594A" w:rsidP="0070594A">
            <w:pPr>
              <w:rPr>
                <w:sz w:val="20"/>
                <w:szCs w:val="20"/>
              </w:rPr>
            </w:pPr>
            <w:r w:rsidRPr="006D16DB">
              <w:rPr>
                <w:sz w:val="20"/>
                <w:szCs w:val="20"/>
              </w:rPr>
              <w:t xml:space="preserve">Stvaranje uvjeta za provedbu suvremenog, relevantnog i na tržišnim potrebama utemeljenog </w:t>
            </w:r>
            <w:r w:rsidR="00D0641C">
              <w:rPr>
                <w:sz w:val="20"/>
                <w:szCs w:val="20"/>
              </w:rPr>
              <w:t xml:space="preserve">umjetničkog i </w:t>
            </w:r>
            <w:r w:rsidRPr="006D16DB">
              <w:rPr>
                <w:sz w:val="20"/>
                <w:szCs w:val="20"/>
              </w:rPr>
              <w:t>strukovnog obrazovanja i osposobljavanja u sektorima strojarstva, elektrotehnike i računalstva te turizma i ugostiteljstva.</w:t>
            </w:r>
          </w:p>
        </w:tc>
      </w:tr>
      <w:tr w:rsidR="00C155D6" w:rsidRPr="00634FD3" w14:paraId="367801A9" w14:textId="77777777" w:rsidTr="00C155D6">
        <w:tc>
          <w:tcPr>
            <w:tcW w:w="2235" w:type="dxa"/>
            <w:shd w:val="clear" w:color="auto" w:fill="DAEEF3" w:themeFill="accent5" w:themeFillTint="33"/>
          </w:tcPr>
          <w:p w14:paraId="7DF2640E" w14:textId="1FE5CFB5" w:rsidR="00C155D6" w:rsidRPr="0058603F" w:rsidRDefault="00C155D6" w:rsidP="00C155D6">
            <w:pPr>
              <w:rPr>
                <w:b/>
                <w:sz w:val="20"/>
                <w:szCs w:val="20"/>
              </w:rPr>
            </w:pPr>
            <w:r w:rsidRPr="0058603F">
              <w:rPr>
                <w:b/>
                <w:sz w:val="20"/>
                <w:szCs w:val="20"/>
              </w:rPr>
              <w:t>Sažetak aktivnosti:</w:t>
            </w:r>
          </w:p>
        </w:tc>
        <w:tc>
          <w:tcPr>
            <w:tcW w:w="7053" w:type="dxa"/>
          </w:tcPr>
          <w:p w14:paraId="0023BAD9" w14:textId="514FE33B" w:rsidR="00FB0336" w:rsidRPr="008E2FDA" w:rsidRDefault="00540333" w:rsidP="00FB0336">
            <w:pPr>
              <w:pStyle w:val="tabletxt"/>
              <w:jc w:val="left"/>
              <w:rPr>
                <w:sz w:val="20"/>
              </w:rPr>
            </w:pPr>
            <w:r w:rsidRPr="008E2FDA">
              <w:rPr>
                <w:sz w:val="20"/>
              </w:rPr>
              <w:t>POD-PROJEKTI</w:t>
            </w:r>
            <w:r w:rsidR="00FB0336" w:rsidRPr="008E2FDA">
              <w:rPr>
                <w:sz w:val="20"/>
              </w:rPr>
              <w:t xml:space="preserve"> </w:t>
            </w:r>
            <w:r w:rsidR="006D16DB" w:rsidRPr="008E2FDA">
              <w:rPr>
                <w:sz w:val="20"/>
              </w:rPr>
              <w:t>(s istaknutom kategorijom zrelosti)</w:t>
            </w:r>
            <w:r w:rsidR="00FB0336" w:rsidRPr="008E2FDA">
              <w:rPr>
                <w:sz w:val="20"/>
              </w:rPr>
              <w:t>:</w:t>
            </w:r>
          </w:p>
          <w:p w14:paraId="0D4A741B" w14:textId="08AFCCAE" w:rsidR="00FB0336" w:rsidRDefault="00FB0336" w:rsidP="00F950C3">
            <w:pPr>
              <w:pStyle w:val="tabletxt"/>
              <w:numPr>
                <w:ilvl w:val="0"/>
                <w:numId w:val="25"/>
              </w:numPr>
              <w:jc w:val="left"/>
              <w:rPr>
                <w:sz w:val="20"/>
              </w:rPr>
            </w:pPr>
            <w:r w:rsidRPr="008E2FDA">
              <w:rPr>
                <w:sz w:val="20"/>
              </w:rPr>
              <w:t>Uspostava Regionalnog centra kompetencija u strukovnom obrazovanju u objektu Oružana u Zvijezdi</w:t>
            </w:r>
            <w:r w:rsidR="006D16DB" w:rsidRPr="008E2FDA">
              <w:rPr>
                <w:sz w:val="20"/>
              </w:rPr>
              <w:t xml:space="preserve"> (Kategorija I)</w:t>
            </w:r>
          </w:p>
          <w:p w14:paraId="36C9EC41" w14:textId="41FC9852" w:rsidR="00A54F8E" w:rsidRPr="008E2FDA" w:rsidRDefault="00A54F8E" w:rsidP="00F950C3">
            <w:pPr>
              <w:pStyle w:val="tabletxt"/>
              <w:numPr>
                <w:ilvl w:val="0"/>
                <w:numId w:val="25"/>
              </w:numPr>
              <w:jc w:val="left"/>
              <w:rPr>
                <w:sz w:val="20"/>
              </w:rPr>
            </w:pPr>
            <w:r>
              <w:rPr>
                <w:sz w:val="20"/>
              </w:rPr>
              <w:t xml:space="preserve">Razvoj poduzetničkog inkubatora Veleučilišta u Karlovcu u objektu Oružana u Zvijezdi (STARtLAB VuKa) (Kategorija </w:t>
            </w:r>
            <w:r w:rsidR="00755836">
              <w:rPr>
                <w:sz w:val="20"/>
              </w:rPr>
              <w:t>I</w:t>
            </w:r>
            <w:r>
              <w:rPr>
                <w:sz w:val="20"/>
              </w:rPr>
              <w:t>I)</w:t>
            </w:r>
          </w:p>
          <w:p w14:paraId="7C54E2E8" w14:textId="5D109060" w:rsidR="00FB0336" w:rsidRPr="008E2FDA" w:rsidRDefault="00FB0336" w:rsidP="00F950C3">
            <w:pPr>
              <w:pStyle w:val="tabletxt"/>
              <w:numPr>
                <w:ilvl w:val="0"/>
                <w:numId w:val="25"/>
              </w:numPr>
              <w:jc w:val="left"/>
              <w:rPr>
                <w:sz w:val="20"/>
              </w:rPr>
            </w:pPr>
            <w:r w:rsidRPr="008E2FDA">
              <w:rPr>
                <w:sz w:val="20"/>
              </w:rPr>
              <w:t>Prenamjena i uređenje Bosanskog magazina u karlovačkoj Zvijezdi u objekt studentske prehrane i prezentacijsko-interp</w:t>
            </w:r>
            <w:r w:rsidR="000A42BF">
              <w:rPr>
                <w:sz w:val="20"/>
              </w:rPr>
              <w:t>r</w:t>
            </w:r>
            <w:r w:rsidRPr="008E2FDA">
              <w:rPr>
                <w:sz w:val="20"/>
              </w:rPr>
              <w:t>etacijski centar</w:t>
            </w:r>
            <w:r w:rsidR="006D16DB" w:rsidRPr="008E2FDA">
              <w:rPr>
                <w:sz w:val="20"/>
              </w:rPr>
              <w:t xml:space="preserve"> (kategorija II)</w:t>
            </w:r>
          </w:p>
          <w:p w14:paraId="5F91D9D6" w14:textId="3E3FC827" w:rsidR="00FB0336" w:rsidRPr="008E2FDA" w:rsidRDefault="00FB0336" w:rsidP="00F950C3">
            <w:pPr>
              <w:pStyle w:val="tabletxt"/>
              <w:numPr>
                <w:ilvl w:val="0"/>
                <w:numId w:val="25"/>
              </w:numPr>
              <w:jc w:val="left"/>
              <w:rPr>
                <w:sz w:val="20"/>
              </w:rPr>
            </w:pPr>
            <w:r w:rsidRPr="008E2FDA">
              <w:rPr>
                <w:sz w:val="20"/>
              </w:rPr>
              <w:t>Preuređenje objekta Vojne bolnice u karlovačkoj Zvijezdi u studentski dom</w:t>
            </w:r>
            <w:r w:rsidR="006D16DB" w:rsidRPr="008E2FDA">
              <w:rPr>
                <w:sz w:val="20"/>
              </w:rPr>
              <w:t xml:space="preserve"> (kategorija II)</w:t>
            </w:r>
            <w:r w:rsidRPr="008E2FDA">
              <w:rPr>
                <w:sz w:val="20"/>
              </w:rPr>
              <w:t xml:space="preserve"> </w:t>
            </w:r>
          </w:p>
          <w:p w14:paraId="795ED4CF" w14:textId="010AD904" w:rsidR="00FB0336" w:rsidRPr="008E2FDA" w:rsidRDefault="00FB0336" w:rsidP="00F950C3">
            <w:pPr>
              <w:pStyle w:val="tabletxt"/>
              <w:numPr>
                <w:ilvl w:val="0"/>
                <w:numId w:val="25"/>
              </w:numPr>
              <w:jc w:val="left"/>
              <w:rPr>
                <w:sz w:val="20"/>
              </w:rPr>
            </w:pPr>
            <w:r w:rsidRPr="008E2FDA">
              <w:rPr>
                <w:sz w:val="20"/>
              </w:rPr>
              <w:t>Gastro majstori – razvoj novih obrazovnih programa i edukacija ciljanih skupina</w:t>
            </w:r>
            <w:r w:rsidR="006D16DB" w:rsidRPr="008E2FDA">
              <w:rPr>
                <w:sz w:val="20"/>
              </w:rPr>
              <w:t xml:space="preserve"> (kategorija I)</w:t>
            </w:r>
          </w:p>
          <w:p w14:paraId="461702E2" w14:textId="0D8C2406" w:rsidR="00FB0336" w:rsidRPr="008E2FDA" w:rsidRDefault="00953057" w:rsidP="00F950C3">
            <w:pPr>
              <w:pStyle w:val="tabletxt"/>
              <w:numPr>
                <w:ilvl w:val="0"/>
                <w:numId w:val="25"/>
              </w:numPr>
              <w:jc w:val="left"/>
              <w:rPr>
                <w:sz w:val="20"/>
              </w:rPr>
            </w:pPr>
            <w:r>
              <w:rPr>
                <w:sz w:val="20"/>
              </w:rPr>
              <w:t>Adaptacija i dogradnja</w:t>
            </w:r>
            <w:r w:rsidR="00FB0336" w:rsidRPr="008E2FDA">
              <w:rPr>
                <w:sz w:val="20"/>
              </w:rPr>
              <w:t xml:space="preserve"> srednjih škola u Karlovcu (Gimnazija, Medicinska </w:t>
            </w:r>
            <w:r w:rsidR="00FB0336" w:rsidRPr="008E2FDA">
              <w:rPr>
                <w:sz w:val="20"/>
              </w:rPr>
              <w:lastRenderedPageBreak/>
              <w:t>škola, Ekonomska škola)</w:t>
            </w:r>
            <w:r w:rsidR="006D16DB" w:rsidRPr="008E2FDA">
              <w:rPr>
                <w:sz w:val="20"/>
              </w:rPr>
              <w:t xml:space="preserve"> (kategorija I)</w:t>
            </w:r>
          </w:p>
          <w:p w14:paraId="7BD67156" w14:textId="00AE6394" w:rsidR="00FB0336" w:rsidRPr="008E2FDA" w:rsidRDefault="00FB0336" w:rsidP="00F950C3">
            <w:pPr>
              <w:pStyle w:val="tabletxt"/>
              <w:numPr>
                <w:ilvl w:val="0"/>
                <w:numId w:val="25"/>
              </w:numPr>
              <w:jc w:val="left"/>
              <w:rPr>
                <w:sz w:val="20"/>
              </w:rPr>
            </w:pPr>
            <w:r w:rsidRPr="008E2FDA">
              <w:rPr>
                <w:sz w:val="20"/>
              </w:rPr>
              <w:t xml:space="preserve">Experience centar Nikola Tesla u Karlovcu </w:t>
            </w:r>
            <w:r w:rsidR="006D16DB" w:rsidRPr="008E2FDA">
              <w:rPr>
                <w:sz w:val="20"/>
              </w:rPr>
              <w:t>(kategorija I)</w:t>
            </w:r>
          </w:p>
          <w:p w14:paraId="533BC16B" w14:textId="1A1706D6" w:rsidR="00C155D6" w:rsidRPr="008E2FDA" w:rsidRDefault="00540333" w:rsidP="00F950C3">
            <w:pPr>
              <w:pStyle w:val="tabletxt"/>
              <w:numPr>
                <w:ilvl w:val="0"/>
                <w:numId w:val="25"/>
              </w:numPr>
              <w:jc w:val="left"/>
              <w:rPr>
                <w:sz w:val="20"/>
              </w:rPr>
            </w:pPr>
            <w:r w:rsidRPr="008E2FDA">
              <w:rPr>
                <w:sz w:val="20"/>
              </w:rPr>
              <w:t>Centar umjetnosti u objektu Velike vojarne u Zvijezdi (kategorija III)</w:t>
            </w:r>
          </w:p>
        </w:tc>
      </w:tr>
      <w:tr w:rsidR="00C155D6" w:rsidRPr="0058603F" w14:paraId="470D8F6D" w14:textId="77777777" w:rsidTr="00C155D6">
        <w:tc>
          <w:tcPr>
            <w:tcW w:w="2235" w:type="dxa"/>
            <w:shd w:val="clear" w:color="auto" w:fill="DAEEF3" w:themeFill="accent5" w:themeFillTint="33"/>
          </w:tcPr>
          <w:p w14:paraId="34E4776D" w14:textId="77777777" w:rsidR="00C155D6" w:rsidRPr="0058603F" w:rsidRDefault="00C155D6" w:rsidP="00C155D6">
            <w:pPr>
              <w:rPr>
                <w:b/>
                <w:sz w:val="20"/>
                <w:szCs w:val="20"/>
              </w:rPr>
            </w:pPr>
            <w:r w:rsidRPr="0058603F">
              <w:rPr>
                <w:b/>
                <w:sz w:val="20"/>
                <w:szCs w:val="20"/>
              </w:rPr>
              <w:lastRenderedPageBreak/>
              <w:t>Ciljano područje:</w:t>
            </w:r>
          </w:p>
        </w:tc>
        <w:tc>
          <w:tcPr>
            <w:tcW w:w="7053" w:type="dxa"/>
          </w:tcPr>
          <w:p w14:paraId="3BC671EE" w14:textId="77777777" w:rsidR="00C155D6" w:rsidRPr="0058603F" w:rsidRDefault="00C155D6" w:rsidP="00C155D6">
            <w:pPr>
              <w:rPr>
                <w:sz w:val="20"/>
                <w:szCs w:val="20"/>
              </w:rPr>
            </w:pPr>
            <w:r>
              <w:rPr>
                <w:sz w:val="20"/>
                <w:szCs w:val="20"/>
              </w:rPr>
              <w:t>VUPKA</w:t>
            </w:r>
          </w:p>
        </w:tc>
      </w:tr>
      <w:tr w:rsidR="00C155D6" w:rsidRPr="0058603F" w14:paraId="5EF86509" w14:textId="77777777" w:rsidTr="00C155D6">
        <w:tc>
          <w:tcPr>
            <w:tcW w:w="2235" w:type="dxa"/>
            <w:shd w:val="clear" w:color="auto" w:fill="DAEEF3" w:themeFill="accent5" w:themeFillTint="33"/>
          </w:tcPr>
          <w:p w14:paraId="6E442BE0" w14:textId="77777777" w:rsidR="00C155D6" w:rsidRPr="0058603F" w:rsidRDefault="00C155D6" w:rsidP="00C155D6">
            <w:pPr>
              <w:rPr>
                <w:b/>
                <w:sz w:val="20"/>
                <w:szCs w:val="20"/>
              </w:rPr>
            </w:pPr>
            <w:r w:rsidRPr="0058603F">
              <w:rPr>
                <w:b/>
                <w:sz w:val="20"/>
                <w:szCs w:val="20"/>
              </w:rPr>
              <w:t>Tip projekta:</w:t>
            </w:r>
          </w:p>
        </w:tc>
        <w:tc>
          <w:tcPr>
            <w:tcW w:w="7053" w:type="dxa"/>
          </w:tcPr>
          <w:p w14:paraId="48542410" w14:textId="2040A431" w:rsidR="00C155D6" w:rsidRPr="0058603F" w:rsidRDefault="00C155D6" w:rsidP="00C155D6">
            <w:pPr>
              <w:rPr>
                <w:sz w:val="20"/>
                <w:szCs w:val="20"/>
              </w:rPr>
            </w:pPr>
            <w:r>
              <w:rPr>
                <w:sz w:val="20"/>
                <w:szCs w:val="20"/>
              </w:rPr>
              <w:t xml:space="preserve">Infrastrukturni </w:t>
            </w:r>
            <w:r w:rsidR="006D16DB">
              <w:rPr>
                <w:sz w:val="20"/>
                <w:szCs w:val="20"/>
              </w:rPr>
              <w:t>+ soft</w:t>
            </w:r>
          </w:p>
        </w:tc>
      </w:tr>
      <w:tr w:rsidR="00C155D6" w:rsidRPr="0058603F" w14:paraId="762F04FA" w14:textId="77777777" w:rsidTr="00C155D6">
        <w:tc>
          <w:tcPr>
            <w:tcW w:w="2235" w:type="dxa"/>
            <w:shd w:val="clear" w:color="auto" w:fill="DAEEF3" w:themeFill="accent5" w:themeFillTint="33"/>
          </w:tcPr>
          <w:p w14:paraId="7A48E155" w14:textId="77777777" w:rsidR="00C155D6" w:rsidRPr="0058603F" w:rsidRDefault="00C155D6" w:rsidP="00C155D6">
            <w:pPr>
              <w:rPr>
                <w:b/>
                <w:sz w:val="20"/>
                <w:szCs w:val="20"/>
              </w:rPr>
            </w:pPr>
            <w:r w:rsidRPr="0058603F">
              <w:rPr>
                <w:b/>
                <w:sz w:val="20"/>
                <w:szCs w:val="20"/>
              </w:rPr>
              <w:t>Pripremljenost projekta:</w:t>
            </w:r>
          </w:p>
        </w:tc>
        <w:tc>
          <w:tcPr>
            <w:tcW w:w="7053" w:type="dxa"/>
          </w:tcPr>
          <w:p w14:paraId="58F97CA1" w14:textId="229098BF" w:rsidR="00C155D6" w:rsidRPr="0058603F" w:rsidRDefault="00C155D6" w:rsidP="00C155D6">
            <w:pPr>
              <w:rPr>
                <w:sz w:val="20"/>
                <w:szCs w:val="20"/>
              </w:rPr>
            </w:pPr>
            <w:r>
              <w:rPr>
                <w:sz w:val="20"/>
                <w:szCs w:val="20"/>
              </w:rPr>
              <w:t>Kategorija I</w:t>
            </w:r>
            <w:r w:rsidR="006D16DB">
              <w:rPr>
                <w:sz w:val="20"/>
                <w:szCs w:val="20"/>
              </w:rPr>
              <w:t xml:space="preserve"> do III</w:t>
            </w:r>
          </w:p>
        </w:tc>
      </w:tr>
      <w:tr w:rsidR="00C155D6" w:rsidRPr="0058603F" w14:paraId="4DE85797" w14:textId="77777777" w:rsidTr="00C155D6">
        <w:tc>
          <w:tcPr>
            <w:tcW w:w="2235" w:type="dxa"/>
            <w:shd w:val="clear" w:color="auto" w:fill="DAEEF3" w:themeFill="accent5" w:themeFillTint="33"/>
          </w:tcPr>
          <w:p w14:paraId="04DED885" w14:textId="77777777" w:rsidR="00C155D6" w:rsidRPr="0058603F" w:rsidRDefault="00C155D6" w:rsidP="00C155D6">
            <w:pPr>
              <w:rPr>
                <w:b/>
                <w:sz w:val="20"/>
                <w:szCs w:val="20"/>
              </w:rPr>
            </w:pPr>
            <w:r w:rsidRPr="0058603F">
              <w:rPr>
                <w:b/>
                <w:sz w:val="20"/>
                <w:szCs w:val="20"/>
              </w:rPr>
              <w:t xml:space="preserve">Indikativni </w:t>
            </w:r>
            <w:r>
              <w:rPr>
                <w:b/>
                <w:sz w:val="20"/>
                <w:szCs w:val="20"/>
              </w:rPr>
              <w:t>proračun projekta</w:t>
            </w:r>
            <w:r w:rsidRPr="0058603F">
              <w:rPr>
                <w:b/>
                <w:sz w:val="20"/>
                <w:szCs w:val="20"/>
              </w:rPr>
              <w:t xml:space="preserve"> (HRK):</w:t>
            </w:r>
          </w:p>
        </w:tc>
        <w:tc>
          <w:tcPr>
            <w:tcW w:w="7053" w:type="dxa"/>
          </w:tcPr>
          <w:p w14:paraId="742516CB" w14:textId="536C27BB" w:rsidR="00C155D6" w:rsidRPr="0058603F" w:rsidRDefault="00755836" w:rsidP="00C155D6">
            <w:pPr>
              <w:rPr>
                <w:sz w:val="20"/>
                <w:szCs w:val="20"/>
              </w:rPr>
            </w:pPr>
            <w:r>
              <w:rPr>
                <w:sz w:val="20"/>
                <w:szCs w:val="20"/>
              </w:rPr>
              <w:t>215.893.31</w:t>
            </w:r>
            <w:r w:rsidR="006D16DB">
              <w:rPr>
                <w:sz w:val="20"/>
                <w:szCs w:val="20"/>
              </w:rPr>
              <w:t>0</w:t>
            </w:r>
            <w:r w:rsidR="00C155D6">
              <w:rPr>
                <w:sz w:val="20"/>
                <w:szCs w:val="20"/>
              </w:rPr>
              <w:t xml:space="preserve"> HRK</w:t>
            </w:r>
          </w:p>
        </w:tc>
      </w:tr>
      <w:tr w:rsidR="00C155D6" w:rsidRPr="0058603F" w14:paraId="5A4A3773" w14:textId="77777777" w:rsidTr="00C155D6">
        <w:tc>
          <w:tcPr>
            <w:tcW w:w="2235" w:type="dxa"/>
            <w:shd w:val="clear" w:color="auto" w:fill="DAEEF3" w:themeFill="accent5" w:themeFillTint="33"/>
          </w:tcPr>
          <w:p w14:paraId="657520C8" w14:textId="77777777" w:rsidR="00C155D6" w:rsidRPr="0058603F" w:rsidRDefault="00C155D6" w:rsidP="00C155D6">
            <w:pPr>
              <w:rPr>
                <w:b/>
                <w:sz w:val="20"/>
                <w:szCs w:val="20"/>
              </w:rPr>
            </w:pPr>
            <w:r w:rsidRPr="0058603F">
              <w:rPr>
                <w:b/>
                <w:sz w:val="20"/>
                <w:szCs w:val="20"/>
              </w:rPr>
              <w:t>Izvori financiranja:</w:t>
            </w:r>
          </w:p>
        </w:tc>
        <w:tc>
          <w:tcPr>
            <w:tcW w:w="7053" w:type="dxa"/>
          </w:tcPr>
          <w:p w14:paraId="59778C32" w14:textId="43216C8F" w:rsidR="00C155D6" w:rsidRPr="0058603F" w:rsidRDefault="00C155D6" w:rsidP="006D16DB">
            <w:pPr>
              <w:rPr>
                <w:sz w:val="20"/>
                <w:szCs w:val="20"/>
              </w:rPr>
            </w:pPr>
            <w:r>
              <w:rPr>
                <w:sz w:val="20"/>
                <w:szCs w:val="20"/>
              </w:rPr>
              <w:t xml:space="preserve">EU fondovi (ITU mehanizam), </w:t>
            </w:r>
            <w:r w:rsidR="006D16DB">
              <w:rPr>
                <w:sz w:val="20"/>
                <w:szCs w:val="20"/>
              </w:rPr>
              <w:t xml:space="preserve">Županijski i gradski </w:t>
            </w:r>
            <w:r>
              <w:rPr>
                <w:sz w:val="20"/>
                <w:szCs w:val="20"/>
              </w:rPr>
              <w:t>proračuni</w:t>
            </w:r>
            <w:r w:rsidR="006D16DB">
              <w:rPr>
                <w:sz w:val="20"/>
                <w:szCs w:val="20"/>
              </w:rPr>
              <w:t>, Veleučilište u Karlovcu, državni proračun</w:t>
            </w:r>
          </w:p>
        </w:tc>
      </w:tr>
    </w:tbl>
    <w:p w14:paraId="13E5C063" w14:textId="77777777" w:rsidR="00C155D6" w:rsidRDefault="00C155D6" w:rsidP="00B54887"/>
    <w:p w14:paraId="2EC19CDC" w14:textId="6F5CF681" w:rsidR="00B54887" w:rsidRDefault="00B54887" w:rsidP="00B54887"/>
    <w:tbl>
      <w:tblPr>
        <w:tblStyle w:val="TableGrid"/>
        <w:tblW w:w="0" w:type="auto"/>
        <w:tblBorders>
          <w:insideH w:val="dotted" w:sz="4" w:space="0" w:color="auto"/>
          <w:insideV w:val="none" w:sz="0" w:space="0" w:color="auto"/>
        </w:tblBorders>
        <w:tblLook w:val="04A0" w:firstRow="1" w:lastRow="0" w:firstColumn="1" w:lastColumn="0" w:noHBand="0" w:noVBand="1"/>
      </w:tblPr>
      <w:tblGrid>
        <w:gridCol w:w="2235"/>
        <w:gridCol w:w="7053"/>
      </w:tblGrid>
      <w:tr w:rsidR="00C155D6" w:rsidRPr="00B54887" w14:paraId="7101F247" w14:textId="77777777" w:rsidTr="00C155D6">
        <w:tc>
          <w:tcPr>
            <w:tcW w:w="2235" w:type="dxa"/>
            <w:shd w:val="clear" w:color="auto" w:fill="DAEEF3" w:themeFill="accent5" w:themeFillTint="33"/>
          </w:tcPr>
          <w:p w14:paraId="62C7E23C" w14:textId="77777777" w:rsidR="00C155D6" w:rsidRPr="0058603F" w:rsidRDefault="00C155D6" w:rsidP="00C155D6">
            <w:pPr>
              <w:rPr>
                <w:b/>
                <w:sz w:val="20"/>
                <w:szCs w:val="20"/>
              </w:rPr>
            </w:pPr>
            <w:r>
              <w:rPr>
                <w:b/>
                <w:sz w:val="20"/>
                <w:szCs w:val="20"/>
              </w:rPr>
              <w:t>Rbr.</w:t>
            </w:r>
          </w:p>
        </w:tc>
        <w:tc>
          <w:tcPr>
            <w:tcW w:w="7053" w:type="dxa"/>
          </w:tcPr>
          <w:p w14:paraId="293F0079" w14:textId="7EBDD2A3" w:rsidR="00C155D6" w:rsidRPr="00C155D6" w:rsidRDefault="009F6171" w:rsidP="00C155D6">
            <w:pPr>
              <w:rPr>
                <w:b/>
                <w:color w:val="31849B" w:themeColor="accent5" w:themeShade="BF"/>
                <w:sz w:val="28"/>
                <w:szCs w:val="28"/>
              </w:rPr>
            </w:pPr>
            <w:r>
              <w:rPr>
                <w:b/>
                <w:color w:val="31849B" w:themeColor="accent5" w:themeShade="BF"/>
                <w:sz w:val="28"/>
                <w:szCs w:val="28"/>
              </w:rPr>
              <w:t>9</w:t>
            </w:r>
          </w:p>
        </w:tc>
      </w:tr>
      <w:tr w:rsidR="00C155D6" w:rsidRPr="00252F2E" w14:paraId="0E399CC8" w14:textId="77777777" w:rsidTr="00C155D6">
        <w:tc>
          <w:tcPr>
            <w:tcW w:w="2235" w:type="dxa"/>
            <w:shd w:val="clear" w:color="auto" w:fill="DAEEF3" w:themeFill="accent5" w:themeFillTint="33"/>
          </w:tcPr>
          <w:p w14:paraId="72B88334" w14:textId="77777777" w:rsidR="00C155D6" w:rsidRPr="0058603F" w:rsidRDefault="00C155D6" w:rsidP="00C155D6">
            <w:pPr>
              <w:rPr>
                <w:b/>
                <w:sz w:val="20"/>
                <w:szCs w:val="20"/>
              </w:rPr>
            </w:pPr>
            <w:r w:rsidRPr="0058603F">
              <w:rPr>
                <w:b/>
                <w:sz w:val="20"/>
                <w:szCs w:val="20"/>
              </w:rPr>
              <w:t>Prioritet:</w:t>
            </w:r>
          </w:p>
        </w:tc>
        <w:tc>
          <w:tcPr>
            <w:tcW w:w="7053" w:type="dxa"/>
          </w:tcPr>
          <w:p w14:paraId="2B8E5402" w14:textId="2E587EB7" w:rsidR="00C155D6" w:rsidRPr="00513516" w:rsidRDefault="00513516" w:rsidP="00C155D6">
            <w:pPr>
              <w:rPr>
                <w:sz w:val="20"/>
                <w:szCs w:val="20"/>
              </w:rPr>
            </w:pPr>
            <w:r w:rsidRPr="00513516">
              <w:rPr>
                <w:sz w:val="20"/>
                <w:szCs w:val="20"/>
              </w:rPr>
              <w:t>SC3. P3 Razvoj održive bio-ekonomije</w:t>
            </w:r>
          </w:p>
        </w:tc>
      </w:tr>
      <w:tr w:rsidR="00C155D6" w:rsidRPr="00A93EB0" w14:paraId="2D383320" w14:textId="77777777" w:rsidTr="00C155D6">
        <w:tc>
          <w:tcPr>
            <w:tcW w:w="2235" w:type="dxa"/>
            <w:shd w:val="clear" w:color="auto" w:fill="DAEEF3" w:themeFill="accent5" w:themeFillTint="33"/>
          </w:tcPr>
          <w:p w14:paraId="53406625" w14:textId="77777777" w:rsidR="00C155D6" w:rsidRPr="0058603F" w:rsidRDefault="00C155D6" w:rsidP="00C155D6">
            <w:pPr>
              <w:rPr>
                <w:b/>
                <w:sz w:val="20"/>
                <w:szCs w:val="20"/>
              </w:rPr>
            </w:pPr>
            <w:r w:rsidRPr="0058603F">
              <w:rPr>
                <w:b/>
                <w:sz w:val="20"/>
                <w:szCs w:val="20"/>
              </w:rPr>
              <w:t>Mjera:</w:t>
            </w:r>
          </w:p>
        </w:tc>
        <w:tc>
          <w:tcPr>
            <w:tcW w:w="7053" w:type="dxa"/>
          </w:tcPr>
          <w:p w14:paraId="689B69D6" w14:textId="67010CE4" w:rsidR="00C155D6" w:rsidRPr="00A93EB0" w:rsidRDefault="00513516" w:rsidP="00C155D6">
            <w:pPr>
              <w:rPr>
                <w:sz w:val="20"/>
                <w:szCs w:val="20"/>
              </w:rPr>
            </w:pPr>
            <w:r w:rsidRPr="00513516">
              <w:rPr>
                <w:sz w:val="20"/>
                <w:szCs w:val="20"/>
              </w:rPr>
              <w:t>Mjera SC3. P3.1 Mjere i projekti jačanja i poticanja nabave lokalnih proizvoda i usluga</w:t>
            </w:r>
          </w:p>
        </w:tc>
      </w:tr>
      <w:tr w:rsidR="00C155D6" w:rsidRPr="00B54887" w14:paraId="1C7563FD" w14:textId="77777777" w:rsidTr="00C155D6">
        <w:tc>
          <w:tcPr>
            <w:tcW w:w="2235" w:type="dxa"/>
            <w:shd w:val="clear" w:color="auto" w:fill="DAEEF3" w:themeFill="accent5" w:themeFillTint="33"/>
          </w:tcPr>
          <w:p w14:paraId="600E1A2E" w14:textId="77777777" w:rsidR="00C155D6" w:rsidRPr="0058603F" w:rsidRDefault="00C155D6" w:rsidP="00C155D6">
            <w:pPr>
              <w:rPr>
                <w:b/>
                <w:sz w:val="20"/>
                <w:szCs w:val="20"/>
              </w:rPr>
            </w:pPr>
            <w:r w:rsidRPr="0058603F">
              <w:rPr>
                <w:b/>
                <w:sz w:val="20"/>
                <w:szCs w:val="20"/>
              </w:rPr>
              <w:t>Naziv projekta:</w:t>
            </w:r>
          </w:p>
        </w:tc>
        <w:tc>
          <w:tcPr>
            <w:tcW w:w="7053" w:type="dxa"/>
            <w:shd w:val="clear" w:color="auto" w:fill="DAEEF3" w:themeFill="accent5" w:themeFillTint="33"/>
          </w:tcPr>
          <w:p w14:paraId="180F4276" w14:textId="1F541E84" w:rsidR="00C155D6" w:rsidRPr="00B54887" w:rsidRDefault="00513516" w:rsidP="00C155D6">
            <w:pPr>
              <w:rPr>
                <w:b/>
              </w:rPr>
            </w:pPr>
            <w:r>
              <w:rPr>
                <w:b/>
              </w:rPr>
              <w:t>Eko turizam na rijekama VUPKA: Eko Kupa, Vodeni grad Duga Resa</w:t>
            </w:r>
          </w:p>
        </w:tc>
      </w:tr>
      <w:tr w:rsidR="00C155D6" w:rsidRPr="0058603F" w14:paraId="218CBE01" w14:textId="77777777" w:rsidTr="00C155D6">
        <w:tc>
          <w:tcPr>
            <w:tcW w:w="2235" w:type="dxa"/>
            <w:shd w:val="clear" w:color="auto" w:fill="DAEEF3" w:themeFill="accent5" w:themeFillTint="33"/>
          </w:tcPr>
          <w:p w14:paraId="5E89A073" w14:textId="77777777" w:rsidR="00C155D6" w:rsidRPr="0058603F" w:rsidRDefault="00C155D6" w:rsidP="00C155D6">
            <w:pPr>
              <w:rPr>
                <w:b/>
                <w:sz w:val="20"/>
                <w:szCs w:val="20"/>
              </w:rPr>
            </w:pPr>
            <w:r w:rsidRPr="0058603F">
              <w:rPr>
                <w:b/>
                <w:sz w:val="20"/>
                <w:szCs w:val="20"/>
              </w:rPr>
              <w:t>Nositelj i partneri:</w:t>
            </w:r>
          </w:p>
        </w:tc>
        <w:tc>
          <w:tcPr>
            <w:tcW w:w="7053" w:type="dxa"/>
          </w:tcPr>
          <w:p w14:paraId="60DD36D0" w14:textId="77777777" w:rsidR="00C155D6" w:rsidRPr="0058603F" w:rsidRDefault="00C155D6" w:rsidP="00C155D6">
            <w:pPr>
              <w:rPr>
                <w:sz w:val="20"/>
                <w:szCs w:val="20"/>
              </w:rPr>
            </w:pPr>
            <w:r>
              <w:rPr>
                <w:sz w:val="20"/>
                <w:szCs w:val="20"/>
              </w:rPr>
              <w:t>Gradovi Karlovac, Ozalj i Duga Resa</w:t>
            </w:r>
          </w:p>
        </w:tc>
      </w:tr>
      <w:tr w:rsidR="00C155D6" w:rsidRPr="00E14AFB" w14:paraId="724D1C97" w14:textId="77777777" w:rsidTr="00C155D6">
        <w:tc>
          <w:tcPr>
            <w:tcW w:w="2235" w:type="dxa"/>
            <w:shd w:val="clear" w:color="auto" w:fill="DAEEF3" w:themeFill="accent5" w:themeFillTint="33"/>
          </w:tcPr>
          <w:p w14:paraId="2F61EA2E" w14:textId="77777777" w:rsidR="00C155D6" w:rsidRPr="0058603F" w:rsidRDefault="00C155D6" w:rsidP="00C155D6">
            <w:pPr>
              <w:rPr>
                <w:b/>
                <w:sz w:val="20"/>
                <w:szCs w:val="20"/>
              </w:rPr>
            </w:pPr>
            <w:r w:rsidRPr="0058603F">
              <w:rPr>
                <w:b/>
                <w:sz w:val="20"/>
                <w:szCs w:val="20"/>
              </w:rPr>
              <w:t>Cilj projekta:</w:t>
            </w:r>
          </w:p>
        </w:tc>
        <w:tc>
          <w:tcPr>
            <w:tcW w:w="7053" w:type="dxa"/>
          </w:tcPr>
          <w:p w14:paraId="5A61BAEE" w14:textId="5E0659AD" w:rsidR="00C155D6" w:rsidRPr="00513516" w:rsidRDefault="00513516" w:rsidP="00513516">
            <w:pPr>
              <w:rPr>
                <w:sz w:val="20"/>
                <w:szCs w:val="20"/>
              </w:rPr>
            </w:pPr>
            <w:r w:rsidRPr="00513516">
              <w:rPr>
                <w:sz w:val="20"/>
                <w:szCs w:val="20"/>
              </w:rPr>
              <w:t xml:space="preserve">Razviti turističku infrastrukturu i riječni pristup turističkim </w:t>
            </w:r>
            <w:r w:rsidR="00225DC4">
              <w:rPr>
                <w:sz w:val="20"/>
                <w:szCs w:val="20"/>
              </w:rPr>
              <w:t>rutama i</w:t>
            </w:r>
            <w:r w:rsidRPr="00513516">
              <w:rPr>
                <w:sz w:val="20"/>
                <w:szCs w:val="20"/>
              </w:rPr>
              <w:t xml:space="preserve"> seoskim domaćinstvima kao i nove turističke atrakcije i tematske</w:t>
            </w:r>
            <w:r w:rsidR="00225DC4">
              <w:rPr>
                <w:sz w:val="20"/>
                <w:szCs w:val="20"/>
              </w:rPr>
              <w:t xml:space="preserve"> rute bazirane na prirodnom i kulturnom nasljeđu (tematski put</w:t>
            </w:r>
            <w:r w:rsidR="00225DC4" w:rsidRPr="00513516">
              <w:rPr>
                <w:sz w:val="20"/>
                <w:szCs w:val="20"/>
              </w:rPr>
              <w:t xml:space="preserve"> ”Žitni put Kupa – Sava”,</w:t>
            </w:r>
            <w:r w:rsidR="00225DC4">
              <w:rPr>
                <w:sz w:val="20"/>
                <w:szCs w:val="20"/>
              </w:rPr>
              <w:t xml:space="preserve"> Vodeni grad Duga Resa).</w:t>
            </w:r>
          </w:p>
        </w:tc>
      </w:tr>
      <w:tr w:rsidR="00C155D6" w:rsidRPr="00634FD3" w14:paraId="40B78788" w14:textId="77777777" w:rsidTr="00C155D6">
        <w:tc>
          <w:tcPr>
            <w:tcW w:w="2235" w:type="dxa"/>
            <w:shd w:val="clear" w:color="auto" w:fill="DAEEF3" w:themeFill="accent5" w:themeFillTint="33"/>
          </w:tcPr>
          <w:p w14:paraId="134ECEC9" w14:textId="77777777" w:rsidR="00C155D6" w:rsidRPr="0058603F" w:rsidRDefault="00C155D6" w:rsidP="00C155D6">
            <w:pPr>
              <w:rPr>
                <w:b/>
                <w:sz w:val="20"/>
                <w:szCs w:val="20"/>
              </w:rPr>
            </w:pPr>
            <w:r w:rsidRPr="0058603F">
              <w:rPr>
                <w:b/>
                <w:sz w:val="20"/>
                <w:szCs w:val="20"/>
              </w:rPr>
              <w:t>Sažetak aktivnosti:</w:t>
            </w:r>
          </w:p>
        </w:tc>
        <w:tc>
          <w:tcPr>
            <w:tcW w:w="7053" w:type="dxa"/>
          </w:tcPr>
          <w:p w14:paraId="34AB27E7" w14:textId="77777777" w:rsidR="00225DC4" w:rsidRDefault="00225DC4" w:rsidP="00225DC4">
            <w:pPr>
              <w:tabs>
                <w:tab w:val="left" w:pos="2518"/>
              </w:tabs>
              <w:ind w:left="103"/>
              <w:rPr>
                <w:rFonts w:eastAsia="Times New Roman" w:cs="Times New Roman"/>
                <w:color w:val="000000"/>
                <w:sz w:val="20"/>
                <w:szCs w:val="20"/>
              </w:rPr>
            </w:pPr>
            <w:r>
              <w:rPr>
                <w:rFonts w:eastAsia="Times New Roman" w:cs="Times New Roman"/>
                <w:color w:val="000000"/>
                <w:sz w:val="20"/>
                <w:szCs w:val="20"/>
              </w:rPr>
              <w:t>POD-PROJEKTI:</w:t>
            </w:r>
          </w:p>
          <w:p w14:paraId="02EC8E7B" w14:textId="58B06FD9" w:rsidR="00225DC4" w:rsidRPr="00225DC4" w:rsidRDefault="00225DC4" w:rsidP="00F950C3">
            <w:pPr>
              <w:pStyle w:val="ListParagraph"/>
              <w:numPr>
                <w:ilvl w:val="0"/>
                <w:numId w:val="26"/>
              </w:numPr>
              <w:tabs>
                <w:tab w:val="left" w:pos="2518"/>
              </w:tabs>
              <w:rPr>
                <w:rFonts w:eastAsia="Times New Roman" w:cs="Times New Roman"/>
                <w:color w:val="000000"/>
                <w:sz w:val="20"/>
                <w:szCs w:val="20"/>
              </w:rPr>
            </w:pPr>
            <w:r w:rsidRPr="00225DC4">
              <w:rPr>
                <w:rFonts w:eastAsia="Times New Roman" w:cs="Times New Roman"/>
                <w:color w:val="000000"/>
                <w:sz w:val="20"/>
                <w:szCs w:val="20"/>
              </w:rPr>
              <w:t xml:space="preserve">Izgradnja sustava riječnih pristaništa od Šišljavića do Karlovca - 6 riječnih pristaništa i kupališta na rijeci Kupi u Šišljaviću, Zamršju, Luci Pokupskoj, Brođanima, Vodostaju. </w:t>
            </w:r>
          </w:p>
          <w:p w14:paraId="4822AE1E" w14:textId="465BE9A3" w:rsidR="00225DC4" w:rsidRPr="00225DC4" w:rsidRDefault="00225DC4" w:rsidP="00F950C3">
            <w:pPr>
              <w:pStyle w:val="ListParagraph"/>
              <w:numPr>
                <w:ilvl w:val="0"/>
                <w:numId w:val="26"/>
              </w:numPr>
              <w:tabs>
                <w:tab w:val="left" w:pos="2518"/>
              </w:tabs>
              <w:rPr>
                <w:rFonts w:eastAsia="Times New Roman" w:cs="Times New Roman"/>
                <w:color w:val="000000"/>
                <w:sz w:val="20"/>
                <w:szCs w:val="20"/>
              </w:rPr>
            </w:pPr>
            <w:r w:rsidRPr="00225DC4">
              <w:rPr>
                <w:rFonts w:eastAsia="Times New Roman" w:cs="Times New Roman"/>
                <w:color w:val="000000"/>
                <w:sz w:val="20"/>
                <w:szCs w:val="20"/>
              </w:rPr>
              <w:t xml:space="preserve">Obnova Žitnog magazina na Dubovcu u interpretacijski centar lađarstva u Karlovcu - obnova zaštićenog spomenika kulturno-povijesne baštine u vlasništvu Karlovačke pivovare u Interpretacijski centar lađarstva u Karlovcu. </w:t>
            </w:r>
          </w:p>
          <w:p w14:paraId="757E9FE5" w14:textId="5F1416F5" w:rsidR="00225DC4" w:rsidRPr="00225DC4" w:rsidRDefault="00225DC4" w:rsidP="00F950C3">
            <w:pPr>
              <w:pStyle w:val="ListParagraph"/>
              <w:numPr>
                <w:ilvl w:val="0"/>
                <w:numId w:val="26"/>
              </w:numPr>
              <w:tabs>
                <w:tab w:val="left" w:pos="2518"/>
              </w:tabs>
              <w:rPr>
                <w:rFonts w:eastAsia="Times New Roman" w:cs="Times New Roman"/>
                <w:color w:val="000000"/>
                <w:sz w:val="20"/>
                <w:szCs w:val="20"/>
              </w:rPr>
            </w:pPr>
            <w:r w:rsidRPr="00225DC4">
              <w:rPr>
                <w:rFonts w:eastAsia="Times New Roman" w:cs="Times New Roman"/>
                <w:color w:val="000000"/>
                <w:sz w:val="20"/>
                <w:szCs w:val="20"/>
              </w:rPr>
              <w:t>Izgradnja riječnog pristupa i turističke infrastrukture Pavlinskog samostana i Crkve Majke Božje Snježne u Kamenskom -  turistička valorizacija Pavlinskog samostana i Crkve Majke Božje Snježne u Kamenskom kroz izgradnju riječnog pristaništa, pristupne staze iz smjera rijeke Kupe te uređenje platoa ispred Samostana i Crkve te male turističke infrastrukture i signalizacije.</w:t>
            </w:r>
          </w:p>
          <w:p w14:paraId="35330FA9" w14:textId="00075A94" w:rsidR="00225DC4" w:rsidRPr="00225DC4" w:rsidRDefault="00225DC4" w:rsidP="00F950C3">
            <w:pPr>
              <w:pStyle w:val="ListParagraph"/>
              <w:numPr>
                <w:ilvl w:val="0"/>
                <w:numId w:val="26"/>
              </w:numPr>
              <w:tabs>
                <w:tab w:val="left" w:pos="2518"/>
              </w:tabs>
              <w:rPr>
                <w:rFonts w:eastAsia="Times New Roman" w:cs="Times New Roman"/>
                <w:color w:val="000000"/>
                <w:sz w:val="20"/>
                <w:szCs w:val="20"/>
              </w:rPr>
            </w:pPr>
            <w:r w:rsidRPr="00225DC4">
              <w:rPr>
                <w:rFonts w:eastAsia="Times New Roman" w:cs="Times New Roman"/>
                <w:color w:val="000000"/>
                <w:sz w:val="20"/>
                <w:szCs w:val="20"/>
              </w:rPr>
              <w:t>Rekonstrukcija lađarskog pristaništa na rijeci Kupi u Karlovcu</w:t>
            </w:r>
            <w:r w:rsidRPr="00225DC4">
              <w:rPr>
                <w:rFonts w:eastAsia="Times New Roman" w:cs="Times New Roman"/>
                <w:color w:val="000000"/>
                <w:sz w:val="20"/>
                <w:szCs w:val="20"/>
              </w:rPr>
              <w:tab/>
              <w:t xml:space="preserve">- rekonstrukcija povijesnog lađarskog pristaništa u gradskoj četvrti Gaza u Karlovačkoj Zvijezdi kao zaštićenog dijela kulturno-povijesne cjeline </w:t>
            </w:r>
            <w:r w:rsidRPr="00225DC4">
              <w:rPr>
                <w:rFonts w:eastAsia="Times New Roman" w:cs="Times New Roman"/>
                <w:color w:val="000000"/>
                <w:sz w:val="20"/>
                <w:szCs w:val="20"/>
              </w:rPr>
              <w:lastRenderedPageBreak/>
              <w:t>Draškovićeve ulice.</w:t>
            </w:r>
          </w:p>
          <w:p w14:paraId="0B03E86F" w14:textId="77777777" w:rsidR="00C155D6" w:rsidRDefault="00225DC4" w:rsidP="00F950C3">
            <w:pPr>
              <w:pStyle w:val="ListParagraph"/>
              <w:numPr>
                <w:ilvl w:val="0"/>
                <w:numId w:val="25"/>
              </w:numPr>
              <w:rPr>
                <w:sz w:val="20"/>
                <w:szCs w:val="20"/>
              </w:rPr>
            </w:pPr>
            <w:r w:rsidRPr="00513516">
              <w:rPr>
                <w:sz w:val="20"/>
                <w:szCs w:val="20"/>
              </w:rPr>
              <w:t>Razvoj upravljanja rijekom Mrežnicom kao jedinstvenom turističkom destinacijom te njezina promocija i zaštita</w:t>
            </w:r>
          </w:p>
          <w:p w14:paraId="714D620D" w14:textId="4E17620B" w:rsidR="00225DC4" w:rsidRPr="00634FD3" w:rsidRDefault="00225DC4" w:rsidP="00F950C3">
            <w:pPr>
              <w:pStyle w:val="ListParagraph"/>
              <w:numPr>
                <w:ilvl w:val="0"/>
                <w:numId w:val="25"/>
              </w:numPr>
              <w:rPr>
                <w:sz w:val="20"/>
                <w:szCs w:val="20"/>
              </w:rPr>
            </w:pPr>
            <w:r>
              <w:rPr>
                <w:sz w:val="20"/>
                <w:szCs w:val="20"/>
              </w:rPr>
              <w:t>Turistička promocija, brendiranje i marketing</w:t>
            </w:r>
          </w:p>
        </w:tc>
      </w:tr>
      <w:tr w:rsidR="00C155D6" w:rsidRPr="0058603F" w14:paraId="4402FF85" w14:textId="77777777" w:rsidTr="00C155D6">
        <w:tc>
          <w:tcPr>
            <w:tcW w:w="2235" w:type="dxa"/>
            <w:shd w:val="clear" w:color="auto" w:fill="DAEEF3" w:themeFill="accent5" w:themeFillTint="33"/>
          </w:tcPr>
          <w:p w14:paraId="5BD73B28" w14:textId="25268B88" w:rsidR="00C155D6" w:rsidRPr="0058603F" w:rsidRDefault="00C155D6" w:rsidP="00C155D6">
            <w:pPr>
              <w:rPr>
                <w:b/>
                <w:sz w:val="20"/>
                <w:szCs w:val="20"/>
              </w:rPr>
            </w:pPr>
            <w:r w:rsidRPr="0058603F">
              <w:rPr>
                <w:b/>
                <w:sz w:val="20"/>
                <w:szCs w:val="20"/>
              </w:rPr>
              <w:lastRenderedPageBreak/>
              <w:t>Ciljano područje:</w:t>
            </w:r>
          </w:p>
        </w:tc>
        <w:tc>
          <w:tcPr>
            <w:tcW w:w="7053" w:type="dxa"/>
          </w:tcPr>
          <w:p w14:paraId="6B0543B2" w14:textId="77777777" w:rsidR="00C155D6" w:rsidRPr="0058603F" w:rsidRDefault="00C155D6" w:rsidP="00C155D6">
            <w:pPr>
              <w:rPr>
                <w:sz w:val="20"/>
                <w:szCs w:val="20"/>
              </w:rPr>
            </w:pPr>
            <w:r>
              <w:rPr>
                <w:sz w:val="20"/>
                <w:szCs w:val="20"/>
              </w:rPr>
              <w:t>VUPKA</w:t>
            </w:r>
          </w:p>
        </w:tc>
      </w:tr>
      <w:tr w:rsidR="00C155D6" w:rsidRPr="0058603F" w14:paraId="4C37FD11" w14:textId="77777777" w:rsidTr="00C155D6">
        <w:tc>
          <w:tcPr>
            <w:tcW w:w="2235" w:type="dxa"/>
            <w:shd w:val="clear" w:color="auto" w:fill="DAEEF3" w:themeFill="accent5" w:themeFillTint="33"/>
          </w:tcPr>
          <w:p w14:paraId="421174E5" w14:textId="77777777" w:rsidR="00C155D6" w:rsidRPr="0058603F" w:rsidRDefault="00C155D6" w:rsidP="00C155D6">
            <w:pPr>
              <w:rPr>
                <w:b/>
                <w:sz w:val="20"/>
                <w:szCs w:val="20"/>
              </w:rPr>
            </w:pPr>
            <w:r w:rsidRPr="0058603F">
              <w:rPr>
                <w:b/>
                <w:sz w:val="20"/>
                <w:szCs w:val="20"/>
              </w:rPr>
              <w:t>Tip projekta:</w:t>
            </w:r>
          </w:p>
        </w:tc>
        <w:tc>
          <w:tcPr>
            <w:tcW w:w="7053" w:type="dxa"/>
          </w:tcPr>
          <w:p w14:paraId="32BE5E64" w14:textId="352A8FDF" w:rsidR="00C155D6" w:rsidRPr="0058603F" w:rsidRDefault="00C155D6" w:rsidP="00C155D6">
            <w:pPr>
              <w:rPr>
                <w:sz w:val="20"/>
                <w:szCs w:val="20"/>
              </w:rPr>
            </w:pPr>
            <w:r>
              <w:rPr>
                <w:sz w:val="20"/>
                <w:szCs w:val="20"/>
              </w:rPr>
              <w:t xml:space="preserve">Infrastrukturni </w:t>
            </w:r>
            <w:r w:rsidR="00225DC4">
              <w:rPr>
                <w:sz w:val="20"/>
                <w:szCs w:val="20"/>
              </w:rPr>
              <w:t>+ soft</w:t>
            </w:r>
          </w:p>
        </w:tc>
      </w:tr>
      <w:tr w:rsidR="00C155D6" w:rsidRPr="0058603F" w14:paraId="134B82E0" w14:textId="77777777" w:rsidTr="00C155D6">
        <w:tc>
          <w:tcPr>
            <w:tcW w:w="2235" w:type="dxa"/>
            <w:shd w:val="clear" w:color="auto" w:fill="DAEEF3" w:themeFill="accent5" w:themeFillTint="33"/>
          </w:tcPr>
          <w:p w14:paraId="1AF44DBE" w14:textId="77777777" w:rsidR="00C155D6" w:rsidRPr="0058603F" w:rsidRDefault="00C155D6" w:rsidP="00C155D6">
            <w:pPr>
              <w:rPr>
                <w:b/>
                <w:sz w:val="20"/>
                <w:szCs w:val="20"/>
              </w:rPr>
            </w:pPr>
            <w:r w:rsidRPr="0058603F">
              <w:rPr>
                <w:b/>
                <w:sz w:val="20"/>
                <w:szCs w:val="20"/>
              </w:rPr>
              <w:t>Pripremljenost projekta:</w:t>
            </w:r>
          </w:p>
        </w:tc>
        <w:tc>
          <w:tcPr>
            <w:tcW w:w="7053" w:type="dxa"/>
          </w:tcPr>
          <w:p w14:paraId="29574053" w14:textId="3CDE2904" w:rsidR="00C155D6" w:rsidRPr="0058603F" w:rsidRDefault="00C155D6" w:rsidP="00C155D6">
            <w:pPr>
              <w:rPr>
                <w:sz w:val="20"/>
                <w:szCs w:val="20"/>
              </w:rPr>
            </w:pPr>
            <w:r>
              <w:rPr>
                <w:sz w:val="20"/>
                <w:szCs w:val="20"/>
              </w:rPr>
              <w:t>Kategorija I</w:t>
            </w:r>
            <w:r w:rsidR="00225DC4">
              <w:rPr>
                <w:sz w:val="20"/>
                <w:szCs w:val="20"/>
              </w:rPr>
              <w:t>II</w:t>
            </w:r>
          </w:p>
        </w:tc>
      </w:tr>
      <w:tr w:rsidR="00C155D6" w:rsidRPr="0058603F" w14:paraId="257D9A4D" w14:textId="77777777" w:rsidTr="00C155D6">
        <w:tc>
          <w:tcPr>
            <w:tcW w:w="2235" w:type="dxa"/>
            <w:shd w:val="clear" w:color="auto" w:fill="DAEEF3" w:themeFill="accent5" w:themeFillTint="33"/>
          </w:tcPr>
          <w:p w14:paraId="52E8933B" w14:textId="77777777" w:rsidR="00C155D6" w:rsidRPr="0058603F" w:rsidRDefault="00C155D6" w:rsidP="00C155D6">
            <w:pPr>
              <w:rPr>
                <w:b/>
                <w:sz w:val="20"/>
                <w:szCs w:val="20"/>
              </w:rPr>
            </w:pPr>
            <w:r w:rsidRPr="0058603F">
              <w:rPr>
                <w:b/>
                <w:sz w:val="20"/>
                <w:szCs w:val="20"/>
              </w:rPr>
              <w:t xml:space="preserve">Indikativni </w:t>
            </w:r>
            <w:r>
              <w:rPr>
                <w:b/>
                <w:sz w:val="20"/>
                <w:szCs w:val="20"/>
              </w:rPr>
              <w:t>proračun projekta</w:t>
            </w:r>
            <w:r w:rsidRPr="0058603F">
              <w:rPr>
                <w:b/>
                <w:sz w:val="20"/>
                <w:szCs w:val="20"/>
              </w:rPr>
              <w:t xml:space="preserve"> (HRK):</w:t>
            </w:r>
          </w:p>
        </w:tc>
        <w:tc>
          <w:tcPr>
            <w:tcW w:w="7053" w:type="dxa"/>
          </w:tcPr>
          <w:p w14:paraId="092BD30C" w14:textId="77777777" w:rsidR="00C155D6" w:rsidRDefault="00225DC4" w:rsidP="00C155D6">
            <w:pPr>
              <w:rPr>
                <w:sz w:val="20"/>
                <w:szCs w:val="20"/>
              </w:rPr>
            </w:pPr>
            <w:r>
              <w:rPr>
                <w:sz w:val="20"/>
                <w:szCs w:val="20"/>
              </w:rPr>
              <w:t>62.000.000</w:t>
            </w:r>
            <w:r w:rsidR="00C155D6">
              <w:rPr>
                <w:sz w:val="20"/>
                <w:szCs w:val="20"/>
              </w:rPr>
              <w:t xml:space="preserve"> HRK</w:t>
            </w:r>
            <w:r w:rsidR="003C7E95">
              <w:rPr>
                <w:sz w:val="20"/>
                <w:szCs w:val="20"/>
              </w:rPr>
              <w:t xml:space="preserve"> (Karlovac)</w:t>
            </w:r>
          </w:p>
          <w:p w14:paraId="3F651FB1" w14:textId="122A0987" w:rsidR="003C7E95" w:rsidRPr="0058603F" w:rsidRDefault="003C7E95" w:rsidP="00C155D6">
            <w:pPr>
              <w:rPr>
                <w:sz w:val="20"/>
                <w:szCs w:val="20"/>
              </w:rPr>
            </w:pPr>
            <w:r>
              <w:rPr>
                <w:sz w:val="20"/>
                <w:szCs w:val="20"/>
              </w:rPr>
              <w:t>15.000.000 HRK (Duga Resa)</w:t>
            </w:r>
          </w:p>
        </w:tc>
      </w:tr>
      <w:tr w:rsidR="00C155D6" w:rsidRPr="0058603F" w14:paraId="5A949360" w14:textId="77777777" w:rsidTr="00C155D6">
        <w:tc>
          <w:tcPr>
            <w:tcW w:w="2235" w:type="dxa"/>
            <w:shd w:val="clear" w:color="auto" w:fill="DAEEF3" w:themeFill="accent5" w:themeFillTint="33"/>
          </w:tcPr>
          <w:p w14:paraId="5E953D02" w14:textId="714C2B67" w:rsidR="00C155D6" w:rsidRPr="0058603F" w:rsidRDefault="00C155D6" w:rsidP="00C155D6">
            <w:pPr>
              <w:rPr>
                <w:b/>
                <w:sz w:val="20"/>
                <w:szCs w:val="20"/>
              </w:rPr>
            </w:pPr>
            <w:r w:rsidRPr="0058603F">
              <w:rPr>
                <w:b/>
                <w:sz w:val="20"/>
                <w:szCs w:val="20"/>
              </w:rPr>
              <w:t>Izvori financiranja:</w:t>
            </w:r>
          </w:p>
        </w:tc>
        <w:tc>
          <w:tcPr>
            <w:tcW w:w="7053" w:type="dxa"/>
          </w:tcPr>
          <w:p w14:paraId="1E52690B" w14:textId="77777777" w:rsidR="00C155D6" w:rsidRPr="0058603F" w:rsidRDefault="00C155D6" w:rsidP="00C155D6">
            <w:pPr>
              <w:rPr>
                <w:sz w:val="20"/>
                <w:szCs w:val="20"/>
              </w:rPr>
            </w:pPr>
            <w:r>
              <w:rPr>
                <w:sz w:val="20"/>
                <w:szCs w:val="20"/>
              </w:rPr>
              <w:t>EU fondovi (ITU mehanizam), Gradski proračuni</w:t>
            </w:r>
          </w:p>
        </w:tc>
      </w:tr>
    </w:tbl>
    <w:p w14:paraId="674F283F" w14:textId="77777777" w:rsidR="00C155D6" w:rsidRDefault="00C155D6" w:rsidP="00B54887"/>
    <w:p w14:paraId="5630D18B" w14:textId="77777777" w:rsidR="00B54887" w:rsidRPr="00C4655E" w:rsidRDefault="00B54887" w:rsidP="00C4655E"/>
    <w:p w14:paraId="2715A0CA" w14:textId="77777777" w:rsidR="000440AF" w:rsidRPr="00DA239E" w:rsidRDefault="000440AF">
      <w:pPr>
        <w:rPr>
          <w:rFonts w:ascii="Arial" w:hAnsi="Arial" w:cs="Arial"/>
          <w:b/>
          <w:i/>
          <w:noProof/>
        </w:rPr>
      </w:pPr>
    </w:p>
    <w:p w14:paraId="03C63EA0" w14:textId="77777777" w:rsidR="00862AF1" w:rsidRPr="00DA239E" w:rsidRDefault="00862AF1">
      <w:pPr>
        <w:rPr>
          <w:rFonts w:ascii="Arial" w:hAnsi="Arial" w:cs="Arial"/>
          <w:b/>
          <w:i/>
          <w:noProof/>
        </w:rPr>
        <w:sectPr w:rsidR="00862AF1" w:rsidRPr="00DA239E" w:rsidSect="00FB0336">
          <w:pgSz w:w="11906" w:h="16838"/>
          <w:pgMar w:top="1417" w:right="1417" w:bottom="1134" w:left="1417" w:header="708" w:footer="708" w:gutter="0"/>
          <w:cols w:space="708"/>
          <w:docGrid w:linePitch="360"/>
        </w:sectPr>
      </w:pPr>
    </w:p>
    <w:p w14:paraId="675D4069" w14:textId="77777777" w:rsidR="00B92CFB" w:rsidRPr="00DA239E" w:rsidRDefault="00B92CFB">
      <w:pPr>
        <w:rPr>
          <w:rFonts w:ascii="Arial" w:hAnsi="Arial" w:cs="Arial"/>
          <w:b/>
          <w:i/>
          <w:noProof/>
        </w:rPr>
      </w:pPr>
    </w:p>
    <w:p w14:paraId="7F7CF680" w14:textId="03CC33F6" w:rsidR="002B3CDF" w:rsidRPr="00DA239E" w:rsidRDefault="000440AF" w:rsidP="001A5F94">
      <w:pPr>
        <w:pStyle w:val="Heading1"/>
        <w:rPr>
          <w:noProof/>
        </w:rPr>
      </w:pPr>
      <w:bookmarkStart w:id="109" w:name="_Toc437390610"/>
      <w:r w:rsidRPr="00DA239E">
        <w:rPr>
          <w:noProof/>
        </w:rPr>
        <w:t>PARTNERS</w:t>
      </w:r>
      <w:r w:rsidR="00B40C6F">
        <w:rPr>
          <w:noProof/>
        </w:rPr>
        <w:t>KO VIJEĆE</w:t>
      </w:r>
      <w:bookmarkEnd w:id="109"/>
    </w:p>
    <w:p w14:paraId="1DF117BF" w14:textId="4862EC41" w:rsidR="00771418" w:rsidRDefault="00771418" w:rsidP="00771418">
      <w:r>
        <w:t xml:space="preserve">Partnersko vijeće Većeg urbanog područja Karlovac savjetodavno je tijelo koje je </w:t>
      </w:r>
      <w:r w:rsidRPr="001262D6">
        <w:t>osnovano</w:t>
      </w:r>
      <w:r w:rsidR="00953057">
        <w:t xml:space="preserve"> na inicijativu</w:t>
      </w:r>
      <w:r>
        <w:t xml:space="preserve"> Grada Karlovca kao nositelja izrade Strategije razvoja Većeg urbanog područja Karlovac, a u svrhu pripreme i praćenja provedbe Strategije raz</w:t>
      </w:r>
      <w:r w:rsidR="00953057">
        <w:t>voja V</w:t>
      </w:r>
      <w:r>
        <w:t xml:space="preserve">ećeg urbanog područja Karlovac te napretka u ostvarenju </w:t>
      </w:r>
      <w:r w:rsidRPr="0033458E">
        <w:t>njezinih ciljeva.</w:t>
      </w:r>
    </w:p>
    <w:p w14:paraId="4528BA3A" w14:textId="160E4931" w:rsidR="00771418" w:rsidRPr="00054BE3" w:rsidRDefault="00771418" w:rsidP="00771418">
      <w:r>
        <w:t xml:space="preserve">Partnersko vijeće djeluje </w:t>
      </w:r>
      <w:r w:rsidRPr="001262D6">
        <w:t xml:space="preserve">sukladno načelu partnerstva i suradnje te je sastavljeno od predstavnika javnog, </w:t>
      </w:r>
      <w:r>
        <w:t>privatnog</w:t>
      </w:r>
      <w:r w:rsidRPr="001262D6">
        <w:t xml:space="preserve"> i civilnog sektora, odnosno predstavnika jedinica područne (regionalne) samouprave, jedinica lokalne samouprave, gospodarskih subjekata, </w:t>
      </w:r>
      <w:r>
        <w:t>organizacija civilnog društva te ostalih ključnih dionika razvoja urbanog područja Karlovac. Partnersko vijeće se u svom radu rukovodi načelima ravnomjerne predstavljenosti partnera, transparentnosti i jednakosti članova partnerstva kako je definirano Poslovnikom te ga čine 30 organizacija iz javnog, privatnog i civilnog sektora.</w:t>
      </w:r>
    </w:p>
    <w:p w14:paraId="467D139E" w14:textId="4E3848FA" w:rsidR="00771418" w:rsidRPr="00771418" w:rsidRDefault="008E2FDA" w:rsidP="008E2FDA">
      <w:pPr>
        <w:pStyle w:val="Caption"/>
      </w:pPr>
      <w:bookmarkStart w:id="110" w:name="_Toc437387511"/>
      <w:r>
        <w:t xml:space="preserve">Tablica </w:t>
      </w:r>
      <w:r>
        <w:fldChar w:fldCharType="begin"/>
      </w:r>
      <w:r>
        <w:instrText xml:space="preserve"> SEQ Tablica \* ARABIC </w:instrText>
      </w:r>
      <w:r>
        <w:fldChar w:fldCharType="separate"/>
      </w:r>
      <w:r w:rsidR="001358A9">
        <w:rPr>
          <w:noProof/>
        </w:rPr>
        <w:t>38</w:t>
      </w:r>
      <w:r>
        <w:fldChar w:fldCharType="end"/>
      </w:r>
      <w:r w:rsidR="00771418">
        <w:t>.</w:t>
      </w:r>
      <w:r w:rsidR="00771418" w:rsidRPr="00771418">
        <w:t xml:space="preserve">  Popis č</w:t>
      </w:r>
      <w:r>
        <w:t>lanica Partnerskog vijeća VUPKA</w:t>
      </w:r>
      <w:bookmarkEnd w:id="11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771418" w:rsidRPr="008E2FDA" w14:paraId="36D2562A" w14:textId="77777777" w:rsidTr="008E2FDA">
        <w:tc>
          <w:tcPr>
            <w:tcW w:w="3020" w:type="dxa"/>
            <w:tcBorders>
              <w:bottom w:val="double" w:sz="4" w:space="0" w:color="auto"/>
            </w:tcBorders>
            <w:shd w:val="clear" w:color="auto" w:fill="DBE5F1" w:themeFill="accent1" w:themeFillTint="33"/>
          </w:tcPr>
          <w:p w14:paraId="4766785A" w14:textId="77777777" w:rsidR="00771418" w:rsidRPr="008E2FDA" w:rsidRDefault="00771418" w:rsidP="005B6E28">
            <w:pPr>
              <w:jc w:val="center"/>
              <w:rPr>
                <w:b/>
              </w:rPr>
            </w:pPr>
            <w:r w:rsidRPr="008E2FDA">
              <w:rPr>
                <w:b/>
              </w:rPr>
              <w:t>Javni sektor</w:t>
            </w:r>
          </w:p>
        </w:tc>
        <w:tc>
          <w:tcPr>
            <w:tcW w:w="3021" w:type="dxa"/>
            <w:tcBorders>
              <w:bottom w:val="double" w:sz="4" w:space="0" w:color="auto"/>
            </w:tcBorders>
            <w:shd w:val="clear" w:color="auto" w:fill="DBE5F1" w:themeFill="accent1" w:themeFillTint="33"/>
          </w:tcPr>
          <w:p w14:paraId="4123FA60" w14:textId="77777777" w:rsidR="00771418" w:rsidRPr="008E2FDA" w:rsidRDefault="00771418" w:rsidP="005B6E28">
            <w:pPr>
              <w:jc w:val="center"/>
              <w:rPr>
                <w:b/>
              </w:rPr>
            </w:pPr>
            <w:r w:rsidRPr="008E2FDA">
              <w:rPr>
                <w:b/>
              </w:rPr>
              <w:t>Privatni sektor</w:t>
            </w:r>
          </w:p>
        </w:tc>
        <w:tc>
          <w:tcPr>
            <w:tcW w:w="3021" w:type="dxa"/>
            <w:tcBorders>
              <w:bottom w:val="double" w:sz="4" w:space="0" w:color="auto"/>
            </w:tcBorders>
            <w:shd w:val="clear" w:color="auto" w:fill="DBE5F1" w:themeFill="accent1" w:themeFillTint="33"/>
          </w:tcPr>
          <w:p w14:paraId="1C48FB03" w14:textId="77777777" w:rsidR="00771418" w:rsidRPr="008E2FDA" w:rsidRDefault="00771418" w:rsidP="005B6E28">
            <w:pPr>
              <w:jc w:val="center"/>
              <w:rPr>
                <w:b/>
              </w:rPr>
            </w:pPr>
            <w:r w:rsidRPr="008E2FDA">
              <w:rPr>
                <w:b/>
              </w:rPr>
              <w:t>Civilni sektor</w:t>
            </w:r>
          </w:p>
        </w:tc>
      </w:tr>
      <w:tr w:rsidR="00771418" w:rsidRPr="008E2FDA" w14:paraId="6167D251" w14:textId="77777777" w:rsidTr="008E2FDA">
        <w:tc>
          <w:tcPr>
            <w:tcW w:w="3020" w:type="dxa"/>
            <w:tcBorders>
              <w:top w:val="double" w:sz="4" w:space="0" w:color="auto"/>
            </w:tcBorders>
          </w:tcPr>
          <w:p w14:paraId="3E406C50" w14:textId="77777777" w:rsidR="00771418" w:rsidRPr="008E2FDA" w:rsidRDefault="00771418" w:rsidP="008E2FDA">
            <w:pPr>
              <w:pStyle w:val="ListParagraph"/>
              <w:numPr>
                <w:ilvl w:val="0"/>
                <w:numId w:val="27"/>
              </w:numPr>
              <w:ind w:left="447" w:hanging="414"/>
              <w:jc w:val="left"/>
              <w:rPr>
                <w:sz w:val="20"/>
                <w:szCs w:val="20"/>
              </w:rPr>
            </w:pPr>
            <w:r w:rsidRPr="008E2FDA">
              <w:rPr>
                <w:sz w:val="20"/>
                <w:szCs w:val="20"/>
              </w:rPr>
              <w:t>Grad Karlovac</w:t>
            </w:r>
          </w:p>
          <w:p w14:paraId="488817D9" w14:textId="77777777" w:rsidR="00771418" w:rsidRPr="008E2FDA" w:rsidRDefault="00771418" w:rsidP="008E2FDA">
            <w:pPr>
              <w:pStyle w:val="ListParagraph"/>
              <w:numPr>
                <w:ilvl w:val="0"/>
                <w:numId w:val="27"/>
              </w:numPr>
              <w:ind w:left="447" w:hanging="414"/>
              <w:jc w:val="left"/>
              <w:rPr>
                <w:sz w:val="20"/>
                <w:szCs w:val="20"/>
              </w:rPr>
            </w:pPr>
            <w:r w:rsidRPr="008E2FDA">
              <w:rPr>
                <w:sz w:val="20"/>
                <w:szCs w:val="20"/>
              </w:rPr>
              <w:t xml:space="preserve">Grad Ozalj </w:t>
            </w:r>
          </w:p>
          <w:p w14:paraId="2807B10E" w14:textId="77777777" w:rsidR="00771418" w:rsidRPr="008E2FDA" w:rsidRDefault="00771418" w:rsidP="008E2FDA">
            <w:pPr>
              <w:pStyle w:val="ListParagraph"/>
              <w:numPr>
                <w:ilvl w:val="0"/>
                <w:numId w:val="27"/>
              </w:numPr>
              <w:ind w:left="447" w:hanging="414"/>
              <w:jc w:val="left"/>
              <w:rPr>
                <w:sz w:val="20"/>
                <w:szCs w:val="20"/>
              </w:rPr>
            </w:pPr>
            <w:r w:rsidRPr="008E2FDA">
              <w:rPr>
                <w:sz w:val="20"/>
                <w:szCs w:val="20"/>
              </w:rPr>
              <w:t>Grad Duga Resa</w:t>
            </w:r>
          </w:p>
          <w:p w14:paraId="4A203C07" w14:textId="77777777" w:rsidR="00771418" w:rsidRPr="008E2FDA" w:rsidRDefault="00771418" w:rsidP="008E2FDA">
            <w:pPr>
              <w:pStyle w:val="ListParagraph"/>
              <w:numPr>
                <w:ilvl w:val="0"/>
                <w:numId w:val="27"/>
              </w:numPr>
              <w:ind w:left="447" w:hanging="414"/>
              <w:jc w:val="left"/>
              <w:rPr>
                <w:sz w:val="20"/>
                <w:szCs w:val="20"/>
              </w:rPr>
            </w:pPr>
            <w:r w:rsidRPr="008E2FDA">
              <w:rPr>
                <w:sz w:val="20"/>
                <w:szCs w:val="20"/>
              </w:rPr>
              <w:t>Karlovačka županija</w:t>
            </w:r>
          </w:p>
          <w:p w14:paraId="51ABBF7E" w14:textId="77777777" w:rsidR="00771418" w:rsidRPr="008E2FDA" w:rsidRDefault="00771418" w:rsidP="008E2FDA">
            <w:pPr>
              <w:pStyle w:val="ListParagraph"/>
              <w:numPr>
                <w:ilvl w:val="0"/>
                <w:numId w:val="27"/>
              </w:numPr>
              <w:ind w:left="447" w:hanging="414"/>
              <w:jc w:val="left"/>
              <w:rPr>
                <w:sz w:val="20"/>
                <w:szCs w:val="20"/>
              </w:rPr>
            </w:pPr>
            <w:r w:rsidRPr="008E2FDA">
              <w:rPr>
                <w:sz w:val="20"/>
                <w:szCs w:val="20"/>
              </w:rPr>
              <w:t xml:space="preserve">Javna ustanova Regionalna razvojna agencija Karlovačke županije </w:t>
            </w:r>
          </w:p>
          <w:p w14:paraId="44DE34A4" w14:textId="77777777" w:rsidR="00771418" w:rsidRPr="008E2FDA" w:rsidRDefault="00771418" w:rsidP="008E2FDA">
            <w:pPr>
              <w:pStyle w:val="ListParagraph"/>
              <w:numPr>
                <w:ilvl w:val="0"/>
                <w:numId w:val="27"/>
              </w:numPr>
              <w:ind w:left="447" w:hanging="414"/>
              <w:jc w:val="left"/>
              <w:rPr>
                <w:sz w:val="20"/>
                <w:szCs w:val="20"/>
              </w:rPr>
            </w:pPr>
            <w:r w:rsidRPr="008E2FDA">
              <w:rPr>
                <w:sz w:val="20"/>
                <w:szCs w:val="20"/>
              </w:rPr>
              <w:t>Veleučilište u Karlovcu</w:t>
            </w:r>
          </w:p>
          <w:p w14:paraId="1B9658B0" w14:textId="77777777" w:rsidR="00771418" w:rsidRPr="008E2FDA" w:rsidRDefault="00771418" w:rsidP="008E2FDA">
            <w:pPr>
              <w:pStyle w:val="ListParagraph"/>
              <w:numPr>
                <w:ilvl w:val="0"/>
                <w:numId w:val="27"/>
              </w:numPr>
              <w:ind w:left="447" w:hanging="414"/>
              <w:jc w:val="left"/>
              <w:rPr>
                <w:sz w:val="20"/>
                <w:szCs w:val="20"/>
              </w:rPr>
            </w:pPr>
            <w:r w:rsidRPr="008E2FDA">
              <w:rPr>
                <w:sz w:val="20"/>
                <w:szCs w:val="20"/>
              </w:rPr>
              <w:t>Zavičajni muzej Ozalj</w:t>
            </w:r>
          </w:p>
          <w:p w14:paraId="71D51AFF" w14:textId="77777777" w:rsidR="00771418" w:rsidRPr="008E2FDA" w:rsidRDefault="00771418" w:rsidP="008E2FDA">
            <w:pPr>
              <w:pStyle w:val="ListParagraph"/>
              <w:numPr>
                <w:ilvl w:val="0"/>
                <w:numId w:val="27"/>
              </w:numPr>
              <w:ind w:left="447" w:hanging="414"/>
              <w:jc w:val="left"/>
              <w:rPr>
                <w:sz w:val="20"/>
                <w:szCs w:val="20"/>
              </w:rPr>
            </w:pPr>
            <w:r w:rsidRPr="008E2FDA">
              <w:rPr>
                <w:sz w:val="20"/>
                <w:szCs w:val="20"/>
              </w:rPr>
              <w:t>Dom zdravlja Ozalj</w:t>
            </w:r>
          </w:p>
          <w:p w14:paraId="17799848" w14:textId="77777777" w:rsidR="00771418" w:rsidRPr="008E2FDA" w:rsidRDefault="00771418" w:rsidP="008E2FDA">
            <w:pPr>
              <w:pStyle w:val="ListParagraph"/>
              <w:numPr>
                <w:ilvl w:val="0"/>
                <w:numId w:val="27"/>
              </w:numPr>
              <w:ind w:left="447" w:hanging="414"/>
              <w:jc w:val="left"/>
              <w:rPr>
                <w:sz w:val="20"/>
                <w:szCs w:val="20"/>
              </w:rPr>
            </w:pPr>
            <w:r w:rsidRPr="008E2FDA">
              <w:rPr>
                <w:sz w:val="20"/>
                <w:szCs w:val="20"/>
              </w:rPr>
              <w:t>OŠ "Slava Raškaj" Ozalj</w:t>
            </w:r>
          </w:p>
          <w:p w14:paraId="2ED3CE82" w14:textId="77777777" w:rsidR="00771418" w:rsidRPr="008E2FDA" w:rsidRDefault="00771418" w:rsidP="008E2FDA">
            <w:pPr>
              <w:pStyle w:val="ListParagraph"/>
              <w:numPr>
                <w:ilvl w:val="0"/>
                <w:numId w:val="27"/>
              </w:numPr>
              <w:ind w:left="447" w:hanging="414"/>
              <w:jc w:val="left"/>
              <w:rPr>
                <w:sz w:val="20"/>
                <w:szCs w:val="20"/>
              </w:rPr>
            </w:pPr>
            <w:r w:rsidRPr="008E2FDA">
              <w:rPr>
                <w:sz w:val="20"/>
                <w:szCs w:val="20"/>
              </w:rPr>
              <w:t>Specijalna bolnica za produženo liječenje Duga Resa</w:t>
            </w:r>
          </w:p>
          <w:p w14:paraId="0EA62E97" w14:textId="77777777" w:rsidR="00771418" w:rsidRPr="008E2FDA" w:rsidRDefault="00771418" w:rsidP="008E2FDA">
            <w:pPr>
              <w:pStyle w:val="ListParagraph"/>
              <w:numPr>
                <w:ilvl w:val="0"/>
                <w:numId w:val="27"/>
              </w:numPr>
              <w:ind w:left="447" w:hanging="414"/>
              <w:jc w:val="left"/>
              <w:rPr>
                <w:sz w:val="20"/>
                <w:szCs w:val="20"/>
              </w:rPr>
            </w:pPr>
            <w:r w:rsidRPr="008E2FDA">
              <w:rPr>
                <w:sz w:val="20"/>
                <w:szCs w:val="20"/>
              </w:rPr>
              <w:t>Turistička zajednica područja Četiri rijeke</w:t>
            </w:r>
          </w:p>
        </w:tc>
        <w:tc>
          <w:tcPr>
            <w:tcW w:w="3021" w:type="dxa"/>
            <w:tcBorders>
              <w:top w:val="double" w:sz="4" w:space="0" w:color="auto"/>
            </w:tcBorders>
          </w:tcPr>
          <w:p w14:paraId="185616C6" w14:textId="77777777" w:rsidR="00771418" w:rsidRPr="008E2FDA" w:rsidRDefault="00771418" w:rsidP="008E2FDA">
            <w:pPr>
              <w:pStyle w:val="ListParagraph"/>
              <w:numPr>
                <w:ilvl w:val="0"/>
                <w:numId w:val="27"/>
              </w:numPr>
              <w:ind w:left="410"/>
              <w:jc w:val="left"/>
              <w:rPr>
                <w:sz w:val="20"/>
                <w:szCs w:val="20"/>
              </w:rPr>
            </w:pPr>
            <w:r w:rsidRPr="008E2FDA">
              <w:rPr>
                <w:sz w:val="20"/>
                <w:szCs w:val="20"/>
              </w:rPr>
              <w:t>Gradska toplana Karlovac d.o.o.</w:t>
            </w:r>
          </w:p>
          <w:p w14:paraId="39B45B15" w14:textId="77777777" w:rsidR="00771418" w:rsidRPr="008E2FDA" w:rsidRDefault="00771418" w:rsidP="008E2FDA">
            <w:pPr>
              <w:pStyle w:val="ListParagraph"/>
              <w:numPr>
                <w:ilvl w:val="0"/>
                <w:numId w:val="27"/>
              </w:numPr>
              <w:ind w:left="410"/>
              <w:jc w:val="left"/>
              <w:rPr>
                <w:sz w:val="20"/>
                <w:szCs w:val="20"/>
              </w:rPr>
            </w:pPr>
            <w:r w:rsidRPr="008E2FDA">
              <w:rPr>
                <w:sz w:val="20"/>
                <w:szCs w:val="20"/>
              </w:rPr>
              <w:t>Vodovod i kanalizacija d.o.o.</w:t>
            </w:r>
          </w:p>
          <w:p w14:paraId="57171476" w14:textId="77777777" w:rsidR="00771418" w:rsidRPr="008E2FDA" w:rsidRDefault="00771418" w:rsidP="008E2FDA">
            <w:pPr>
              <w:pStyle w:val="ListParagraph"/>
              <w:numPr>
                <w:ilvl w:val="0"/>
                <w:numId w:val="27"/>
              </w:numPr>
              <w:ind w:left="410"/>
              <w:jc w:val="left"/>
              <w:rPr>
                <w:sz w:val="20"/>
                <w:szCs w:val="20"/>
              </w:rPr>
            </w:pPr>
            <w:r w:rsidRPr="008E2FDA">
              <w:rPr>
                <w:sz w:val="20"/>
                <w:szCs w:val="20"/>
              </w:rPr>
              <w:t>Klesarstvo Stanković</w:t>
            </w:r>
          </w:p>
          <w:p w14:paraId="2B78D8EC" w14:textId="77777777" w:rsidR="00771418" w:rsidRPr="008E2FDA" w:rsidRDefault="00771418" w:rsidP="008E2FDA">
            <w:pPr>
              <w:pStyle w:val="ListParagraph"/>
              <w:numPr>
                <w:ilvl w:val="0"/>
                <w:numId w:val="27"/>
              </w:numPr>
              <w:ind w:left="410"/>
              <w:jc w:val="left"/>
              <w:rPr>
                <w:sz w:val="20"/>
                <w:szCs w:val="20"/>
              </w:rPr>
            </w:pPr>
            <w:r w:rsidRPr="008E2FDA">
              <w:rPr>
                <w:sz w:val="20"/>
                <w:szCs w:val="20"/>
              </w:rPr>
              <w:t>Star Turist d.o.o.</w:t>
            </w:r>
          </w:p>
          <w:p w14:paraId="56269858" w14:textId="77777777" w:rsidR="00771418" w:rsidRPr="008E2FDA" w:rsidRDefault="00771418" w:rsidP="008E2FDA">
            <w:pPr>
              <w:pStyle w:val="ListParagraph"/>
              <w:numPr>
                <w:ilvl w:val="0"/>
                <w:numId w:val="27"/>
              </w:numPr>
              <w:ind w:left="410"/>
              <w:jc w:val="left"/>
              <w:rPr>
                <w:sz w:val="20"/>
                <w:szCs w:val="20"/>
              </w:rPr>
            </w:pPr>
            <w:r w:rsidRPr="008E2FDA">
              <w:rPr>
                <w:sz w:val="20"/>
                <w:szCs w:val="20"/>
              </w:rPr>
              <w:t>General Electric Hrvatska d.o.o.</w:t>
            </w:r>
          </w:p>
          <w:p w14:paraId="21AF542B" w14:textId="77777777" w:rsidR="00771418" w:rsidRPr="008E2FDA" w:rsidRDefault="00771418" w:rsidP="008E2FDA">
            <w:pPr>
              <w:pStyle w:val="ListParagraph"/>
              <w:numPr>
                <w:ilvl w:val="0"/>
                <w:numId w:val="27"/>
              </w:numPr>
              <w:ind w:left="410"/>
              <w:jc w:val="left"/>
              <w:rPr>
                <w:sz w:val="20"/>
                <w:szCs w:val="20"/>
              </w:rPr>
            </w:pPr>
            <w:r w:rsidRPr="008E2FDA">
              <w:rPr>
                <w:sz w:val="20"/>
                <w:szCs w:val="20"/>
              </w:rPr>
              <w:t>Guštin d.o.o.</w:t>
            </w:r>
          </w:p>
          <w:p w14:paraId="5E3CB42F" w14:textId="77777777" w:rsidR="00771418" w:rsidRPr="008E2FDA" w:rsidRDefault="00771418" w:rsidP="008E2FDA">
            <w:pPr>
              <w:pStyle w:val="ListParagraph"/>
              <w:numPr>
                <w:ilvl w:val="0"/>
                <w:numId w:val="27"/>
              </w:numPr>
              <w:ind w:left="410"/>
              <w:jc w:val="left"/>
              <w:rPr>
                <w:sz w:val="20"/>
                <w:szCs w:val="20"/>
              </w:rPr>
            </w:pPr>
            <w:r w:rsidRPr="008E2FDA">
              <w:rPr>
                <w:sz w:val="20"/>
                <w:szCs w:val="20"/>
              </w:rPr>
              <w:t>Čistoća Duga Resa d.o.o</w:t>
            </w:r>
          </w:p>
          <w:p w14:paraId="59D9629D" w14:textId="77777777" w:rsidR="00771418" w:rsidRPr="008E2FDA" w:rsidRDefault="00771418" w:rsidP="008E2FDA">
            <w:pPr>
              <w:pStyle w:val="ListParagraph"/>
              <w:numPr>
                <w:ilvl w:val="0"/>
                <w:numId w:val="27"/>
              </w:numPr>
              <w:ind w:left="410"/>
              <w:jc w:val="left"/>
              <w:rPr>
                <w:sz w:val="20"/>
                <w:szCs w:val="20"/>
              </w:rPr>
            </w:pPr>
            <w:r w:rsidRPr="008E2FDA">
              <w:rPr>
                <w:sz w:val="20"/>
                <w:szCs w:val="20"/>
              </w:rPr>
              <w:t>Mrežnica d.d.</w:t>
            </w:r>
          </w:p>
          <w:p w14:paraId="03A8FE53" w14:textId="77777777" w:rsidR="00771418" w:rsidRPr="008E2FDA" w:rsidRDefault="00771418" w:rsidP="008E2FDA">
            <w:pPr>
              <w:pStyle w:val="ListParagraph"/>
              <w:numPr>
                <w:ilvl w:val="0"/>
                <w:numId w:val="27"/>
              </w:numPr>
              <w:ind w:left="410"/>
              <w:jc w:val="left"/>
              <w:rPr>
                <w:sz w:val="20"/>
                <w:szCs w:val="20"/>
              </w:rPr>
            </w:pPr>
            <w:r w:rsidRPr="008E2FDA">
              <w:rPr>
                <w:sz w:val="20"/>
                <w:szCs w:val="20"/>
              </w:rPr>
              <w:t>Hotel Korana - Srakovčić</w:t>
            </w:r>
          </w:p>
          <w:p w14:paraId="05316F1A" w14:textId="77777777" w:rsidR="00771418" w:rsidRPr="008E2FDA" w:rsidRDefault="00771418" w:rsidP="008E2FDA">
            <w:pPr>
              <w:pStyle w:val="ListParagraph"/>
              <w:numPr>
                <w:ilvl w:val="0"/>
                <w:numId w:val="27"/>
              </w:numPr>
              <w:ind w:left="410"/>
              <w:jc w:val="left"/>
              <w:rPr>
                <w:sz w:val="20"/>
                <w:szCs w:val="20"/>
              </w:rPr>
            </w:pPr>
            <w:r w:rsidRPr="008E2FDA">
              <w:rPr>
                <w:sz w:val="20"/>
                <w:szCs w:val="20"/>
              </w:rPr>
              <w:t>Ugostiteljski obrt „Zeleni kut“</w:t>
            </w:r>
          </w:p>
          <w:p w14:paraId="547FEDB8" w14:textId="77777777" w:rsidR="00771418" w:rsidRPr="008E2FDA" w:rsidRDefault="00771418" w:rsidP="008E2FDA">
            <w:pPr>
              <w:pStyle w:val="ListParagraph"/>
              <w:numPr>
                <w:ilvl w:val="0"/>
                <w:numId w:val="27"/>
              </w:numPr>
              <w:ind w:left="410"/>
              <w:jc w:val="left"/>
              <w:rPr>
                <w:sz w:val="20"/>
                <w:szCs w:val="20"/>
              </w:rPr>
            </w:pPr>
            <w:r w:rsidRPr="008E2FDA">
              <w:rPr>
                <w:sz w:val="20"/>
                <w:szCs w:val="20"/>
              </w:rPr>
              <w:t>VITIS obrt za poljoprivrednu proizvodnju i usluge</w:t>
            </w:r>
          </w:p>
        </w:tc>
        <w:tc>
          <w:tcPr>
            <w:tcW w:w="3021" w:type="dxa"/>
            <w:tcBorders>
              <w:top w:val="double" w:sz="4" w:space="0" w:color="auto"/>
            </w:tcBorders>
          </w:tcPr>
          <w:p w14:paraId="4ACF8B4D" w14:textId="77777777" w:rsidR="00771418" w:rsidRPr="008E2FDA" w:rsidRDefault="00771418" w:rsidP="008E2FDA">
            <w:pPr>
              <w:pStyle w:val="ListParagraph"/>
              <w:numPr>
                <w:ilvl w:val="0"/>
                <w:numId w:val="27"/>
              </w:numPr>
              <w:ind w:left="372"/>
              <w:jc w:val="left"/>
              <w:rPr>
                <w:sz w:val="20"/>
                <w:szCs w:val="20"/>
              </w:rPr>
            </w:pPr>
            <w:r w:rsidRPr="008E2FDA">
              <w:rPr>
                <w:sz w:val="20"/>
                <w:szCs w:val="20"/>
              </w:rPr>
              <w:t>Karlovačka športska zajednica</w:t>
            </w:r>
          </w:p>
          <w:p w14:paraId="171FF28D" w14:textId="77777777" w:rsidR="00771418" w:rsidRPr="008E2FDA" w:rsidRDefault="00771418" w:rsidP="008E2FDA">
            <w:pPr>
              <w:pStyle w:val="ListParagraph"/>
              <w:numPr>
                <w:ilvl w:val="0"/>
                <w:numId w:val="27"/>
              </w:numPr>
              <w:ind w:left="372"/>
              <w:jc w:val="left"/>
              <w:rPr>
                <w:sz w:val="20"/>
                <w:szCs w:val="20"/>
              </w:rPr>
            </w:pPr>
            <w:r w:rsidRPr="008E2FDA">
              <w:rPr>
                <w:sz w:val="20"/>
                <w:szCs w:val="20"/>
              </w:rPr>
              <w:t>Carpe Diem</w:t>
            </w:r>
          </w:p>
          <w:p w14:paraId="3FA8BC14" w14:textId="77777777" w:rsidR="00771418" w:rsidRPr="008E2FDA" w:rsidRDefault="00771418" w:rsidP="008E2FDA">
            <w:pPr>
              <w:pStyle w:val="ListParagraph"/>
              <w:numPr>
                <w:ilvl w:val="0"/>
                <w:numId w:val="27"/>
              </w:numPr>
              <w:ind w:left="372"/>
              <w:jc w:val="left"/>
              <w:rPr>
                <w:sz w:val="20"/>
                <w:szCs w:val="20"/>
              </w:rPr>
            </w:pPr>
            <w:r w:rsidRPr="008E2FDA">
              <w:rPr>
                <w:sz w:val="20"/>
                <w:szCs w:val="20"/>
              </w:rPr>
              <w:t>Savez udruga osoba s invaliditetom Karlovačke županije</w:t>
            </w:r>
          </w:p>
          <w:p w14:paraId="47440F3A" w14:textId="77777777" w:rsidR="00771418" w:rsidRPr="008E2FDA" w:rsidRDefault="00771418" w:rsidP="008E2FDA">
            <w:pPr>
              <w:pStyle w:val="ListParagraph"/>
              <w:numPr>
                <w:ilvl w:val="0"/>
                <w:numId w:val="27"/>
              </w:numPr>
              <w:ind w:left="372"/>
              <w:jc w:val="left"/>
              <w:rPr>
                <w:sz w:val="20"/>
                <w:szCs w:val="20"/>
              </w:rPr>
            </w:pPr>
            <w:r w:rsidRPr="008E2FDA">
              <w:rPr>
                <w:sz w:val="20"/>
                <w:szCs w:val="20"/>
              </w:rPr>
              <w:t>Udruga pripadnika 110. br. ZNG/HV Karlovac</w:t>
            </w:r>
          </w:p>
          <w:p w14:paraId="1908F43F" w14:textId="77777777" w:rsidR="00771418" w:rsidRPr="008E2FDA" w:rsidRDefault="00771418" w:rsidP="008E2FDA">
            <w:pPr>
              <w:pStyle w:val="ListParagraph"/>
              <w:numPr>
                <w:ilvl w:val="0"/>
                <w:numId w:val="27"/>
              </w:numPr>
              <w:tabs>
                <w:tab w:val="left" w:pos="1830"/>
              </w:tabs>
              <w:ind w:left="372"/>
              <w:jc w:val="left"/>
              <w:rPr>
                <w:sz w:val="20"/>
                <w:szCs w:val="20"/>
              </w:rPr>
            </w:pPr>
            <w:r w:rsidRPr="008E2FDA">
              <w:rPr>
                <w:sz w:val="20"/>
                <w:szCs w:val="20"/>
              </w:rPr>
              <w:t>KUD Vrhovac</w:t>
            </w:r>
            <w:r w:rsidRPr="008E2FDA">
              <w:rPr>
                <w:sz w:val="20"/>
                <w:szCs w:val="20"/>
              </w:rPr>
              <w:tab/>
            </w:r>
          </w:p>
          <w:p w14:paraId="078ED601" w14:textId="77777777" w:rsidR="00771418" w:rsidRPr="008E2FDA" w:rsidRDefault="00771418" w:rsidP="008E2FDA">
            <w:pPr>
              <w:pStyle w:val="ListParagraph"/>
              <w:numPr>
                <w:ilvl w:val="0"/>
                <w:numId w:val="27"/>
              </w:numPr>
              <w:tabs>
                <w:tab w:val="left" w:pos="1830"/>
              </w:tabs>
              <w:ind w:left="372"/>
              <w:jc w:val="left"/>
              <w:rPr>
                <w:sz w:val="20"/>
                <w:szCs w:val="20"/>
              </w:rPr>
            </w:pPr>
            <w:r w:rsidRPr="008E2FDA">
              <w:rPr>
                <w:sz w:val="20"/>
                <w:szCs w:val="20"/>
              </w:rPr>
              <w:t>Športska zajednica Duga Resa</w:t>
            </w:r>
          </w:p>
          <w:p w14:paraId="0DB491EC" w14:textId="77777777" w:rsidR="00771418" w:rsidRPr="008E2FDA" w:rsidRDefault="00771418" w:rsidP="008E2FDA">
            <w:pPr>
              <w:pStyle w:val="ListParagraph"/>
              <w:numPr>
                <w:ilvl w:val="0"/>
                <w:numId w:val="27"/>
              </w:numPr>
              <w:tabs>
                <w:tab w:val="left" w:pos="1830"/>
              </w:tabs>
              <w:ind w:left="372"/>
              <w:jc w:val="left"/>
              <w:rPr>
                <w:sz w:val="20"/>
                <w:szCs w:val="20"/>
              </w:rPr>
            </w:pPr>
            <w:r w:rsidRPr="008E2FDA">
              <w:rPr>
                <w:sz w:val="20"/>
                <w:szCs w:val="20"/>
              </w:rPr>
              <w:t>Udruga za mlade Agora</w:t>
            </w:r>
          </w:p>
          <w:p w14:paraId="634ECEFE" w14:textId="77777777" w:rsidR="00771418" w:rsidRPr="008E2FDA" w:rsidRDefault="00771418" w:rsidP="008E2FDA">
            <w:pPr>
              <w:pStyle w:val="ListParagraph"/>
              <w:numPr>
                <w:ilvl w:val="0"/>
                <w:numId w:val="27"/>
              </w:numPr>
              <w:tabs>
                <w:tab w:val="left" w:pos="1830"/>
              </w:tabs>
              <w:ind w:left="372"/>
              <w:jc w:val="left"/>
              <w:rPr>
                <w:sz w:val="20"/>
                <w:szCs w:val="20"/>
              </w:rPr>
            </w:pPr>
            <w:r w:rsidRPr="008E2FDA">
              <w:rPr>
                <w:sz w:val="20"/>
                <w:szCs w:val="20"/>
              </w:rPr>
              <w:t>Zajednica športskih udruga grada Ozlja</w:t>
            </w:r>
          </w:p>
        </w:tc>
      </w:tr>
    </w:tbl>
    <w:p w14:paraId="66FC6AC7" w14:textId="77777777" w:rsidR="00771418" w:rsidRDefault="00771418" w:rsidP="00771418"/>
    <w:p w14:paraId="7C995012" w14:textId="77777777" w:rsidR="00771418" w:rsidRDefault="00771418" w:rsidP="00771418">
      <w:r>
        <w:t xml:space="preserve">Glavna zadaća Partnerskog vijeća je sudjelovanje u svim fazama postupka izrade Strategije razvoja Većeg urbanog područja Karlovac, utvrđivanje prioriteta razvoja urbanog područja, predlaganja strateških projekata važnih za razvoj urbanog područja te praćenja provedbe Strategije razvoja Većeg urbanog područja Karlovac. </w:t>
      </w:r>
    </w:p>
    <w:p w14:paraId="20A1C571" w14:textId="77777777" w:rsidR="00771418" w:rsidRDefault="00771418" w:rsidP="00771418">
      <w:r>
        <w:t xml:space="preserve">Tijekom razdoblja trajanja procesa izrade Strategije razvoja Većeg urbanog područja Karlovac održavana je online komunikacija između članova Partnerskog vijeća te su održane sjednice na kojima su članovi Partnerskog vijeća aktivno sudjelovali i dali svoj doprinos kvaliteti izrade Strategije. Prije sjednica Partnerskog vijeća članovima su pravovremeno dostavljani radni materijali na koje su članovi slali komentare i prijedloge sukladno zadaćama definiranim u Poslovniku. </w:t>
      </w:r>
    </w:p>
    <w:p w14:paraId="7920401C" w14:textId="77777777" w:rsidR="00771418" w:rsidRPr="000902B4" w:rsidRDefault="00771418" w:rsidP="00771418">
      <w:pPr>
        <w:spacing w:after="0"/>
        <w:rPr>
          <w:b/>
        </w:rPr>
      </w:pPr>
      <w:r w:rsidRPr="000902B4">
        <w:rPr>
          <w:b/>
        </w:rPr>
        <w:t>Prva sjednica Partnerskog vijeća Većeg urbanog područja Karlovac – 7. svibanj 2019. godine</w:t>
      </w:r>
    </w:p>
    <w:p w14:paraId="65487DFC" w14:textId="6A6C9116" w:rsidR="00771418" w:rsidRDefault="00771418" w:rsidP="00771418">
      <w:pPr>
        <w:spacing w:after="0"/>
      </w:pPr>
      <w:r>
        <w:t>Prva, ujedno konstituirajuća</w:t>
      </w:r>
      <w:r w:rsidR="00953057">
        <w:t>,</w:t>
      </w:r>
      <w:r>
        <w:t xml:space="preserve"> sjednica Partnerskog vijeća Urbanog područja Karlovac održana je 7. svibnja 2019. godine u Karlovcu u Velikoj vijećnici, Banjavčićeva 9, s početkom u 18 sati. Dnevni red sjednice bio je kako slijedi: Odluka Gradskog vijeća Grada Karlovca i oči</w:t>
      </w:r>
      <w:r w:rsidR="00953057">
        <w:t>tovanja Grada Ozlja i Grada Duge</w:t>
      </w:r>
      <w:r>
        <w:t xml:space="preserve"> Rese o  osnivanju, sastavu, djelokrugu i načinu rada tijela za pripremu i provedbu Strategije </w:t>
      </w:r>
      <w:r>
        <w:lastRenderedPageBreak/>
        <w:t xml:space="preserve">razvoja Većeg urbanog područja Karlovac, imenovanje predsjednika i zamjenika Partnerskog vijeća VUP Karlovac, usvajanje Poslovnika VUP Karlovac, prezentacija nacrta Strategije razvoja Većeg urbanog područja Karlovac, usvajanje nacrta SRVUP Karlovac, ITU-mjera i projekata. </w:t>
      </w:r>
    </w:p>
    <w:p w14:paraId="29162AA7" w14:textId="64309969" w:rsidR="00771418" w:rsidRDefault="00771418" w:rsidP="00771418">
      <w:pPr>
        <w:spacing w:after="0"/>
      </w:pPr>
      <w:r>
        <w:t xml:space="preserve">Na prijedlog članova izabran je predsjednik Partnerskog vijeća, g. </w:t>
      </w:r>
      <w:r w:rsidRPr="0065020B">
        <w:t>Damir Mandić</w:t>
      </w:r>
      <w:r>
        <w:t>, gradonačelnik Grada Karlov</w:t>
      </w:r>
      <w:r w:rsidR="00953057">
        <w:t>ca</w:t>
      </w:r>
      <w:r>
        <w:t xml:space="preserve"> te njegova zamjenica</w:t>
      </w:r>
      <w:r w:rsidR="00953057">
        <w:t>,</w:t>
      </w:r>
      <w:r>
        <w:t xml:space="preserve"> gđa. Andreja </w:t>
      </w:r>
      <w:r w:rsidRPr="0065020B">
        <w:t>Navijalić</w:t>
      </w:r>
      <w:r>
        <w:t xml:space="preserve">, zamjenica gradonačelnika Grada Karlovca. Također, Partnersko vijeće je jednoglasno usvojilo Poslovnik o radu Partnerskog vijeća Većeg urbanog područja Karlovac. </w:t>
      </w:r>
    </w:p>
    <w:p w14:paraId="526F170B" w14:textId="1C1A20C1" w:rsidR="00771418" w:rsidRDefault="00771418" w:rsidP="00771418">
      <w:r>
        <w:t>Na sjednici je prezentirana metodologija izrade Strategije razvoja VUP Karlovac, nacrt njenog sadržaja, vizija, misija, strateški okvir, ciljevi i mjere, analiza projekata te n</w:t>
      </w:r>
      <w:r w:rsidR="00953057">
        <w:t>jihova prostorna distribucija n</w:t>
      </w:r>
      <w:r>
        <w:t>akon čega su članovi Partnersko</w:t>
      </w:r>
      <w:r w:rsidR="00953057">
        <w:t>g vijeća jednoglasno usvojili pre</w:t>
      </w:r>
      <w:r>
        <w:t>dloženi nacrt Strategije te su dogovoreni sljedeći koraci u izradi nacrta Strategije.</w:t>
      </w:r>
    </w:p>
    <w:p w14:paraId="0AD3DAB0" w14:textId="77777777" w:rsidR="00771418" w:rsidRPr="00065499" w:rsidRDefault="00771418" w:rsidP="00771418">
      <w:pPr>
        <w:spacing w:after="0"/>
        <w:rPr>
          <w:b/>
          <w:highlight w:val="yellow"/>
        </w:rPr>
      </w:pPr>
      <w:r w:rsidRPr="00065499">
        <w:rPr>
          <w:b/>
          <w:highlight w:val="yellow"/>
        </w:rPr>
        <w:t xml:space="preserve">Druga sjednica Partnerskog vijeća Većeg urbanog područja Karlovac </w:t>
      </w:r>
    </w:p>
    <w:p w14:paraId="7C7955AB" w14:textId="77777777" w:rsidR="00771418" w:rsidRPr="0012791C" w:rsidRDefault="00771418" w:rsidP="00771418"/>
    <w:p w14:paraId="55D8891D" w14:textId="77777777" w:rsidR="00771418" w:rsidRPr="00065499" w:rsidRDefault="00771418" w:rsidP="00771418">
      <w:pPr>
        <w:spacing w:after="0"/>
        <w:rPr>
          <w:b/>
          <w:highlight w:val="yellow"/>
        </w:rPr>
      </w:pPr>
      <w:r>
        <w:rPr>
          <w:b/>
          <w:highlight w:val="yellow"/>
        </w:rPr>
        <w:t>Treća</w:t>
      </w:r>
      <w:r w:rsidRPr="00065499">
        <w:rPr>
          <w:b/>
          <w:highlight w:val="yellow"/>
        </w:rPr>
        <w:t xml:space="preserve"> sjednica Partnerskog vijeća Većeg urbanog područja Karlovac </w:t>
      </w:r>
    </w:p>
    <w:p w14:paraId="6F111172" w14:textId="77777777" w:rsidR="00771418" w:rsidRPr="00D73864" w:rsidRDefault="00771418" w:rsidP="00771418"/>
    <w:p w14:paraId="7CD7428A" w14:textId="77777777" w:rsidR="00771418" w:rsidRPr="00065499" w:rsidRDefault="00771418" w:rsidP="00771418">
      <w:pPr>
        <w:spacing w:after="0"/>
        <w:rPr>
          <w:b/>
          <w:highlight w:val="yellow"/>
        </w:rPr>
      </w:pPr>
      <w:r w:rsidRPr="00065499">
        <w:rPr>
          <w:b/>
          <w:highlight w:val="yellow"/>
        </w:rPr>
        <w:t>Završna sjednica Partnerskog vijeća Većeg urbanog područja Karlovac</w:t>
      </w:r>
    </w:p>
    <w:p w14:paraId="69209959" w14:textId="77777777" w:rsidR="00771418" w:rsidRDefault="00771418" w:rsidP="00771418"/>
    <w:p w14:paraId="22A7D6DB" w14:textId="316743F0" w:rsidR="00771418" w:rsidRDefault="00771418" w:rsidP="00771418">
      <w:r>
        <w:t>Sjednice Partnerskog vijeća zatvorene su za medije i javnost, osim ako drugačije ne odluče članovi Partnerskog vijeća. Sukladno Poslovniku, javnost se informira o radu Partnerskog vijeća redovnim priopćenjima za javnost koje priprema Predsjedavajuća osoba Partnerskog vijeća uz pomoć T</w:t>
      </w:r>
      <w:r w:rsidR="00953057">
        <w:t>ehničkog t</w:t>
      </w:r>
      <w:r>
        <w:t xml:space="preserve">ajništva, a medijima se šalju najkasnije dva dana nakon sjednice Partnerskog vijeća te objavom zapisnika sa sjednica na mrežnoj stranici Grada Karlovca najkasnije dva radna dana nakon usvajanja zapisnika. </w:t>
      </w:r>
    </w:p>
    <w:p w14:paraId="1BEA5C23" w14:textId="22B976F4" w:rsidR="00771418" w:rsidRDefault="00771418" w:rsidP="00771418">
      <w:r w:rsidRPr="00D73864">
        <w:t>Partnersko vijeće sudjelovalo je u svim fazama izrade S</w:t>
      </w:r>
      <w:r>
        <w:t xml:space="preserve">trategije razvoja Većeg urbanog područja Karlovac </w:t>
      </w:r>
      <w:r w:rsidRPr="00D73864">
        <w:t xml:space="preserve">te će aktivno sudjelovati i u praćenju </w:t>
      </w:r>
      <w:r w:rsidR="00953057">
        <w:t>njezine</w:t>
      </w:r>
      <w:r w:rsidRPr="00D73864">
        <w:t xml:space="preserve"> provedbe. Partnersko vijeće će </w:t>
      </w:r>
      <w:r>
        <w:t>pratiti provedbu</w:t>
      </w:r>
      <w:r w:rsidR="00953057">
        <w:t xml:space="preserve"> A</w:t>
      </w:r>
      <w:r w:rsidRPr="00D73864">
        <w:t xml:space="preserve">kcijskog plana </w:t>
      </w:r>
      <w:r>
        <w:t xml:space="preserve">i </w:t>
      </w:r>
      <w:r w:rsidRPr="00D73864">
        <w:t xml:space="preserve">pokazatelja definiranih </w:t>
      </w:r>
      <w:r>
        <w:t xml:space="preserve">u Strategiji </w:t>
      </w:r>
      <w:r w:rsidRPr="00D73864">
        <w:t xml:space="preserve">te će na temelju </w:t>
      </w:r>
      <w:r>
        <w:t xml:space="preserve">utvrđene dinamike i statusa provedbe predlagati </w:t>
      </w:r>
      <w:r w:rsidRPr="00D73864">
        <w:t xml:space="preserve">izmjene </w:t>
      </w:r>
      <w:r w:rsidR="00953057">
        <w:t>A</w:t>
      </w:r>
      <w:r w:rsidRPr="00D73864">
        <w:t xml:space="preserve">kcijskog plana u svrhu njegova usklađivanja sa stvarnom dinamikom na koju osim </w:t>
      </w:r>
      <w:r>
        <w:t>planiranih</w:t>
      </w:r>
      <w:r w:rsidRPr="00D73864">
        <w:t>, mogu utjecati i neplanirane okolnosti.</w:t>
      </w:r>
    </w:p>
    <w:p w14:paraId="1F372049" w14:textId="732C0169" w:rsidR="00FB0336" w:rsidRDefault="00FB0336" w:rsidP="00771418">
      <w:pPr>
        <w:rPr>
          <w:noProof/>
        </w:rPr>
      </w:pPr>
      <w:r>
        <w:rPr>
          <w:noProof/>
        </w:rPr>
        <w:br w:type="page"/>
      </w:r>
    </w:p>
    <w:p w14:paraId="7A3F0F27" w14:textId="77777777" w:rsidR="00A66023" w:rsidRPr="00DA239E" w:rsidRDefault="00A66023">
      <w:pPr>
        <w:rPr>
          <w:rFonts w:ascii="Arial" w:hAnsi="Arial" w:cs="Arial"/>
          <w:b/>
          <w:i/>
          <w:noProof/>
        </w:rPr>
      </w:pPr>
    </w:p>
    <w:p w14:paraId="20DE419A" w14:textId="24246D24" w:rsidR="000440AF" w:rsidRDefault="000440AF" w:rsidP="006333E2">
      <w:pPr>
        <w:pStyle w:val="Heading1"/>
        <w:rPr>
          <w:noProof/>
          <w:color w:val="0070C0"/>
        </w:rPr>
      </w:pPr>
      <w:bookmarkStart w:id="111" w:name="_Toc437390611"/>
      <w:r w:rsidRPr="00DA239E">
        <w:rPr>
          <w:noProof/>
        </w:rPr>
        <w:t>HORIZONTALNA NAČELA</w:t>
      </w:r>
      <w:bookmarkEnd w:id="111"/>
      <w:r w:rsidRPr="00DA239E">
        <w:rPr>
          <w:noProof/>
          <w:color w:val="0070C0"/>
        </w:rPr>
        <w:t xml:space="preserve"> </w:t>
      </w:r>
    </w:p>
    <w:p w14:paraId="6A08E3B9" w14:textId="26F27A86" w:rsidR="008E2FDA" w:rsidRDefault="008E2FDA" w:rsidP="008E2FDA">
      <w:r w:rsidRPr="008E2FDA">
        <w:t xml:space="preserve">Strategija razvoja Većeg urbanog područja Karlovac temeljena je na horizontalnim načelima </w:t>
      </w:r>
      <w:r w:rsidR="0056005E">
        <w:rPr>
          <w:b/>
        </w:rPr>
        <w:t xml:space="preserve">održivog razvoja te promicanja jednakosti i </w:t>
      </w:r>
      <w:r w:rsidRPr="008E2FDA">
        <w:rPr>
          <w:b/>
        </w:rPr>
        <w:t>nediskriminacije</w:t>
      </w:r>
      <w:r w:rsidRPr="008E2FDA">
        <w:t xml:space="preserve">. </w:t>
      </w:r>
    </w:p>
    <w:p w14:paraId="6D6EACD0" w14:textId="40152B55" w:rsidR="00124C62" w:rsidRDefault="00124C62" w:rsidP="008E2FDA">
      <w:r>
        <w:t>Primjena načela</w:t>
      </w:r>
      <w:r w:rsidR="008E2FDA">
        <w:t xml:space="preserve"> održivog razvoja </w:t>
      </w:r>
      <w:r>
        <w:t xml:space="preserve">u strateškom planiranju </w:t>
      </w:r>
      <w:r w:rsidR="008E2FDA">
        <w:t>podrazum</w:t>
      </w:r>
      <w:r w:rsidR="000A42BF">
        <w:t>i</w:t>
      </w:r>
      <w:r w:rsidR="008E2FDA">
        <w:t xml:space="preserve">jeva uvažavanje </w:t>
      </w:r>
      <w:r>
        <w:t xml:space="preserve">i univerzalnu (u svim projektima) primjenu </w:t>
      </w:r>
      <w:r w:rsidR="008E2FDA">
        <w:t>faktora</w:t>
      </w:r>
      <w:r w:rsidR="00953057">
        <w:t>,</w:t>
      </w:r>
      <w:r>
        <w:t xml:space="preserve"> kao što su:</w:t>
      </w:r>
    </w:p>
    <w:p w14:paraId="41D52C51" w14:textId="77777777" w:rsidR="00124C62" w:rsidRDefault="00124C62" w:rsidP="00EC1C17">
      <w:pPr>
        <w:pStyle w:val="ListParagraph"/>
        <w:numPr>
          <w:ilvl w:val="0"/>
          <w:numId w:val="36"/>
        </w:numPr>
      </w:pPr>
      <w:r>
        <w:t>zaštita</w:t>
      </w:r>
      <w:r w:rsidRPr="008E2FDA">
        <w:t xml:space="preserve"> </w:t>
      </w:r>
      <w:r>
        <w:t>sastavnica okoliša;</w:t>
      </w:r>
    </w:p>
    <w:p w14:paraId="0BBD3819" w14:textId="77777777" w:rsidR="00124C62" w:rsidRDefault="00124C62" w:rsidP="00EC1C17">
      <w:pPr>
        <w:pStyle w:val="ListParagraph"/>
        <w:numPr>
          <w:ilvl w:val="0"/>
          <w:numId w:val="36"/>
        </w:numPr>
      </w:pPr>
      <w:r>
        <w:t>zaštita prirode i bioraznolikosti;</w:t>
      </w:r>
    </w:p>
    <w:p w14:paraId="651FA4B5" w14:textId="77777777" w:rsidR="00124C62" w:rsidRDefault="00124C62" w:rsidP="00EC1C17">
      <w:pPr>
        <w:pStyle w:val="ListParagraph"/>
        <w:numPr>
          <w:ilvl w:val="0"/>
          <w:numId w:val="36"/>
        </w:numPr>
      </w:pPr>
      <w:r>
        <w:t>učinkovita</w:t>
      </w:r>
      <w:r w:rsidRPr="008E2FDA">
        <w:t xml:space="preserve"> </w:t>
      </w:r>
      <w:r>
        <w:t>uporaba resursa;</w:t>
      </w:r>
    </w:p>
    <w:p w14:paraId="0C820672" w14:textId="77777777" w:rsidR="00124C62" w:rsidRDefault="00124C62" w:rsidP="00EC1C17">
      <w:pPr>
        <w:pStyle w:val="ListParagraph"/>
        <w:numPr>
          <w:ilvl w:val="0"/>
          <w:numId w:val="36"/>
        </w:numPr>
      </w:pPr>
      <w:r>
        <w:t xml:space="preserve">jačanje </w:t>
      </w:r>
      <w:r w:rsidRPr="008E2FDA">
        <w:t>otpornosti na krizne situacije i sprječavanje rizika</w:t>
      </w:r>
      <w:r>
        <w:t>; te</w:t>
      </w:r>
    </w:p>
    <w:p w14:paraId="616877B7" w14:textId="1E9F439F" w:rsidR="00124C62" w:rsidRDefault="00124C62" w:rsidP="00EC1C17">
      <w:pPr>
        <w:pStyle w:val="ListParagraph"/>
        <w:numPr>
          <w:ilvl w:val="0"/>
          <w:numId w:val="36"/>
        </w:numPr>
      </w:pPr>
      <w:r>
        <w:t>ublažavanje i prilagodba</w:t>
      </w:r>
      <w:r w:rsidRPr="008E2FDA">
        <w:t xml:space="preserve"> kl</w:t>
      </w:r>
      <w:r>
        <w:t>imatskim promjenama.</w:t>
      </w:r>
    </w:p>
    <w:p w14:paraId="25D96038" w14:textId="17BC002C" w:rsidR="008E2FDA" w:rsidRPr="008E2FDA" w:rsidRDefault="008E2FDA" w:rsidP="008E2FDA">
      <w:r w:rsidRPr="008E2FDA">
        <w:t>Temeljne odrednice načela nediskriminacije podrazumijevaju izbjegavanje svakog oblika socijalne isključenosti i nejednakog postupanja prema pojedinim socijalnim skupinama</w:t>
      </w:r>
      <w:r w:rsidR="00124C62">
        <w:t>.</w:t>
      </w:r>
      <w:r w:rsidRPr="008E2FDA">
        <w:t xml:space="preserve"> </w:t>
      </w:r>
    </w:p>
    <w:p w14:paraId="2DA564EC" w14:textId="6EF5EB8C" w:rsidR="00124C62" w:rsidRDefault="00124C62" w:rsidP="00124C62">
      <w:r w:rsidRPr="00124C62">
        <w:t>Horizontalna načela primjenjiva</w:t>
      </w:r>
      <w:r>
        <w:t xml:space="preserve">na su u svim fazama izrade </w:t>
      </w:r>
      <w:r w:rsidR="00B55150">
        <w:t>SRVUPKA</w:t>
      </w:r>
      <w:r>
        <w:t>,</w:t>
      </w:r>
      <w:r w:rsidRPr="00124C62">
        <w:t xml:space="preserve"> čime su u određenoj mjeri uklopljena u</w:t>
      </w:r>
      <w:r>
        <w:t xml:space="preserve"> sve razine strateškog okvira. </w:t>
      </w:r>
    </w:p>
    <w:p w14:paraId="7A5997AA" w14:textId="35A2DF21" w:rsidR="00124C62" w:rsidRDefault="00124C62" w:rsidP="00124C62">
      <w:r>
        <w:t>Tijekom</w:t>
      </w:r>
      <w:r w:rsidRPr="00124C62">
        <w:t xml:space="preserve"> izrade </w:t>
      </w:r>
      <w:r w:rsidR="00953057">
        <w:t>socio</w:t>
      </w:r>
      <w:r>
        <w:t xml:space="preserve">ekonomske </w:t>
      </w:r>
      <w:r w:rsidRPr="00124C62">
        <w:t xml:space="preserve">analize stanja </w:t>
      </w:r>
      <w:r>
        <w:t>navedena</w:t>
      </w:r>
      <w:r w:rsidRPr="00124C62">
        <w:t xml:space="preserve"> horizontalna načela </w:t>
      </w:r>
      <w:r>
        <w:t>prim</w:t>
      </w:r>
      <w:r w:rsidR="000A42BF">
        <w:t>i</w:t>
      </w:r>
      <w:r>
        <w:t>jenjena su</w:t>
      </w:r>
      <w:r w:rsidRPr="00124C62">
        <w:t xml:space="preserve"> prilikom odabira tema koje će obraditi,</w:t>
      </w:r>
      <w:r w:rsidR="0056005E">
        <w:t xml:space="preserve"> kao</w:t>
      </w:r>
      <w:r w:rsidRPr="00124C62">
        <w:t xml:space="preserve"> i prilikom </w:t>
      </w:r>
      <w:r w:rsidR="0056005E">
        <w:t>prikupljanja podataka pa su tako statistički podaci, kad</w:t>
      </w:r>
      <w:r w:rsidR="00953057">
        <w:t xml:space="preserve"> </w:t>
      </w:r>
      <w:r w:rsidR="0056005E">
        <w:t>god je to bilo moguće, izraženi i u odnosu na pojedine socijalne skupine, a posebno poglavlje analize posvećeno je sastavnicama okoliša, prirodnim resursima i ekološkim rizicima.</w:t>
      </w:r>
    </w:p>
    <w:p w14:paraId="0200DC11" w14:textId="4FF9DCF0" w:rsidR="002E3297" w:rsidRDefault="002E3297" w:rsidP="002E3297">
      <w:r>
        <w:t>Strateško planski proces i rezultirajuća logika, odnosno logičko opravdanje i povezanost strateških ciljeva, prioriteta i mjera rezultirali su strateškim okvirom</w:t>
      </w:r>
      <w:r w:rsidR="0056005E">
        <w:t xml:space="preserve"> </w:t>
      </w:r>
      <w:r w:rsidR="00B55150">
        <w:t>SRVUPKA</w:t>
      </w:r>
      <w:r w:rsidR="0056005E">
        <w:t xml:space="preserve"> </w:t>
      </w:r>
      <w:r>
        <w:t xml:space="preserve">u kojem </w:t>
      </w:r>
      <w:r w:rsidR="0056005E">
        <w:t>nema izrijekom na</w:t>
      </w:r>
      <w:r>
        <w:t xml:space="preserve">vedenih mjera koje bi se odnosile na horizontalna načela, no ista su ipak </w:t>
      </w:r>
      <w:r w:rsidRPr="00CA67D6">
        <w:rPr>
          <w:b/>
        </w:rPr>
        <w:t>prim</w:t>
      </w:r>
      <w:r w:rsidR="000A42BF">
        <w:rPr>
          <w:b/>
        </w:rPr>
        <w:t>i</w:t>
      </w:r>
      <w:r w:rsidRPr="00CA67D6">
        <w:rPr>
          <w:b/>
        </w:rPr>
        <w:t>jenjena na razini pojedinih projekata</w:t>
      </w:r>
      <w:r>
        <w:t xml:space="preserve">. Naime, kako je već objašnjeno u poglavlju 4.1, strateški okvir </w:t>
      </w:r>
      <w:r w:rsidR="00B55150">
        <w:t>SRVUPKA</w:t>
      </w:r>
      <w:r>
        <w:t xml:space="preserve"> izrastao je u procesu koji je kombinirao 'top-down' i 'bottom-up' pristup. Tako je, s jedne strane, izvršena kvalitativna komparativna analiza dosadašnjih dugogodišnjih usmjerenih razvojnih napora na području triju gradova</w:t>
      </w:r>
      <w:r w:rsidR="00CA67D6">
        <w:t xml:space="preserve"> (lokalne i regionalne strategije), a s druge strane je uzeta u obzir </w:t>
      </w:r>
      <w:r>
        <w:t xml:space="preserve">analiza projektnih prijedloga u raznim fazama zrelosti (od spremnih za provedbu do projektnih ideja) </w:t>
      </w:r>
      <w:r w:rsidR="00CA67D6">
        <w:t xml:space="preserve">koja je </w:t>
      </w:r>
      <w:r>
        <w:t>korištena kao dodatak socio-ekonomskoj i SWOT analizi</w:t>
      </w:r>
      <w:r w:rsidR="00CA67D6">
        <w:t xml:space="preserve">. Upravo ovaj način </w:t>
      </w:r>
      <w:r w:rsidR="00CA67D6" w:rsidRPr="00CA67D6">
        <w:t>utvrđivanja</w:t>
      </w:r>
      <w:r w:rsidRPr="00CA67D6">
        <w:t xml:space="preserve"> potreb</w:t>
      </w:r>
      <w:r w:rsidR="00CA67D6" w:rsidRPr="00CA67D6">
        <w:t>a</w:t>
      </w:r>
      <w:r w:rsidRPr="00CA67D6">
        <w:t xml:space="preserve"> i potenci</w:t>
      </w:r>
      <w:r w:rsidR="00CA67D6" w:rsidRPr="00CA67D6">
        <w:t>jala</w:t>
      </w:r>
      <w:r w:rsidRPr="00CA67D6">
        <w:t xml:space="preserve"> u obliku konkretnih razvojnih projekata</w:t>
      </w:r>
      <w:r w:rsidR="00CA67D6" w:rsidRPr="00CA67D6">
        <w:t xml:space="preserve"> </w:t>
      </w:r>
      <w:r w:rsidR="00CA67D6">
        <w:t>jest</w:t>
      </w:r>
      <w:r w:rsidR="00CA67D6" w:rsidRPr="00CA67D6">
        <w:t xml:space="preserve"> </w:t>
      </w:r>
      <w:r w:rsidRPr="00CA67D6">
        <w:t>čvrs</w:t>
      </w:r>
      <w:r w:rsidRPr="00AE08A0">
        <w:t>to uporište za operacionalizaciju</w:t>
      </w:r>
      <w:r>
        <w:t xml:space="preserve"> </w:t>
      </w:r>
      <w:r w:rsidR="00B55150">
        <w:t>SRVUPKA</w:t>
      </w:r>
      <w:r>
        <w:t xml:space="preserve">, u smislu </w:t>
      </w:r>
      <w:r w:rsidR="00CA67D6">
        <w:t>realizacije</w:t>
      </w:r>
      <w:r>
        <w:t xml:space="preserve"> strateških </w:t>
      </w:r>
      <w:r w:rsidR="00CA67D6">
        <w:t xml:space="preserve">i pojedinih </w:t>
      </w:r>
      <w:r>
        <w:t>projekata</w:t>
      </w:r>
      <w:r w:rsidR="00CA67D6">
        <w:t xml:space="preserve"> koji u sebi obuhvaćaju različite dimenzije horizontalnih načela</w:t>
      </w:r>
      <w:r>
        <w:t>.</w:t>
      </w:r>
    </w:p>
    <w:p w14:paraId="2E4BADBA" w14:textId="5E2A102C" w:rsidR="00CA67D6" w:rsidRDefault="00CA67D6" w:rsidP="007D0565">
      <w:r>
        <w:t xml:space="preserve">Iako su načelno navedena horizontalna načela primjenjiva na projekte i mjere svih prioriteta, odnosno specifičnih ciljeva </w:t>
      </w:r>
      <w:r w:rsidR="00B55150">
        <w:t>SRVUPKA</w:t>
      </w:r>
      <w:r>
        <w:t xml:space="preserve">, za očekivati je </w:t>
      </w:r>
      <w:r w:rsidR="007D0565">
        <w:t xml:space="preserve">da će </w:t>
      </w:r>
      <w:r w:rsidR="007D0565" w:rsidRPr="007D0565">
        <w:rPr>
          <w:b/>
        </w:rPr>
        <w:t>načelo jednakih mogućnosti i dikriminacije</w:t>
      </w:r>
      <w:r w:rsidR="007D0565">
        <w:t xml:space="preserve"> biti više primjenjiv u prioritetima </w:t>
      </w:r>
      <w:r w:rsidR="007D0565" w:rsidRPr="007D0565">
        <w:rPr>
          <w:b/>
        </w:rPr>
        <w:t>SC1.P2</w:t>
      </w:r>
      <w:r w:rsidR="007D0565" w:rsidRPr="007D0565">
        <w:t xml:space="preserve"> Razvoj sadržaja za revitalizaciju gospodarskog i društvenog života</w:t>
      </w:r>
      <w:r w:rsidR="007D0565">
        <w:t xml:space="preserve">, </w:t>
      </w:r>
      <w:r w:rsidR="007D0565" w:rsidRPr="007D0565">
        <w:rPr>
          <w:b/>
        </w:rPr>
        <w:t>SC3.P1</w:t>
      </w:r>
      <w:r w:rsidR="007D0565" w:rsidRPr="007D0565">
        <w:t xml:space="preserve"> Podrška malom i srednjem poduzetništvu</w:t>
      </w:r>
      <w:r w:rsidR="007D0565">
        <w:t xml:space="preserve">, </w:t>
      </w:r>
      <w:r w:rsidR="007D0565" w:rsidRPr="007D0565">
        <w:rPr>
          <w:b/>
        </w:rPr>
        <w:t>SC3.P2</w:t>
      </w:r>
      <w:r w:rsidR="007D0565" w:rsidRPr="007D0565">
        <w:t xml:space="preserve"> Razvoj vještina, znanja i kapaciteta za moderno gospodarstvo</w:t>
      </w:r>
      <w:r w:rsidR="007D0565">
        <w:t xml:space="preserve">. Primjena ovog načela u pojedinim (većim) projektima ili mjerama (pozivima) može uključivati </w:t>
      </w:r>
      <w:r w:rsidRPr="007D0565">
        <w:t>aktivnosti</w:t>
      </w:r>
      <w:r w:rsidR="007D0565">
        <w:t xml:space="preserve"> </w:t>
      </w:r>
      <w:r w:rsidRPr="007D0565">
        <w:t>kojima</w:t>
      </w:r>
      <w:r w:rsidR="007D0565">
        <w:t xml:space="preserve"> </w:t>
      </w:r>
      <w:r w:rsidRPr="007D0565">
        <w:t>se</w:t>
      </w:r>
      <w:r w:rsidR="007D0565">
        <w:t xml:space="preserve"> </w:t>
      </w:r>
      <w:r w:rsidRPr="007D0565">
        <w:t>osigurava</w:t>
      </w:r>
      <w:r w:rsidR="007D0565">
        <w:t xml:space="preserve"> </w:t>
      </w:r>
      <w:r w:rsidRPr="007D0565">
        <w:t>najveća</w:t>
      </w:r>
      <w:r w:rsidR="007D0565">
        <w:t xml:space="preserve"> </w:t>
      </w:r>
      <w:r w:rsidRPr="007D0565">
        <w:t>moguća</w:t>
      </w:r>
      <w:r w:rsidR="007D0565">
        <w:t xml:space="preserve"> </w:t>
      </w:r>
      <w:r w:rsidRPr="007D0565">
        <w:t>pokrivenost</w:t>
      </w:r>
      <w:r w:rsidR="007D0565">
        <w:t xml:space="preserve"> </w:t>
      </w:r>
      <w:r w:rsidRPr="007D0565">
        <w:t>ciljnih</w:t>
      </w:r>
      <w:r w:rsidR="007D0565">
        <w:t xml:space="preserve"> </w:t>
      </w:r>
      <w:r w:rsidRPr="007D0565">
        <w:t>skupina</w:t>
      </w:r>
      <w:r w:rsidR="007D0565">
        <w:t xml:space="preserve"> </w:t>
      </w:r>
      <w:r w:rsidRPr="007D0565">
        <w:t>(</w:t>
      </w:r>
      <w:r w:rsidR="007D0565">
        <w:t>š</w:t>
      </w:r>
      <w:r w:rsidRPr="007D0565">
        <w:t>to</w:t>
      </w:r>
      <w:r w:rsidR="007D0565">
        <w:t xml:space="preserve"> </w:t>
      </w:r>
      <w:r w:rsidRPr="007D0565">
        <w:t>može</w:t>
      </w:r>
      <w:r w:rsidR="007D0565">
        <w:t xml:space="preserve"> </w:t>
      </w:r>
      <w:r w:rsidRPr="007D0565">
        <w:t xml:space="preserve">uključiti </w:t>
      </w:r>
      <w:r w:rsidR="007D0565">
        <w:t xml:space="preserve">izdvajanje skupina u nepovoljnom položaju), usvajanje </w:t>
      </w:r>
      <w:r w:rsidR="007D0565">
        <w:rPr>
          <w:lang w:val="en-US"/>
        </w:rPr>
        <w:t xml:space="preserve">politike ravnopravnosti / suzbijanja diskriminacije </w:t>
      </w:r>
      <w:r w:rsidR="007D0565" w:rsidRPr="007D0565">
        <w:t>na radnom mjestu</w:t>
      </w:r>
      <w:r w:rsidR="007D0565">
        <w:t xml:space="preserve">, edukacije </w:t>
      </w:r>
      <w:r w:rsidR="007D0565" w:rsidRPr="007D0565">
        <w:t>o jednakim mogućnostima i nediskriminaciji</w:t>
      </w:r>
      <w:r w:rsidR="007D0565">
        <w:t xml:space="preserve">, primjenu </w:t>
      </w:r>
      <w:r w:rsidR="007D0565" w:rsidRPr="007D0565">
        <w:t>pozitivnih mjera kojima se uklanjaju stereotipi u informacijskim i komunikacijskim aktivnostima</w:t>
      </w:r>
      <w:r w:rsidR="007D0565">
        <w:t>, analize učinaka u pripremi i/ili provedbi projekata i slično.</w:t>
      </w:r>
    </w:p>
    <w:p w14:paraId="3E460F60" w14:textId="68C05F7B" w:rsidR="00011E86" w:rsidRDefault="007D0565" w:rsidP="007D0565">
      <w:r>
        <w:t xml:space="preserve">Što se </w:t>
      </w:r>
      <w:r w:rsidRPr="00011E86">
        <w:rPr>
          <w:b/>
        </w:rPr>
        <w:t>načela održivog razvoja tiče</w:t>
      </w:r>
      <w:r>
        <w:t xml:space="preserve">, svaki projekt će trebati </w:t>
      </w:r>
      <w:r w:rsidR="00CA67D6" w:rsidRPr="007D0565">
        <w:t xml:space="preserve">dokazati da neće imati štetne učinke na okoliš, </w:t>
      </w:r>
      <w:r>
        <w:t xml:space="preserve">odnosno </w:t>
      </w:r>
      <w:r w:rsidR="00CA67D6" w:rsidRPr="007D0565">
        <w:t>službeno potvrditi da je ekološki neutralan</w:t>
      </w:r>
      <w:r>
        <w:t xml:space="preserve">, što je zakonski minimum. Kroz mehanizme sufinanciranja poticat će se projekti koji mogu imati </w:t>
      </w:r>
      <w:r w:rsidR="00CA67D6" w:rsidRPr="007D0565">
        <w:t>pozitiv</w:t>
      </w:r>
      <w:r>
        <w:t>an</w:t>
      </w:r>
      <w:r w:rsidR="00CA67D6" w:rsidRPr="007D0565">
        <w:t xml:space="preserve"> </w:t>
      </w:r>
      <w:r>
        <w:t>utjecaj</w:t>
      </w:r>
      <w:r w:rsidR="00011E86">
        <w:t xml:space="preserve"> na održivi razvoj, što je naročito relevantno za infrastrukturne projekte. To znači da će primjena ovog načela biti </w:t>
      </w:r>
      <w:r w:rsidR="00011E86">
        <w:lastRenderedPageBreak/>
        <w:t xml:space="preserve">izraženija u projektima pod prioritetima </w:t>
      </w:r>
      <w:r w:rsidR="00011E86" w:rsidRPr="00011E86">
        <w:rPr>
          <w:b/>
        </w:rPr>
        <w:t>SC1.P1</w:t>
      </w:r>
      <w:r w:rsidR="00011E86" w:rsidRPr="00011E86">
        <w:t xml:space="preserve"> Obnova urbanih gradskih jezgri</w:t>
      </w:r>
      <w:r w:rsidR="00011E86">
        <w:t xml:space="preserve">, </w:t>
      </w:r>
      <w:r w:rsidR="00011E86" w:rsidRPr="00011E86">
        <w:rPr>
          <w:b/>
        </w:rPr>
        <w:t>SC2.P1</w:t>
      </w:r>
      <w:r w:rsidR="00564D80">
        <w:t xml:space="preserve"> Unapr</w:t>
      </w:r>
      <w:r w:rsidR="00011E86" w:rsidRPr="00011E86">
        <w:t>jeđenje energetske infrastrukture</w:t>
      </w:r>
      <w:r w:rsidR="00011E86">
        <w:t xml:space="preserve">, </w:t>
      </w:r>
      <w:r w:rsidR="00011E86" w:rsidRPr="00011E86">
        <w:rPr>
          <w:b/>
        </w:rPr>
        <w:t>SC2.P2</w:t>
      </w:r>
      <w:r w:rsidR="00011E86" w:rsidRPr="00011E86">
        <w:t xml:space="preserve"> Poboljšanje mobilnosti i pristupačnosti</w:t>
      </w:r>
      <w:r w:rsidR="00011E86">
        <w:t xml:space="preserve">, </w:t>
      </w:r>
      <w:r w:rsidR="00011E86" w:rsidRPr="00011E86">
        <w:rPr>
          <w:b/>
        </w:rPr>
        <w:t>SC2.P3</w:t>
      </w:r>
      <w:r w:rsidR="00011E86" w:rsidRPr="00011E86">
        <w:t xml:space="preserve"> Vodna i komunalna infrastruktura</w:t>
      </w:r>
      <w:r w:rsidR="00011E86">
        <w:t xml:space="preserve"> te </w:t>
      </w:r>
      <w:r w:rsidR="00564D80">
        <w:rPr>
          <w:b/>
        </w:rPr>
        <w:t>SC3.</w:t>
      </w:r>
      <w:r w:rsidR="00011E86" w:rsidRPr="00011E86">
        <w:rPr>
          <w:b/>
        </w:rPr>
        <w:t>P3</w:t>
      </w:r>
      <w:r w:rsidR="00011E86" w:rsidRPr="00011E86">
        <w:t xml:space="preserve"> Razvoj održive bio-ekonomije</w:t>
      </w:r>
      <w:r w:rsidR="00011E86">
        <w:t>. P</w:t>
      </w:r>
      <w:r w:rsidR="00CA67D6" w:rsidRPr="007D0565">
        <w:t xml:space="preserve">rilikom pripreme projekta </w:t>
      </w:r>
      <w:r w:rsidR="00011E86">
        <w:t xml:space="preserve">prijavitelji će </w:t>
      </w:r>
      <w:r w:rsidR="00CA67D6" w:rsidRPr="007D0565">
        <w:t xml:space="preserve">morati razmotriti ključne čimbenike održivosti </w:t>
      </w:r>
      <w:r w:rsidR="00011E86">
        <w:t xml:space="preserve">te, prema potrebi i mogućnostima uvesti mjere koje mogu uvećati </w:t>
      </w:r>
      <w:r w:rsidR="00CA67D6" w:rsidRPr="007D0565">
        <w:t xml:space="preserve">pozitivne učinke projekta na okoliš. </w:t>
      </w:r>
      <w:r w:rsidR="00011E86">
        <w:t xml:space="preserve">Mjere trebaju biti prilagođene datoj situaciji, ali generalno se mogu istaknuti teme kao što su zelena javna nabava, klimatski izazovi (otpornost na utjecaje klimatskih promjena i smanjenje emisija), </w:t>
      </w:r>
      <w:r w:rsidR="00564D80">
        <w:t>učinkovitost resursa i načela ze</w:t>
      </w:r>
      <w:r w:rsidR="00011E86">
        <w:t>lenog rasta.</w:t>
      </w:r>
      <w:r w:rsidR="00367264">
        <w:t xml:space="preserve"> U određenim situacijama neke mjere neće biti e</w:t>
      </w:r>
      <w:r w:rsidR="00AF219A">
        <w:t xml:space="preserve">konomski isplative ili izvedive, odnosno jedne će biti korisnije od drugih (npr. </w:t>
      </w:r>
      <w:r w:rsidR="00564D80">
        <w:t xml:space="preserve">u </w:t>
      </w:r>
      <w:r w:rsidR="00AF219A">
        <w:t>određeni</w:t>
      </w:r>
      <w:r w:rsidR="00564D80">
        <w:t>m</w:t>
      </w:r>
      <w:r w:rsidR="00AF219A">
        <w:t xml:space="preserve"> projekti</w:t>
      </w:r>
      <w:r w:rsidR="00564D80">
        <w:t>ma</w:t>
      </w:r>
      <w:r w:rsidR="00AF219A">
        <w:t xml:space="preserve"> glavne koristi mogu se ostvariti kroz povećanje učinkovitosti resursa, a u drugima se </w:t>
      </w:r>
      <w:r w:rsidR="00564D80">
        <w:t>iste mogu</w:t>
      </w:r>
      <w:r w:rsidR="00AF219A">
        <w:t xml:space="preserve"> realizirati kroz načela zelenog rasta) pa će na razini svakog pojedinog projekta pitanje održivosti biti sastavni dio razvoja projekta.</w:t>
      </w:r>
    </w:p>
    <w:p w14:paraId="490EC7F9" w14:textId="77777777" w:rsidR="00124C62" w:rsidRPr="00124C62" w:rsidRDefault="00124C62" w:rsidP="00124C62"/>
    <w:p w14:paraId="29FEF697" w14:textId="77777777" w:rsidR="00A66023" w:rsidRPr="008E2FDA" w:rsidRDefault="00A66023" w:rsidP="008E2FDA"/>
    <w:p w14:paraId="60354EAA" w14:textId="7817C791" w:rsidR="00FB0336" w:rsidRDefault="00FB0336">
      <w:pPr>
        <w:spacing w:before="0" w:after="0"/>
        <w:jc w:val="left"/>
        <w:rPr>
          <w:rFonts w:ascii="Arial" w:hAnsi="Arial" w:cs="Arial"/>
          <w:b/>
          <w:i/>
          <w:noProof/>
        </w:rPr>
      </w:pPr>
      <w:r>
        <w:rPr>
          <w:rFonts w:ascii="Arial" w:hAnsi="Arial" w:cs="Arial"/>
          <w:b/>
          <w:i/>
          <w:noProof/>
        </w:rPr>
        <w:br w:type="page"/>
      </w:r>
    </w:p>
    <w:p w14:paraId="434FF086" w14:textId="77777777" w:rsidR="00FB0336" w:rsidRDefault="00FB0336">
      <w:pPr>
        <w:rPr>
          <w:rFonts w:ascii="Arial" w:hAnsi="Arial" w:cs="Arial"/>
          <w:b/>
          <w:i/>
          <w:noProof/>
        </w:rPr>
      </w:pPr>
    </w:p>
    <w:p w14:paraId="3546C118" w14:textId="10F18C37" w:rsidR="00B40C6F" w:rsidRPr="00B40C6F" w:rsidRDefault="00B40C6F" w:rsidP="001A5F94">
      <w:pPr>
        <w:pStyle w:val="Heading1"/>
        <w:rPr>
          <w:noProof/>
        </w:rPr>
      </w:pPr>
      <w:bookmarkStart w:id="112" w:name="_Toc437390612"/>
      <w:r w:rsidRPr="00B40C6F">
        <w:rPr>
          <w:noProof/>
        </w:rPr>
        <w:t>IZVJEŠĆE O PROVEDENOM POSTUPKU PRETHODNOG VREDNOVANJA - SAŽETAK</w:t>
      </w:r>
      <w:r w:rsidR="008A7D6D">
        <w:rPr>
          <w:rStyle w:val="FootnoteReference"/>
          <w:noProof/>
        </w:rPr>
        <w:footnoteReference w:id="32"/>
      </w:r>
      <w:bookmarkEnd w:id="112"/>
    </w:p>
    <w:p w14:paraId="376C81A7" w14:textId="77777777" w:rsidR="008A7D6D" w:rsidRDefault="008A7D6D" w:rsidP="008A7D6D">
      <w:pPr>
        <w:rPr>
          <w:b/>
        </w:rPr>
      </w:pPr>
    </w:p>
    <w:p w14:paraId="1A47A7FC" w14:textId="77777777" w:rsidR="008A7D6D" w:rsidRPr="008A7D6D" w:rsidRDefault="008A7D6D" w:rsidP="008A7D6D">
      <w:pPr>
        <w:rPr>
          <w:b/>
        </w:rPr>
      </w:pPr>
      <w:r w:rsidRPr="008A7D6D">
        <w:rPr>
          <w:b/>
        </w:rPr>
        <w:t xml:space="preserve">Uvod </w:t>
      </w:r>
    </w:p>
    <w:p w14:paraId="4A042A1D" w14:textId="77777777" w:rsidR="008A7D6D" w:rsidRPr="008A7D6D" w:rsidRDefault="008A7D6D" w:rsidP="008A7D6D">
      <w:r w:rsidRPr="008A7D6D">
        <w:t xml:space="preserve">Proces prethodnog vrednovanja Strategije razvoja većeg urbanog područja Karlovac 2019. – 2027. (SRUPKA) započeo je u kolovozu 2019. godine, provođen je sukladno Zakonu o regionalnom razvoju Republike Hrvatske (ZRR) (NN 147/14, 123/17, 118/18), Pravilniku o postupku i metodologiji vrednovanja politike regionalnoga razvoja (NN 121/15) i Smjernicama za izradu strategije razvoja urbanih područja, praćenje njihove provedbe i vrednovanje (MRRFEU, Verzija 1.0, rujan 2015.). </w:t>
      </w:r>
    </w:p>
    <w:p w14:paraId="1CD083E3" w14:textId="77777777" w:rsidR="008A7D6D" w:rsidRPr="008A7D6D" w:rsidRDefault="008A7D6D" w:rsidP="008A7D6D">
      <w:r w:rsidRPr="008A7D6D">
        <w:t xml:space="preserve">U skladu s navedenim aktima, prethodno se vrednovanje provodi tijekom svih faza izrade strategije razvoja, a završava prije njenog usvajanja. </w:t>
      </w:r>
    </w:p>
    <w:p w14:paraId="06605DC8" w14:textId="77777777" w:rsidR="008A7D6D" w:rsidRPr="008A7D6D" w:rsidRDefault="008A7D6D" w:rsidP="008A7D6D">
      <w:r w:rsidRPr="008A7D6D">
        <w:t xml:space="preserve">Svrha prethodnog vrednovanja razvojnih strategija, kao temeljnog planskog dokumenta politike razvoja većeg urbanog područja, je poboljšati kvalitetu postupaka izrade i konačnog sadržaja strategije. </w:t>
      </w:r>
    </w:p>
    <w:p w14:paraId="0EBE5917" w14:textId="77777777" w:rsidR="008A7D6D" w:rsidRDefault="008A7D6D" w:rsidP="008A7D6D">
      <w:pPr>
        <w:rPr>
          <w:b/>
        </w:rPr>
      </w:pPr>
    </w:p>
    <w:p w14:paraId="0F317C4A" w14:textId="77777777" w:rsidR="008A7D6D" w:rsidRPr="008A7D6D" w:rsidRDefault="008A7D6D" w:rsidP="008A7D6D">
      <w:pPr>
        <w:rPr>
          <w:b/>
        </w:rPr>
      </w:pPr>
      <w:r w:rsidRPr="008A7D6D">
        <w:rPr>
          <w:b/>
        </w:rPr>
        <w:t xml:space="preserve">Tijek procesa prethodnog vrednovanja </w:t>
      </w:r>
    </w:p>
    <w:p w14:paraId="7879DADA" w14:textId="77777777" w:rsidR="008A7D6D" w:rsidRPr="008A7D6D" w:rsidRDefault="008A7D6D" w:rsidP="008A7D6D">
      <w:r w:rsidRPr="008A7D6D">
        <w:t xml:space="preserve">Evaluacija Strategija obuhvaća sljedeće: </w:t>
      </w:r>
    </w:p>
    <w:p w14:paraId="75CDD155" w14:textId="77777777" w:rsidR="008A7D6D" w:rsidRPr="008A7D6D" w:rsidRDefault="008A7D6D" w:rsidP="008A7D6D">
      <w:pPr>
        <w:pStyle w:val="ListParagraph"/>
        <w:numPr>
          <w:ilvl w:val="0"/>
          <w:numId w:val="50"/>
        </w:numPr>
      </w:pPr>
      <w:r w:rsidRPr="008A7D6D">
        <w:t>Prethodno vrednovanje analitičkog dijela (Analiza stanja);  </w:t>
      </w:r>
    </w:p>
    <w:p w14:paraId="73E498B2" w14:textId="77777777" w:rsidR="008A7D6D" w:rsidRPr="008A7D6D" w:rsidRDefault="008A7D6D" w:rsidP="008A7D6D">
      <w:pPr>
        <w:pStyle w:val="ListParagraph"/>
        <w:numPr>
          <w:ilvl w:val="0"/>
          <w:numId w:val="50"/>
        </w:numPr>
      </w:pPr>
      <w:r w:rsidRPr="008A7D6D">
        <w:t>Prethodno vrednovanje SWOT analize i strateških odrednica;  </w:t>
      </w:r>
    </w:p>
    <w:p w14:paraId="23C2D762" w14:textId="77777777" w:rsidR="008A7D6D" w:rsidRPr="008A7D6D" w:rsidRDefault="008A7D6D" w:rsidP="008A7D6D">
      <w:pPr>
        <w:pStyle w:val="ListParagraph"/>
        <w:numPr>
          <w:ilvl w:val="0"/>
          <w:numId w:val="50"/>
        </w:numPr>
      </w:pPr>
      <w:r w:rsidRPr="008A7D6D">
        <w:t>Završno prethodno vrednovanje cjelokupnog dokumenta Strategije.  </w:t>
      </w:r>
    </w:p>
    <w:p w14:paraId="04CD81AE" w14:textId="77777777" w:rsidR="008A7D6D" w:rsidRPr="008A7D6D" w:rsidRDefault="008A7D6D" w:rsidP="008A7D6D">
      <w:r w:rsidRPr="008A7D6D">
        <w:t xml:space="preserve">Do ovog konačnog Izvješća naručitelju su isporučena dva privremena izvješća. </w:t>
      </w:r>
    </w:p>
    <w:p w14:paraId="5AF490BA" w14:textId="77777777" w:rsidR="008A7D6D" w:rsidRPr="008A7D6D" w:rsidRDefault="008A7D6D" w:rsidP="008A7D6D">
      <w:r w:rsidRPr="008A7D6D">
        <w:t xml:space="preserve">U postupku prethodnog vrednovanja, izrađivačima Strategije dostavljene su primjedbe i prijedlozi u cilju postizanja metodološke utemeljenosti, opravdanosti izrade Strategije, relevantnosti pokazatelja te konzistentnosti i koherentnosti ciljeva, prioriteta i mjera. </w:t>
      </w:r>
    </w:p>
    <w:p w14:paraId="73612953" w14:textId="77777777" w:rsidR="008A7D6D" w:rsidRPr="008A7D6D" w:rsidRDefault="008A7D6D" w:rsidP="008A7D6D">
      <w:r w:rsidRPr="008A7D6D">
        <w:t xml:space="preserve">U toku evaluacijskog procesa održani su sastanci s predstavnicima gradova na čijem području se nalazi VUPKA (Karlovac, Ozalj i Duga Resa) i s izrađivačima Strategije. </w:t>
      </w:r>
    </w:p>
    <w:p w14:paraId="717B5BB9" w14:textId="77777777" w:rsidR="008A7D6D" w:rsidRPr="008A7D6D" w:rsidRDefault="008A7D6D" w:rsidP="008A7D6D">
      <w:r w:rsidRPr="008A7D6D">
        <w:t xml:space="preserve">Osnovne primjedbe </w:t>
      </w:r>
      <w:r w:rsidRPr="008A7D6D">
        <w:rPr>
          <w:b/>
        </w:rPr>
        <w:t>prve evaluacije</w:t>
      </w:r>
      <w:r w:rsidRPr="008A7D6D">
        <w:t xml:space="preserve"> koja je obuhvaćala analizu stanja odnosile su se na uvažavanje zahtjeva i uputa navedenih u Smjernicama za izradu županijskih razvojnih strategija, prućenje i vrednovanje njihove provedbe. Primjerice, uočeno je kako je analizom stanja izostavljena analiza nekih područja predviđenih Smjernicama, dok je s druge strane uključena analiza nekih područja koja nisu definirana Smjernicama. </w:t>
      </w:r>
    </w:p>
    <w:p w14:paraId="247AAABD" w14:textId="77777777" w:rsidR="008A7D6D" w:rsidRPr="008A7D6D" w:rsidRDefault="008A7D6D" w:rsidP="008A7D6D">
      <w:r w:rsidRPr="008A7D6D">
        <w:t xml:space="preserve">Uočena je i potreba za poboljšanjem preglednosti podataka u grafičkim prikazima (oznake osi na grafikonima, navođenje izvora podataka). </w:t>
      </w:r>
    </w:p>
    <w:p w14:paraId="10F4E91C" w14:textId="77777777" w:rsidR="008A7D6D" w:rsidRPr="008A7D6D" w:rsidRDefault="008A7D6D" w:rsidP="008A7D6D">
      <w:r w:rsidRPr="008A7D6D">
        <w:t xml:space="preserve">Također, pregledom dostavljene verzije strategije, uočeno je kako analiza svakog ključnog društveno-gospodarskog područja ne završava zaključcima kojima se iskazuju pozitivna i negativna obilježja, </w:t>
      </w:r>
      <w:r w:rsidRPr="008A7D6D">
        <w:lastRenderedPageBreak/>
        <w:t xml:space="preserve">odnosno razvojni problemi i potrebe VUPKA-e u pojedinom području te preporuke za sljedeće razdoblje. </w:t>
      </w:r>
    </w:p>
    <w:p w14:paraId="1E9F7F7C" w14:textId="77777777" w:rsidR="008A7D6D" w:rsidRPr="008A7D6D" w:rsidRDefault="008A7D6D" w:rsidP="008A7D6D">
      <w:r w:rsidRPr="008A7D6D">
        <w:t xml:space="preserve">Konačno, izvješće je prepoznalo poštivanje partnerskog pristupa, kao i uključenost lokalnih dionika u izradu analize stanja. </w:t>
      </w:r>
    </w:p>
    <w:p w14:paraId="67EA873E" w14:textId="77777777" w:rsidR="008A7D6D" w:rsidRPr="008A7D6D" w:rsidRDefault="008A7D6D" w:rsidP="008A7D6D">
      <w:r w:rsidRPr="008A7D6D">
        <w:t xml:space="preserve">U okviru </w:t>
      </w:r>
      <w:r w:rsidRPr="008A7D6D">
        <w:rPr>
          <w:b/>
        </w:rPr>
        <w:t>druge evaluacije</w:t>
      </w:r>
      <w:r w:rsidRPr="008A7D6D">
        <w:t xml:space="preserve"> koja je obuhvaćala definiranje vizije, strateških ciljeva, prioriteta i mjera, odabira strateških projekata, analizu predloženih indikatora, kvalitetu predloženih </w:t>
      </w:r>
    </w:p>
    <w:p w14:paraId="2B535581" w14:textId="77777777" w:rsidR="008A7D6D" w:rsidRPr="008A7D6D" w:rsidRDefault="008A7D6D" w:rsidP="008A7D6D">
      <w:r w:rsidRPr="008A7D6D">
        <w:t xml:space="preserve">implementacijskih procedura kao te koherentnost strategije s nadređenim strateškim dokumentima, ponovno su propitivani svi bitni elementi Strategije. </w:t>
      </w:r>
    </w:p>
    <w:p w14:paraId="3703F2A2" w14:textId="77777777" w:rsidR="008A7D6D" w:rsidRPr="008A7D6D" w:rsidRDefault="008A7D6D" w:rsidP="008A7D6D">
      <w:r w:rsidRPr="008A7D6D">
        <w:t xml:space="preserve">Kao rezultat uvažavanja primjedbi i prijedloga iz prvog evaluacijskog izvješća, u izradi Strategije napravljen je znatni kvalitativni pomak. U cilju daljnjeg napretka i kvalitativnih pomaka izrade Strategije, u okviru druge evaluacije date su načelne preporuke, a koje su usmjerene na dodatnu razradu ciljeva u odnosu na analizu stanja i SWOT analizu te razradu usklađenosti ciljeva i prioriteta s ključnim nacionalnim, regionalnim i lokalnim strateškim dokumentima kao i potrebu dorade opisa načina podjele i organizacije mjera unutar pojedinog prioriteta. </w:t>
      </w:r>
    </w:p>
    <w:p w14:paraId="72BF4C34" w14:textId="77777777" w:rsidR="008A7D6D" w:rsidRDefault="008A7D6D" w:rsidP="008A7D6D">
      <w:pPr>
        <w:rPr>
          <w:b/>
        </w:rPr>
      </w:pPr>
    </w:p>
    <w:p w14:paraId="2D7FF03E" w14:textId="77777777" w:rsidR="008A7D6D" w:rsidRPr="008A7D6D" w:rsidRDefault="008A7D6D" w:rsidP="008A7D6D">
      <w:pPr>
        <w:rPr>
          <w:b/>
        </w:rPr>
      </w:pPr>
      <w:r w:rsidRPr="008A7D6D">
        <w:rPr>
          <w:b/>
        </w:rPr>
        <w:t xml:space="preserve">Vrednovanje konačne verzije nacrta Strategije razvoja većeg urbanog područja Karlovac 2019. – 2027. </w:t>
      </w:r>
    </w:p>
    <w:p w14:paraId="203047A0" w14:textId="77777777" w:rsidR="008A7D6D" w:rsidRPr="008A7D6D" w:rsidRDefault="008A7D6D" w:rsidP="008A7D6D">
      <w:r w:rsidRPr="008A7D6D">
        <w:t xml:space="preserve">Primjedbe i sugestije iz prve i druge evaluacije uvažene su prilikom izrade konačne verzije dokumenta Strategije. </w:t>
      </w:r>
    </w:p>
    <w:p w14:paraId="77389B70" w14:textId="77777777" w:rsidR="008A7D6D" w:rsidRPr="008A7D6D" w:rsidRDefault="008A7D6D" w:rsidP="008A7D6D">
      <w:r w:rsidRPr="008A7D6D">
        <w:t xml:space="preserve">Iz Sažetka Analize stanja mogu se uočiti osnovna obilježja razvojnih procesa i razvojnih tendencija Većeg urbanog područja Karlovac, kao i buduće razvojne smjernice. </w:t>
      </w:r>
    </w:p>
    <w:p w14:paraId="51B0217B" w14:textId="77777777" w:rsidR="008A7D6D" w:rsidRPr="008A7D6D" w:rsidRDefault="008A7D6D" w:rsidP="008A7D6D">
      <w:r w:rsidRPr="008A7D6D">
        <w:t xml:space="preserve">Detektirani su najznačajniji razvojni problemi i ukazano je na nedovoljnu iskorištenost potencijala VUPKA. </w:t>
      </w:r>
    </w:p>
    <w:p w14:paraId="6D014705" w14:textId="77777777" w:rsidR="008A7D6D" w:rsidRPr="008A7D6D" w:rsidRDefault="008A7D6D" w:rsidP="008A7D6D">
      <w:r w:rsidRPr="008A7D6D">
        <w:t xml:space="preserve">Budući razvoj VUPKA definiran je kroz prijedlog vizije te strateške ciljeve, prioritete i mjere. SWOT analiza u konačnoj verziji predstavlja logičnu poveznicu između nalaza dobivenih Analizom stanja i postavljenih razvojnih ciljeva. Mjere su oblikovane kao pojedine aktivnosti čija je realizacija i operacionalizacija predviđena Akcijskim planom provedbe Strategije. </w:t>
      </w:r>
    </w:p>
    <w:p w14:paraId="650E74C3" w14:textId="77777777" w:rsidR="008A7D6D" w:rsidRPr="008A7D6D" w:rsidRDefault="008A7D6D" w:rsidP="008A7D6D">
      <w:r w:rsidRPr="008A7D6D">
        <w:t xml:space="preserve">Upravni odjel za graditeljstvo i okoliš, Odsjek za planske poslove i zaštitu okoliša Karlovačke županije 10. listopada 2019. donio je mišljenje o potrebi provedbe postupka strateške procjene, KLASA 351-03/19-01/14, URR 2133/1-07-01/01-19-04 kojim se utvrđuje da za Strategiju razvoja većeg urbanog područja Karlovac </w:t>
      </w:r>
      <w:r w:rsidRPr="008A7D6D">
        <w:rPr>
          <w:b/>
        </w:rPr>
        <w:t>nije potrebno provesti postupak strateške procjene utjecaja na okoliš</w:t>
      </w:r>
      <w:r w:rsidRPr="008A7D6D">
        <w:t xml:space="preserve">. </w:t>
      </w:r>
    </w:p>
    <w:p w14:paraId="76A2570B" w14:textId="77777777" w:rsidR="008A7D6D" w:rsidRPr="008A7D6D" w:rsidRDefault="008A7D6D" w:rsidP="008A7D6D">
      <w:r w:rsidRPr="008A7D6D">
        <w:t xml:space="preserve">Temeljem provedenog postupka evaluacije, konačna je ocjena da Strategije razvoja većeg urbanog područja Karlovac 2019. – 2027 zadovoljava minimalne kriterije metodološke utemeljenosti, opravdanosti izrade Strategije, relevantnosti pokazatelja, te konzistentnosti i koherentnosti ciljeva, prioriteta i mjera. </w:t>
      </w:r>
    </w:p>
    <w:p w14:paraId="2FDB64FF" w14:textId="77777777" w:rsidR="008A7D6D" w:rsidRDefault="008A7D6D" w:rsidP="008A7D6D">
      <w:pPr>
        <w:rPr>
          <w:b/>
        </w:rPr>
      </w:pPr>
    </w:p>
    <w:p w14:paraId="4CF24B03" w14:textId="77777777" w:rsidR="008A7D6D" w:rsidRPr="008A7D6D" w:rsidRDefault="008A7D6D" w:rsidP="008A7D6D">
      <w:pPr>
        <w:rPr>
          <w:b/>
        </w:rPr>
      </w:pPr>
      <w:r w:rsidRPr="008A7D6D">
        <w:rPr>
          <w:b/>
        </w:rPr>
        <w:t xml:space="preserve">Zaključak </w:t>
      </w:r>
    </w:p>
    <w:p w14:paraId="0634A269" w14:textId="77777777" w:rsidR="008A7D6D" w:rsidRPr="008A7D6D" w:rsidRDefault="008A7D6D" w:rsidP="008A7D6D">
      <w:r w:rsidRPr="008A7D6D">
        <w:t xml:space="preserve">Na temelju cjelokupnog procesa prethodnog vrednovanja, te provedenog vrednovanja konačnog prijedloga nacrta razvojne strategije i konačne ocjene preporuča se usvojiti predloženi nacrt Razvojne strategije većeg urbanog područja Karlovac 2021. – 2027. te početi provoditi Akcijski plan. </w:t>
      </w:r>
    </w:p>
    <w:p w14:paraId="6E99CF12" w14:textId="39FA6B9E" w:rsidR="008A7D6D" w:rsidRDefault="008A7D6D">
      <w:pPr>
        <w:spacing w:before="0" w:after="0"/>
        <w:jc w:val="left"/>
      </w:pPr>
      <w:r>
        <w:br w:type="page"/>
      </w:r>
    </w:p>
    <w:p w14:paraId="56FF5B72" w14:textId="77777777" w:rsidR="00B40C6F" w:rsidRPr="008A7D6D" w:rsidRDefault="00B40C6F" w:rsidP="008A7D6D"/>
    <w:p w14:paraId="1DA9D75C" w14:textId="57DD002C" w:rsidR="00B40C6F" w:rsidRPr="00B40C6F" w:rsidRDefault="00B40C6F" w:rsidP="001A5F94">
      <w:pPr>
        <w:pStyle w:val="Heading1"/>
        <w:rPr>
          <w:noProof/>
        </w:rPr>
      </w:pPr>
      <w:bookmarkStart w:id="113" w:name="_Toc437390613"/>
      <w:r w:rsidRPr="00B40C6F">
        <w:rPr>
          <w:noProof/>
        </w:rPr>
        <w:t xml:space="preserve">IZVJEŠĆE O </w:t>
      </w:r>
      <w:r w:rsidR="001E1257">
        <w:rPr>
          <w:noProof/>
        </w:rPr>
        <w:t>S</w:t>
      </w:r>
      <w:r w:rsidRPr="00B40C6F">
        <w:rPr>
          <w:noProof/>
        </w:rPr>
        <w:t>TRATEŠKOJ PROCJENI UTJECAJA NA OKOLIŠ</w:t>
      </w:r>
      <w:r w:rsidR="00880DC5">
        <w:rPr>
          <w:noProof/>
        </w:rPr>
        <w:t xml:space="preserve"> - SAŽETAK</w:t>
      </w:r>
      <w:bookmarkEnd w:id="113"/>
      <w:r w:rsidRPr="00B40C6F">
        <w:rPr>
          <w:noProof/>
        </w:rPr>
        <w:t xml:space="preserve"> </w:t>
      </w:r>
    </w:p>
    <w:p w14:paraId="32116E6A" w14:textId="1981DF50" w:rsidR="00960F7A" w:rsidRPr="00960F7A" w:rsidRDefault="00960F7A" w:rsidP="00960F7A">
      <w:r w:rsidRPr="00960F7A">
        <w:t xml:space="preserve">Postupak izrade Strategije pokrenut je temeljem </w:t>
      </w:r>
      <w:r>
        <w:t>Odluke</w:t>
      </w:r>
      <w:r w:rsidR="00564D80">
        <w:t xml:space="preserve"> o izradi Strategije razvoja V</w:t>
      </w:r>
      <w:r>
        <w:t>ećeg urbanog</w:t>
      </w:r>
      <w:r w:rsidRPr="00960F7A">
        <w:t xml:space="preserve"> područja </w:t>
      </w:r>
      <w:r>
        <w:t>Karlovac</w:t>
      </w:r>
      <w:r w:rsidRPr="00960F7A">
        <w:t xml:space="preserve"> (KLASA: </w:t>
      </w:r>
      <w:r w:rsidR="000254B0">
        <w:t>406-02/19-05/05</w:t>
      </w:r>
      <w:r w:rsidRPr="00960F7A">
        <w:t xml:space="preserve">, URBROJ: </w:t>
      </w:r>
      <w:r>
        <w:t>2133/</w:t>
      </w:r>
      <w:r w:rsidR="000254B0">
        <w:t>0</w:t>
      </w:r>
      <w:r>
        <w:t>1-</w:t>
      </w:r>
      <w:r w:rsidR="000254B0">
        <w:t>12/04-19-7</w:t>
      </w:r>
      <w:r w:rsidRPr="00960F7A">
        <w:t xml:space="preserve"> od </w:t>
      </w:r>
      <w:r w:rsidR="000254B0">
        <w:t>11. ožujka 2019</w:t>
      </w:r>
      <w:r w:rsidRPr="00960F7A">
        <w:t>.). Nositelj izrade Strategije i tijelo nadležno za provođenje postupka ocjene o potrebi strateške procjene utjecaja na okol</w:t>
      </w:r>
      <w:r w:rsidR="00A313AF">
        <w:t>iš</w:t>
      </w:r>
      <w:r w:rsidRPr="00960F7A">
        <w:t xml:space="preserve"> Strategije je Grad </w:t>
      </w:r>
      <w:r w:rsidR="000254B0">
        <w:t>Karlovac</w:t>
      </w:r>
      <w:r w:rsidRPr="00960F7A">
        <w:t xml:space="preserve">. </w:t>
      </w:r>
    </w:p>
    <w:p w14:paraId="2A9EC15E" w14:textId="20E39223" w:rsidR="003B1A08" w:rsidRDefault="000254B0" w:rsidP="00960F7A">
      <w:r>
        <w:t>S</w:t>
      </w:r>
      <w:r w:rsidR="00960F7A" w:rsidRPr="00960F7A">
        <w:t>ukladno čl. 66. st 1. Zakona o zaštiti okoliša</w:t>
      </w:r>
      <w:r>
        <w:t xml:space="preserve"> </w:t>
      </w:r>
      <w:r w:rsidR="00C22360">
        <w:t>(NN</w:t>
      </w:r>
      <w:r>
        <w:t xml:space="preserve"> 80/13, </w:t>
      </w:r>
      <w:r w:rsidR="00960F7A" w:rsidRPr="00960F7A">
        <w:t>78/15</w:t>
      </w:r>
      <w:r>
        <w:t>, 12/18 i 118/18</w:t>
      </w:r>
      <w:r w:rsidR="00960F7A" w:rsidRPr="00960F7A">
        <w:t xml:space="preserve">), od nadležnog Upravnog odjela za </w:t>
      </w:r>
      <w:r>
        <w:t>graditeljstvo i okoliš Karlovačke</w:t>
      </w:r>
      <w:r w:rsidR="003B1A08">
        <w:t xml:space="preserve"> županije</w:t>
      </w:r>
      <w:r w:rsidR="00960F7A" w:rsidRPr="00960F7A">
        <w:t xml:space="preserve"> zatraženo je mišljenje vezano za potrebu provedbe postupka ocjene o potrebi strateške procjene ili strateške procjene utjecaja </w:t>
      </w:r>
      <w:r w:rsidR="00A313AF">
        <w:t xml:space="preserve">strategije </w:t>
      </w:r>
      <w:r w:rsidR="00960F7A" w:rsidRPr="00960F7A">
        <w:t>na okoliš</w:t>
      </w:r>
      <w:r w:rsidR="00A313AF">
        <w:t xml:space="preserve"> (KLASA: 302-02/19-04/01, URBROJ: 2133/01-13/07-19-10 od 7. svibnja 2019.)</w:t>
      </w:r>
      <w:r w:rsidR="00960F7A" w:rsidRPr="00960F7A">
        <w:t xml:space="preserve">. </w:t>
      </w:r>
      <w:r w:rsidR="003B1A08">
        <w:t>Također, Grad Karlovac podnio je istom upravnom tijelu zahtjev za provedbu postupka prethodne ocijene prihvatljivosti za ekološku mrežu (KLASA 302-02/19-04/01, URBR</w:t>
      </w:r>
      <w:r w:rsidR="00A313AF">
        <w:t>OJ:</w:t>
      </w:r>
      <w:r w:rsidR="003B1A08">
        <w:t xml:space="preserve"> 2133/01-13/07-19-16 od 27.</w:t>
      </w:r>
      <w:r w:rsidR="00A313AF">
        <w:t xml:space="preserve"> svibnja </w:t>
      </w:r>
      <w:r w:rsidR="003B1A08">
        <w:t>2019.), temeljem članka 26. stavka 2. Zakona o zaštiti prirode</w:t>
      </w:r>
      <w:r w:rsidR="00C22360">
        <w:t xml:space="preserve"> </w:t>
      </w:r>
      <w:r w:rsidR="00C22360" w:rsidRPr="00C22360">
        <w:t>(NN RH 80/13, 15/18 i 14/19</w:t>
      </w:r>
      <w:r w:rsidR="00C22360">
        <w:t>)</w:t>
      </w:r>
      <w:r w:rsidR="003B1A08">
        <w:t>.</w:t>
      </w:r>
    </w:p>
    <w:p w14:paraId="0EECC910" w14:textId="4A4462A1" w:rsidR="00C22360" w:rsidRDefault="003B1A08" w:rsidP="00960F7A">
      <w:r>
        <w:t xml:space="preserve">Na osnovu </w:t>
      </w:r>
      <w:r w:rsidR="00C22360">
        <w:t xml:space="preserve">ponovljenog </w:t>
      </w:r>
      <w:r w:rsidR="00A313AF">
        <w:t xml:space="preserve">i nadopunjenog </w:t>
      </w:r>
      <w:r w:rsidR="00C22360">
        <w:t>zahtjeva (KLASA 302-02/19-04/01, URBR</w:t>
      </w:r>
      <w:r w:rsidR="00A313AF">
        <w:t>OJ:</w:t>
      </w:r>
      <w:r w:rsidR="00C22360">
        <w:t xml:space="preserve"> 2133/01-13-01/01-19-24 od 03. </w:t>
      </w:r>
      <w:r w:rsidR="00A313AF">
        <w:t>listopada</w:t>
      </w:r>
      <w:r w:rsidR="00C22360">
        <w:t xml:space="preserve"> 2019.), Odsjek za planske poslove i zaštitu okoliša </w:t>
      </w:r>
      <w:r w:rsidR="00A313AF">
        <w:t xml:space="preserve">unutar Upravnog odjela za graditeljstvo i okoliš </w:t>
      </w:r>
      <w:r w:rsidR="00C22360">
        <w:t>Karlovačke županije donio je ponovljeno mišljenje o potrebi provedbe postupka strateške procjene</w:t>
      </w:r>
      <w:r w:rsidR="00A313AF">
        <w:t xml:space="preserve"> (KLASA 351-03/19-01/14, URBROJ:</w:t>
      </w:r>
      <w:r w:rsidR="00C22360">
        <w:t xml:space="preserve"> 2133/1-07-01/01-19-04 od 10. listopada 2019.</w:t>
      </w:r>
      <w:r w:rsidR="00A313AF">
        <w:t>),</w:t>
      </w:r>
      <w:r w:rsidR="00C22360">
        <w:t xml:space="preserve"> kojim se utvrđuje da </w:t>
      </w:r>
      <w:r w:rsidR="00A313AF">
        <w:rPr>
          <w:b/>
        </w:rPr>
        <w:t>za Strategiju razvoja V</w:t>
      </w:r>
      <w:r w:rsidR="00C22360" w:rsidRPr="00C22360">
        <w:rPr>
          <w:b/>
        </w:rPr>
        <w:t>ećeg urbanog područja Karlovac nije potrebno provesti postupak strateške procjene utjecaja na okoliš</w:t>
      </w:r>
      <w:r w:rsidR="00C22360">
        <w:t>.</w:t>
      </w:r>
    </w:p>
    <w:p w14:paraId="4D63BA9D" w14:textId="55AF5640" w:rsidR="00C22360" w:rsidRPr="00D551BD" w:rsidRDefault="00C22360" w:rsidP="00D551BD">
      <w:r>
        <w:t xml:space="preserve">U postupku prethodne ocjene prihvatljivosti za ekološku mrežu, </w:t>
      </w:r>
      <w:r w:rsidR="00A313AF">
        <w:t>Odsjek za planske polsove i zaštitu okoliša unutar Upravnog odjela za graditeljstvo i okoliš Karlovačke županije je</w:t>
      </w:r>
      <w:r w:rsidRPr="00C22360">
        <w:t>, temeljem odredbe članka 48. stavka 5., 7. i 8. Zakona o zaštiti prirode</w:t>
      </w:r>
      <w:r>
        <w:t xml:space="preserve"> doni</w:t>
      </w:r>
      <w:r w:rsidR="00D551BD">
        <w:t xml:space="preserve">o </w:t>
      </w:r>
      <w:r w:rsidR="00A313AF">
        <w:t>R</w:t>
      </w:r>
      <w:r w:rsidR="00D551BD">
        <w:t>ješenje (</w:t>
      </w:r>
      <w:r w:rsidR="00D551BD" w:rsidRPr="00D551BD">
        <w:t>KLASA: UP/I-612-07/19-01/33</w:t>
      </w:r>
      <w:r w:rsidR="00D551BD">
        <w:t xml:space="preserve">, </w:t>
      </w:r>
      <w:r w:rsidR="00D551BD" w:rsidRPr="00D551BD">
        <w:t>URBROJ: 2133/1-07-01/01-19-06</w:t>
      </w:r>
      <w:r w:rsidR="00D551BD">
        <w:t xml:space="preserve"> od </w:t>
      </w:r>
      <w:r w:rsidR="00D551BD" w:rsidRPr="00D551BD">
        <w:t>17. listopada 2019.</w:t>
      </w:r>
      <w:r w:rsidR="00D551BD">
        <w:t xml:space="preserve">) kojim se utvrđuje da </w:t>
      </w:r>
      <w:r w:rsidR="00D551BD" w:rsidRPr="00D551BD">
        <w:rPr>
          <w:b/>
        </w:rPr>
        <w:t xml:space="preserve">je Strategija </w:t>
      </w:r>
      <w:r w:rsidR="00A313AF">
        <w:rPr>
          <w:b/>
        </w:rPr>
        <w:t>razvoja V</w:t>
      </w:r>
      <w:r w:rsidR="00D551BD" w:rsidRPr="00D551BD">
        <w:rPr>
          <w:b/>
        </w:rPr>
        <w:t xml:space="preserve">ećeg urbanog područja Karlovac 2019. – 2027. </w:t>
      </w:r>
      <w:r w:rsidR="00D551BD">
        <w:rPr>
          <w:b/>
        </w:rPr>
        <w:t>prihvatljiva</w:t>
      </w:r>
      <w:r w:rsidR="00D551BD" w:rsidRPr="00D551BD">
        <w:rPr>
          <w:b/>
        </w:rPr>
        <w:t xml:space="preserve"> za ekološku mrežu</w:t>
      </w:r>
      <w:r w:rsidR="00D551BD">
        <w:rPr>
          <w:b/>
        </w:rPr>
        <w:t xml:space="preserve"> te </w:t>
      </w:r>
      <w:r w:rsidR="00745A40">
        <w:rPr>
          <w:b/>
        </w:rPr>
        <w:t>utvdio slijedeće uvjete</w:t>
      </w:r>
      <w:r w:rsidR="00D551BD">
        <w:rPr>
          <w:b/>
        </w:rPr>
        <w:t xml:space="preserve"> zaštite prirode:</w:t>
      </w:r>
    </w:p>
    <w:p w14:paraId="697B3B7B" w14:textId="77777777" w:rsidR="00C22360" w:rsidRPr="00D551BD" w:rsidRDefault="00C22360" w:rsidP="00D551BD">
      <w:pPr>
        <w:pStyle w:val="ListParagraph"/>
        <w:numPr>
          <w:ilvl w:val="0"/>
          <w:numId w:val="48"/>
        </w:numPr>
        <w:rPr>
          <w:b/>
        </w:rPr>
      </w:pPr>
      <w:r w:rsidRPr="00D551BD">
        <w:rPr>
          <w:b/>
        </w:rPr>
        <w:t>Uređenje kupališta na rijekama Mrežnici, Kupi i Korani planirati na način da se minimalno uklanja postojeća obalna i vodena vegetacija, po mogućnosti uz korištenje drvenih konstrukcija za pristup rijeci umjesto betonskih materijala, kamenih obloga i sličnih materijala.</w:t>
      </w:r>
    </w:p>
    <w:p w14:paraId="37A5DFFC" w14:textId="77777777" w:rsidR="00C22360" w:rsidRPr="00D551BD" w:rsidRDefault="00C22360" w:rsidP="00D551BD">
      <w:pPr>
        <w:pStyle w:val="ListParagraph"/>
        <w:numPr>
          <w:ilvl w:val="0"/>
          <w:numId w:val="48"/>
        </w:numPr>
        <w:rPr>
          <w:b/>
        </w:rPr>
      </w:pPr>
      <w:r w:rsidRPr="00D551BD">
        <w:rPr>
          <w:b/>
        </w:rPr>
        <w:t>Uređenje parkova, biciklističkih i pješačkih staza, šetnica i turističkih ruta planirati na način da se ostavi netaknutom vegetacija i obalna zona uz same obale rijeka Mrežnice, Kupe i Korane te u najvećoj mogućoj mjeri izvan područja rasprostranjenosti ugroženih i rijetkih stanišnih tipova.</w:t>
      </w:r>
    </w:p>
    <w:p w14:paraId="7A3F324F" w14:textId="5CED95D1" w:rsidR="00C22360" w:rsidRDefault="00D551BD" w:rsidP="00960F7A">
      <w:r>
        <w:t xml:space="preserve"> Mišljenje o potrebi provedbe postupka strateške procjene i Rješenje o prihvatljivosti za ekološku mrežu objavljeni su na </w:t>
      </w:r>
      <w:r w:rsidR="00745A40">
        <w:t xml:space="preserve">internetskim </w:t>
      </w:r>
      <w:r>
        <w:t>stranicama Karlovačke županije.</w:t>
      </w:r>
    </w:p>
    <w:p w14:paraId="657A0B64" w14:textId="77777777" w:rsidR="00C22360" w:rsidRDefault="00C22360" w:rsidP="00960F7A"/>
    <w:p w14:paraId="78CCA9EA" w14:textId="75FC2D29" w:rsidR="00960F7A" w:rsidRDefault="00960F7A">
      <w:pPr>
        <w:spacing w:before="0" w:after="0"/>
        <w:jc w:val="left"/>
      </w:pPr>
      <w:r>
        <w:br w:type="page"/>
      </w:r>
    </w:p>
    <w:p w14:paraId="665D6CB6" w14:textId="77777777" w:rsidR="00B40C6F" w:rsidRPr="00960F7A" w:rsidRDefault="00B40C6F" w:rsidP="00960F7A"/>
    <w:p w14:paraId="5E9F6B45" w14:textId="77777777" w:rsidR="00A66023" w:rsidRPr="00DA239E" w:rsidRDefault="00A66023" w:rsidP="000440AF">
      <w:pPr>
        <w:jc w:val="center"/>
        <w:rPr>
          <w:rFonts w:ascii="Arial" w:hAnsi="Arial" w:cs="Arial"/>
          <w:b/>
          <w:i/>
          <w:noProof/>
        </w:rPr>
      </w:pPr>
      <w:r w:rsidRPr="00DA239E">
        <w:rPr>
          <w:rFonts w:ascii="Arial" w:hAnsi="Arial" w:cs="Arial"/>
          <w:b/>
          <w:i/>
          <w:noProof/>
        </w:rPr>
        <w:t>****</w:t>
      </w:r>
    </w:p>
    <w:p w14:paraId="24E31A3F" w14:textId="77777777" w:rsidR="00A66023" w:rsidRPr="00DA239E" w:rsidRDefault="000D436F" w:rsidP="001A5F94">
      <w:pPr>
        <w:pStyle w:val="Heading1"/>
        <w:rPr>
          <w:noProof/>
        </w:rPr>
      </w:pPr>
      <w:bookmarkStart w:id="114" w:name="_Toc437390614"/>
      <w:bookmarkStart w:id="115" w:name="_GoBack"/>
      <w:bookmarkEnd w:id="115"/>
      <w:r w:rsidRPr="00DA239E">
        <w:rPr>
          <w:noProof/>
        </w:rPr>
        <w:t>PRILOZI</w:t>
      </w:r>
      <w:bookmarkEnd w:id="114"/>
    </w:p>
    <w:p w14:paraId="3772B71B" w14:textId="77777777" w:rsidR="00A66023" w:rsidRPr="00DA239E" w:rsidRDefault="00A66023">
      <w:pPr>
        <w:rPr>
          <w:rFonts w:ascii="Arial" w:hAnsi="Arial" w:cs="Arial"/>
          <w:b/>
          <w:i/>
          <w:noProof/>
        </w:rPr>
      </w:pPr>
    </w:p>
    <w:p w14:paraId="46E766F1" w14:textId="11D224FD" w:rsidR="00A66023" w:rsidRPr="00DA239E" w:rsidRDefault="000D436F">
      <w:pPr>
        <w:rPr>
          <w:rFonts w:ascii="Arial" w:hAnsi="Arial" w:cs="Arial"/>
          <w:b/>
          <w:i/>
          <w:noProof/>
        </w:rPr>
      </w:pPr>
      <w:r w:rsidRPr="00DA239E">
        <w:rPr>
          <w:rFonts w:ascii="Arial" w:hAnsi="Arial" w:cs="Arial"/>
          <w:b/>
          <w:i/>
          <w:noProof/>
        </w:rPr>
        <w:t>PRILOG</w:t>
      </w:r>
      <w:r w:rsidR="00A66023" w:rsidRPr="00DA239E">
        <w:rPr>
          <w:rFonts w:ascii="Arial" w:hAnsi="Arial" w:cs="Arial"/>
          <w:b/>
          <w:i/>
          <w:noProof/>
        </w:rPr>
        <w:t xml:space="preserve"> 1 – </w:t>
      </w:r>
      <w:r w:rsidR="00745A40">
        <w:rPr>
          <w:rFonts w:ascii="Arial" w:hAnsi="Arial" w:cs="Arial"/>
          <w:b/>
          <w:i/>
          <w:noProof/>
        </w:rPr>
        <w:t>Odluka o osnivanju P</w:t>
      </w:r>
      <w:r w:rsidR="00FF3DA3" w:rsidRPr="00FF3DA3">
        <w:rPr>
          <w:rFonts w:ascii="Arial" w:hAnsi="Arial" w:cs="Arial"/>
          <w:b/>
          <w:i/>
          <w:noProof/>
        </w:rPr>
        <w:t xml:space="preserve">artnerskog vijeća, imenovanja članova te izvještaji </w:t>
      </w:r>
      <w:r w:rsidR="00463979">
        <w:rPr>
          <w:rFonts w:ascii="Arial" w:hAnsi="Arial" w:cs="Arial"/>
          <w:b/>
          <w:i/>
          <w:noProof/>
        </w:rPr>
        <w:t>o</w:t>
      </w:r>
      <w:r w:rsidR="00FF3DA3" w:rsidRPr="00FF3DA3">
        <w:rPr>
          <w:rFonts w:ascii="Arial" w:hAnsi="Arial" w:cs="Arial"/>
          <w:b/>
          <w:i/>
          <w:noProof/>
        </w:rPr>
        <w:t xml:space="preserve"> proveden</w:t>
      </w:r>
      <w:r w:rsidR="00CD4948">
        <w:rPr>
          <w:rFonts w:ascii="Arial" w:hAnsi="Arial" w:cs="Arial"/>
          <w:b/>
          <w:i/>
          <w:noProof/>
        </w:rPr>
        <w:t xml:space="preserve">om konzultacijskom postupku </w:t>
      </w:r>
    </w:p>
    <w:p w14:paraId="3665071D" w14:textId="77777777" w:rsidR="00A66023" w:rsidRDefault="000D436F">
      <w:pPr>
        <w:rPr>
          <w:rFonts w:ascii="Arial" w:hAnsi="Arial" w:cs="Arial"/>
          <w:b/>
          <w:i/>
          <w:noProof/>
        </w:rPr>
      </w:pPr>
      <w:r w:rsidRPr="00DA239E">
        <w:rPr>
          <w:rFonts w:ascii="Arial" w:hAnsi="Arial" w:cs="Arial"/>
          <w:b/>
          <w:i/>
          <w:noProof/>
        </w:rPr>
        <w:t>PRILOG</w:t>
      </w:r>
      <w:r w:rsidRPr="00DA239E">
        <w:rPr>
          <w:rFonts w:ascii="Arial" w:hAnsi="Arial" w:cs="Arial"/>
          <w:i/>
          <w:noProof/>
        </w:rPr>
        <w:t xml:space="preserve"> </w:t>
      </w:r>
      <w:r w:rsidR="00A66023" w:rsidRPr="00DA239E">
        <w:rPr>
          <w:rFonts w:ascii="Arial" w:hAnsi="Arial" w:cs="Arial"/>
          <w:b/>
          <w:i/>
          <w:noProof/>
        </w:rPr>
        <w:t xml:space="preserve">2 – </w:t>
      </w:r>
      <w:r w:rsidR="00B40C6F">
        <w:rPr>
          <w:rFonts w:ascii="Arial" w:hAnsi="Arial" w:cs="Arial"/>
          <w:b/>
          <w:i/>
          <w:noProof/>
        </w:rPr>
        <w:t>Cjelovita</w:t>
      </w:r>
      <w:r w:rsidR="00FF3DA3">
        <w:rPr>
          <w:rFonts w:ascii="Arial" w:hAnsi="Arial" w:cs="Arial"/>
          <w:b/>
          <w:i/>
          <w:noProof/>
        </w:rPr>
        <w:t xml:space="preserve"> analiza stanja</w:t>
      </w:r>
    </w:p>
    <w:p w14:paraId="5CCEBC06" w14:textId="77777777" w:rsidR="008A6949" w:rsidRPr="008A6949" w:rsidRDefault="008A6949" w:rsidP="008A6949">
      <w:pPr>
        <w:rPr>
          <w:rFonts w:ascii="Arial" w:hAnsi="Arial" w:cs="Arial"/>
          <w:b/>
          <w:i/>
          <w:noProof/>
        </w:rPr>
      </w:pPr>
      <w:r>
        <w:rPr>
          <w:rFonts w:ascii="Arial" w:hAnsi="Arial" w:cs="Arial"/>
          <w:b/>
          <w:i/>
          <w:noProof/>
        </w:rPr>
        <w:t xml:space="preserve">PRILOG </w:t>
      </w:r>
      <w:r w:rsidRPr="008A6949">
        <w:rPr>
          <w:rFonts w:ascii="Arial" w:hAnsi="Arial" w:cs="Arial"/>
          <w:b/>
          <w:i/>
          <w:noProof/>
        </w:rPr>
        <w:t>3.</w:t>
      </w:r>
      <w:r>
        <w:rPr>
          <w:rFonts w:ascii="Arial" w:hAnsi="Arial" w:cs="Arial"/>
          <w:b/>
          <w:i/>
          <w:noProof/>
        </w:rPr>
        <w:t xml:space="preserve">- </w:t>
      </w:r>
      <w:r w:rsidRPr="008A6949">
        <w:rPr>
          <w:rFonts w:ascii="Arial" w:hAnsi="Arial" w:cs="Arial"/>
          <w:b/>
          <w:i/>
          <w:noProof/>
        </w:rPr>
        <w:t xml:space="preserve"> Izvještaj o provedenom postupku prethodnog vrednovanja</w:t>
      </w:r>
      <w:r>
        <w:rPr>
          <w:rFonts w:ascii="Arial" w:hAnsi="Arial" w:cs="Arial"/>
          <w:b/>
          <w:i/>
          <w:noProof/>
        </w:rPr>
        <w:t xml:space="preserve"> </w:t>
      </w:r>
    </w:p>
    <w:p w14:paraId="02101FE1" w14:textId="05E0610B" w:rsidR="008A6949" w:rsidRPr="008A6949" w:rsidRDefault="008A6949" w:rsidP="008A6949">
      <w:pPr>
        <w:rPr>
          <w:rFonts w:ascii="Arial" w:hAnsi="Arial" w:cs="Arial"/>
          <w:b/>
          <w:i/>
          <w:noProof/>
        </w:rPr>
      </w:pPr>
      <w:r>
        <w:rPr>
          <w:rFonts w:ascii="Arial" w:hAnsi="Arial" w:cs="Arial"/>
          <w:b/>
          <w:i/>
          <w:noProof/>
        </w:rPr>
        <w:t xml:space="preserve">PRILOG </w:t>
      </w:r>
      <w:r w:rsidRPr="008A6949">
        <w:rPr>
          <w:rFonts w:ascii="Arial" w:hAnsi="Arial" w:cs="Arial"/>
          <w:b/>
          <w:i/>
          <w:noProof/>
        </w:rPr>
        <w:t>4.</w:t>
      </w:r>
      <w:r>
        <w:rPr>
          <w:rFonts w:ascii="Arial" w:hAnsi="Arial" w:cs="Arial"/>
          <w:b/>
          <w:i/>
          <w:noProof/>
        </w:rPr>
        <w:t xml:space="preserve"> </w:t>
      </w:r>
      <w:r w:rsidR="00D551BD">
        <w:rPr>
          <w:rFonts w:ascii="Arial" w:hAnsi="Arial" w:cs="Arial"/>
          <w:b/>
          <w:i/>
          <w:noProof/>
        </w:rPr>
        <w:t>–</w:t>
      </w:r>
      <w:r>
        <w:rPr>
          <w:rFonts w:ascii="Arial" w:hAnsi="Arial" w:cs="Arial"/>
          <w:b/>
          <w:i/>
          <w:noProof/>
        </w:rPr>
        <w:t xml:space="preserve"> </w:t>
      </w:r>
      <w:r w:rsidR="00D551BD">
        <w:rPr>
          <w:rFonts w:ascii="Arial" w:hAnsi="Arial" w:cs="Arial"/>
          <w:b/>
          <w:i/>
          <w:noProof/>
        </w:rPr>
        <w:t xml:space="preserve">Mišljenje o potrebi provedbe strateške procjene </w:t>
      </w:r>
      <w:r w:rsidRPr="008A6949">
        <w:rPr>
          <w:rFonts w:ascii="Arial" w:hAnsi="Arial" w:cs="Arial"/>
          <w:b/>
          <w:i/>
          <w:noProof/>
        </w:rPr>
        <w:t xml:space="preserve">utjecaja na okoliš </w:t>
      </w:r>
      <w:r w:rsidR="00D551BD">
        <w:rPr>
          <w:rFonts w:ascii="Arial" w:hAnsi="Arial" w:cs="Arial"/>
          <w:b/>
          <w:i/>
          <w:noProof/>
        </w:rPr>
        <w:t>i Rejšenje o prihvatljivosti za ekološku mrežu</w:t>
      </w:r>
    </w:p>
    <w:p w14:paraId="3FA3AB38" w14:textId="77777777" w:rsidR="008A6949" w:rsidRPr="008A6949" w:rsidRDefault="008A6949">
      <w:pPr>
        <w:rPr>
          <w:rFonts w:ascii="Arial" w:hAnsi="Arial" w:cs="Arial"/>
          <w:b/>
          <w:i/>
          <w:noProof/>
        </w:rPr>
      </w:pPr>
    </w:p>
    <w:p w14:paraId="04EC4AD5" w14:textId="77777777" w:rsidR="001E1257" w:rsidRDefault="001E1257">
      <w:pPr>
        <w:rPr>
          <w:rFonts w:ascii="Arial" w:hAnsi="Arial" w:cs="Arial"/>
          <w:b/>
          <w:i/>
          <w:noProof/>
        </w:rPr>
      </w:pPr>
    </w:p>
    <w:p w14:paraId="77FF7C6E" w14:textId="77777777" w:rsidR="001E1257" w:rsidRPr="008975E3" w:rsidRDefault="001E1257" w:rsidP="001E1257">
      <w:pPr>
        <w:pStyle w:val="NoSpacing"/>
        <w:jc w:val="both"/>
        <w:rPr>
          <w:b/>
        </w:rPr>
      </w:pPr>
    </w:p>
    <w:p w14:paraId="1F558ADD" w14:textId="77777777" w:rsidR="001E1257" w:rsidRPr="00981C44" w:rsidRDefault="001E1257" w:rsidP="001E1257"/>
    <w:p w14:paraId="2FBD005A" w14:textId="77777777" w:rsidR="001E1257" w:rsidRPr="00DA239E" w:rsidRDefault="001E1257">
      <w:pPr>
        <w:rPr>
          <w:rFonts w:ascii="Arial" w:hAnsi="Arial" w:cs="Arial"/>
          <w:b/>
          <w:i/>
          <w:noProof/>
        </w:rPr>
      </w:pPr>
    </w:p>
    <w:sectPr w:rsidR="001E1257" w:rsidRPr="00DA239E" w:rsidSect="003717BF">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AA8908" w14:textId="77777777" w:rsidR="00CE796C" w:rsidRDefault="00CE796C" w:rsidP="003C7C29">
      <w:r>
        <w:separator/>
      </w:r>
    </w:p>
    <w:p w14:paraId="48A05221" w14:textId="77777777" w:rsidR="00CE796C" w:rsidRDefault="00CE796C"/>
  </w:endnote>
  <w:endnote w:type="continuationSeparator" w:id="0">
    <w:p w14:paraId="6B0EC381" w14:textId="77777777" w:rsidR="00CE796C" w:rsidRDefault="00CE796C" w:rsidP="003C7C29">
      <w:r>
        <w:continuationSeparator/>
      </w:r>
    </w:p>
    <w:p w14:paraId="1003FDF8" w14:textId="77777777" w:rsidR="00CE796C" w:rsidRDefault="00CE79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Times">
    <w:altName w:val="Times Roman"/>
    <w:panose1 w:val="020005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libri-Bold">
    <w:altName w:val="MS Mincho"/>
    <w:panose1 w:val="00000000000000000000"/>
    <w:charset w:val="80"/>
    <w:family w:val="auto"/>
    <w:notTrueType/>
    <w:pitch w:val="default"/>
    <w:sig w:usb0="00000003" w:usb1="08070000" w:usb2="00000010" w:usb3="00000000" w:csb0="00020001" w:csb1="00000000"/>
  </w:font>
  <w:font w:name="Tahoma Bold">
    <w:panose1 w:val="020B080403050404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Lucida Grande">
    <w:altName w:val="Segoe UI"/>
    <w:panose1 w:val="020B0600040502020204"/>
    <w:charset w:val="00"/>
    <w:family w:val="auto"/>
    <w:pitch w:val="variable"/>
    <w:sig w:usb0="E1000AEF" w:usb1="5000A1FF" w:usb2="00000000" w:usb3="00000000" w:csb0="000001BF" w:csb1="00000000"/>
  </w:font>
  <w:font w:name="ＭＳ 明朝">
    <w:charset w:val="4E"/>
    <w:family w:val="auto"/>
    <w:pitch w:val="variable"/>
    <w:sig w:usb0="00000001" w:usb1="08070000" w:usb2="00000010" w:usb3="00000000" w:csb0="00020000" w:csb1="00000000"/>
  </w:font>
  <w:font w:name="Calibri Light">
    <w:panose1 w:val="020F0302020204030204"/>
    <w:charset w:val="00"/>
    <w:family w:val="auto"/>
    <w:pitch w:val="variable"/>
    <w:sig w:usb0="A00002EF" w:usb1="4000207B" w:usb2="00000000" w:usb3="00000000" w:csb0="0000009F" w:csb1="00000000"/>
  </w:font>
  <w:font w:name="SignPainter-HouseScript">
    <w:panose1 w:val="02000006070000020004"/>
    <w:charset w:val="00"/>
    <w:family w:val="auto"/>
    <w:pitch w:val="variable"/>
    <w:sig w:usb0="800000AF" w:usb1="0000004A" w:usb2="00000000" w:usb3="00000000" w:csb0="0000019F" w:csb1="00000000"/>
  </w:font>
  <w:font w:name="Brush Script MT Italic">
    <w:panose1 w:val="0306080204040607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F5A7389" w14:textId="77777777" w:rsidR="00CE796C" w:rsidRDefault="00CE796C" w:rsidP="008574B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D7CFF15" w14:textId="77777777" w:rsidR="00CE796C" w:rsidRDefault="00CE796C" w:rsidP="0070436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21A4F72" w14:textId="6D082182" w:rsidR="00CE796C" w:rsidRPr="00664C19" w:rsidRDefault="00CE796C" w:rsidP="00664C19">
    <w:pPr>
      <w:pStyle w:val="Footer"/>
      <w:pBdr>
        <w:top w:val="single" w:sz="4" w:space="1" w:color="BFBFBF" w:themeColor="background1" w:themeShade="BF"/>
      </w:pBdr>
      <w:ind w:right="360"/>
      <w:jc w:val="right"/>
      <w:rPr>
        <w:rFonts w:ascii="Calibri Light" w:hAnsi="Calibri Light"/>
        <w:color w:val="808080" w:themeColor="background1" w:themeShade="80"/>
        <w:sz w:val="18"/>
        <w:szCs w:val="18"/>
      </w:rPr>
    </w:pPr>
    <w:r w:rsidRPr="00664C19">
      <w:rPr>
        <w:rFonts w:ascii="Calibri Light" w:hAnsi="Calibri Light"/>
        <w:color w:val="808080" w:themeColor="background1" w:themeShade="80"/>
        <w:sz w:val="18"/>
        <w:szCs w:val="18"/>
      </w:rPr>
      <w:t>Str</w:t>
    </w:r>
    <w:r>
      <w:rPr>
        <w:rFonts w:ascii="Calibri Light" w:hAnsi="Calibri Light"/>
        <w:color w:val="808080" w:themeColor="background1" w:themeShade="80"/>
        <w:sz w:val="18"/>
        <w:szCs w:val="18"/>
      </w:rPr>
      <w:t>.</w:t>
    </w:r>
    <w:r w:rsidRPr="00664C19">
      <w:rPr>
        <w:rFonts w:ascii="Calibri Light" w:hAnsi="Calibri Light"/>
        <w:color w:val="808080" w:themeColor="background1" w:themeShade="80"/>
        <w:sz w:val="18"/>
        <w:szCs w:val="18"/>
      </w:rPr>
      <w:t xml:space="preserve"> </w:t>
    </w:r>
    <w:r w:rsidRPr="00664C19">
      <w:rPr>
        <w:rFonts w:ascii="Calibri Light" w:hAnsi="Calibri Light"/>
        <w:color w:val="808080" w:themeColor="background1" w:themeShade="80"/>
        <w:sz w:val="18"/>
        <w:szCs w:val="18"/>
      </w:rPr>
      <w:fldChar w:fldCharType="begin"/>
    </w:r>
    <w:r w:rsidRPr="00664C19">
      <w:rPr>
        <w:rFonts w:ascii="Calibri Light" w:hAnsi="Calibri Light"/>
        <w:color w:val="808080" w:themeColor="background1" w:themeShade="80"/>
        <w:sz w:val="18"/>
        <w:szCs w:val="18"/>
      </w:rPr>
      <w:instrText xml:space="preserve"> PAGE </w:instrText>
    </w:r>
    <w:r w:rsidRPr="00664C19">
      <w:rPr>
        <w:rFonts w:ascii="Calibri Light" w:hAnsi="Calibri Light"/>
        <w:color w:val="808080" w:themeColor="background1" w:themeShade="80"/>
        <w:sz w:val="18"/>
        <w:szCs w:val="18"/>
      </w:rPr>
      <w:fldChar w:fldCharType="separate"/>
    </w:r>
    <w:r w:rsidR="007C7C56">
      <w:rPr>
        <w:rFonts w:ascii="Calibri Light" w:hAnsi="Calibri Light"/>
        <w:noProof/>
        <w:color w:val="808080" w:themeColor="background1" w:themeShade="80"/>
        <w:sz w:val="18"/>
        <w:szCs w:val="18"/>
      </w:rPr>
      <w:t>105</w:t>
    </w:r>
    <w:r w:rsidRPr="00664C19">
      <w:rPr>
        <w:rFonts w:ascii="Calibri Light" w:hAnsi="Calibri Light"/>
        <w:color w:val="808080" w:themeColor="background1" w:themeShade="80"/>
        <w:sz w:val="18"/>
        <w:szCs w:val="18"/>
      </w:rPr>
      <w:fldChar w:fldCharType="end"/>
    </w:r>
    <w:r w:rsidRPr="00664C19">
      <w:rPr>
        <w:rFonts w:ascii="Calibri Light" w:hAnsi="Calibri Light"/>
        <w:color w:val="808080" w:themeColor="background1" w:themeShade="80"/>
        <w:sz w:val="18"/>
        <w:szCs w:val="18"/>
      </w:rPr>
      <w:t xml:space="preserve"> od </w:t>
    </w:r>
    <w:r w:rsidRPr="00664C19">
      <w:rPr>
        <w:rFonts w:ascii="Calibri Light" w:hAnsi="Calibri Light"/>
        <w:color w:val="808080" w:themeColor="background1" w:themeShade="80"/>
        <w:sz w:val="18"/>
        <w:szCs w:val="18"/>
      </w:rPr>
      <w:fldChar w:fldCharType="begin"/>
    </w:r>
    <w:r w:rsidRPr="00664C19">
      <w:rPr>
        <w:rFonts w:ascii="Calibri Light" w:hAnsi="Calibri Light"/>
        <w:color w:val="808080" w:themeColor="background1" w:themeShade="80"/>
        <w:sz w:val="18"/>
        <w:szCs w:val="18"/>
      </w:rPr>
      <w:instrText xml:space="preserve"> NUMPAGES </w:instrText>
    </w:r>
    <w:r w:rsidRPr="00664C19">
      <w:rPr>
        <w:rFonts w:ascii="Calibri Light" w:hAnsi="Calibri Light"/>
        <w:color w:val="808080" w:themeColor="background1" w:themeShade="80"/>
        <w:sz w:val="18"/>
        <w:szCs w:val="18"/>
      </w:rPr>
      <w:fldChar w:fldCharType="separate"/>
    </w:r>
    <w:r w:rsidR="007C7C56">
      <w:rPr>
        <w:rFonts w:ascii="Calibri Light" w:hAnsi="Calibri Light"/>
        <w:noProof/>
        <w:color w:val="808080" w:themeColor="background1" w:themeShade="80"/>
        <w:sz w:val="18"/>
        <w:szCs w:val="18"/>
      </w:rPr>
      <w:t>105</w:t>
    </w:r>
    <w:r w:rsidRPr="00664C19">
      <w:rPr>
        <w:rFonts w:ascii="Calibri Light" w:hAnsi="Calibri Light"/>
        <w:color w:val="808080" w:themeColor="background1" w:themeShade="80"/>
        <w:sz w:val="18"/>
        <w:szCs w:val="18"/>
      </w:rPr>
      <w:fldChar w:fldCharType="end"/>
    </w:r>
  </w:p>
  <w:p w14:paraId="36669F7B" w14:textId="77777777" w:rsidR="00CE796C" w:rsidRDefault="00CE796C">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31EE84B" w14:textId="77777777" w:rsidR="00CE796C" w:rsidRDefault="00CE796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0C33BCA" w14:textId="77777777" w:rsidR="00CE796C" w:rsidRDefault="00CE796C" w:rsidP="003C7C29">
      <w:r>
        <w:separator/>
      </w:r>
    </w:p>
    <w:p w14:paraId="57914B18" w14:textId="77777777" w:rsidR="00CE796C" w:rsidRDefault="00CE796C"/>
  </w:footnote>
  <w:footnote w:type="continuationSeparator" w:id="0">
    <w:p w14:paraId="1B1BF87A" w14:textId="77777777" w:rsidR="00CE796C" w:rsidRDefault="00CE796C" w:rsidP="003C7C29">
      <w:r>
        <w:continuationSeparator/>
      </w:r>
    </w:p>
    <w:p w14:paraId="49D6BC6A" w14:textId="77777777" w:rsidR="00CE796C" w:rsidRDefault="00CE796C"/>
  </w:footnote>
  <w:footnote w:id="1">
    <w:p w14:paraId="63EFE817" w14:textId="77777777" w:rsidR="00CE796C" w:rsidRDefault="00CE796C" w:rsidP="00DE7574">
      <w:pPr>
        <w:pStyle w:val="FootnoteText"/>
      </w:pPr>
      <w:r>
        <w:rPr>
          <w:rStyle w:val="FootnoteReference"/>
        </w:rPr>
        <w:footnoteRef/>
      </w:r>
      <w:r>
        <w:t xml:space="preserve"> </w:t>
      </w:r>
      <w:r w:rsidRPr="000E2CBC">
        <w:rPr>
          <w:i/>
        </w:rPr>
        <w:t>Strategija prostornog razvoja Republike Hrvatske</w:t>
      </w:r>
      <w:r>
        <w:t>, Pogl. 4.1 Održivost prostorne organizacije, (NN, 106/17)</w:t>
      </w:r>
    </w:p>
  </w:footnote>
  <w:footnote w:id="2">
    <w:p w14:paraId="0AC5B263" w14:textId="0716AB09" w:rsidR="00CE796C" w:rsidRDefault="00CE796C" w:rsidP="00001078">
      <w:pPr>
        <w:pStyle w:val="FootnoteText"/>
      </w:pPr>
      <w:r>
        <w:rPr>
          <w:rStyle w:val="FootnoteReference"/>
        </w:rPr>
        <w:footnoteRef/>
      </w:r>
      <w:r>
        <w:t xml:space="preserve"> Urbane aglomeracije čine gradovi Zagreb, Split, Rijeka i Osijek, veća urbana područja čine ona s više od 35.000 stanovnika (prema Popisu 2011), a manja urbana područja čine gradovi čija središta prema Popisu 2011 imaju manje od 35.000, a više od 10.000 st. u središnjim naseljima i/ili su središta županija.</w:t>
      </w:r>
    </w:p>
  </w:footnote>
  <w:footnote w:id="3">
    <w:p w14:paraId="5D592CD8" w14:textId="77777777" w:rsidR="00CE796C" w:rsidRDefault="00CE796C" w:rsidP="00001078">
      <w:pPr>
        <w:pStyle w:val="FootnoteText"/>
      </w:pPr>
      <w:r>
        <w:rPr>
          <w:rStyle w:val="FootnoteReference"/>
        </w:rPr>
        <w:footnoteRef/>
      </w:r>
      <w:r>
        <w:t xml:space="preserve"> </w:t>
      </w:r>
      <w:r w:rsidRPr="00A90C38">
        <w:t>https://razvoj.gov.hr/o-ministarstvu/djelokrug-1939/regionalni-razvoj/odrzivi-urbani-razvoj/3163</w:t>
      </w:r>
    </w:p>
  </w:footnote>
  <w:footnote w:id="4">
    <w:p w14:paraId="55AB9999" w14:textId="32F301A6" w:rsidR="00CE796C" w:rsidRDefault="00CE796C">
      <w:pPr>
        <w:pStyle w:val="FootnoteText"/>
      </w:pPr>
      <w:r>
        <w:rPr>
          <w:rStyle w:val="FootnoteReference"/>
        </w:rPr>
        <w:footnoteRef/>
      </w:r>
      <w:r>
        <w:t xml:space="preserve"> Gradsko vijeće Grada Ozlja, Odluka o suglasnosti za pristupanje većem urbanom području Grada Karlovca, KLASA 302-02/19-01/03, URBROJ 2133/05-01-19-02 od 25. veljače 2019.; Gradsko vijeće Grada Duge Rese, Odluka o suglasnosti za pristupanje većem urbanom području Grada Karlovca, KLASA 302-01/19-01/01, URBROJ 2133/03-03/01-19-4 od 15. veljače 2019.; Gradsko vijeće Grada Karlovca, Odluka o sastavu Većeg urbanog područja Karlovac, KLASA 021-05/19-01/02, URBROJ 2133/01-01/01-19-6 od 26. veljače 2019.</w:t>
      </w:r>
    </w:p>
  </w:footnote>
  <w:footnote w:id="5">
    <w:p w14:paraId="1A45B389" w14:textId="73E6DF60" w:rsidR="00CE796C" w:rsidRDefault="00CE796C">
      <w:pPr>
        <w:pStyle w:val="FootnoteText"/>
      </w:pPr>
      <w:r>
        <w:rPr>
          <w:rStyle w:val="FootnoteReference"/>
        </w:rPr>
        <w:footnoteRef/>
      </w:r>
      <w:r>
        <w:t xml:space="preserve"> Ministarstvo regionalnoga razvoja i fondova Europske unije, KLASA 910-08/18-07/34, URBROJ 538-06-2-1-2/228-19-4 od 14. ožujka 2019.</w:t>
      </w:r>
    </w:p>
  </w:footnote>
  <w:footnote w:id="6">
    <w:p w14:paraId="590E7F22" w14:textId="0B94A8C5" w:rsidR="00CE796C" w:rsidRDefault="00CE796C">
      <w:pPr>
        <w:pStyle w:val="FootnoteText"/>
      </w:pPr>
      <w:r>
        <w:rPr>
          <w:rStyle w:val="FootnoteReference"/>
        </w:rPr>
        <w:footnoteRef/>
      </w:r>
      <w:r>
        <w:t xml:space="preserve"> Strategija prostornog razvoja Republike Hrvatske, pogl. 2.1.3. Demografska prognoza</w:t>
      </w:r>
    </w:p>
  </w:footnote>
  <w:footnote w:id="7">
    <w:p w14:paraId="7002CE4F" w14:textId="23BEDD18" w:rsidR="00CE796C" w:rsidRDefault="00CE796C">
      <w:pPr>
        <w:pStyle w:val="FootnoteText"/>
      </w:pPr>
      <w:r>
        <w:rPr>
          <w:rStyle w:val="FootnoteReference"/>
        </w:rPr>
        <w:footnoteRef/>
      </w:r>
      <w:r>
        <w:t xml:space="preserve"> Stručna podloga Strategije prostornog razvoja Republike Hrvatske, </w:t>
      </w:r>
      <w:r w:rsidRPr="003A6F02">
        <w:rPr>
          <w:i/>
        </w:rPr>
        <w:t>Demografski scenariji i migracije</w:t>
      </w:r>
      <w:r>
        <w:rPr>
          <w:i/>
        </w:rPr>
        <w:t>,</w:t>
      </w:r>
      <w:r>
        <w:t xml:space="preserve"> str. 64.</w:t>
      </w:r>
    </w:p>
  </w:footnote>
  <w:footnote w:id="8">
    <w:p w14:paraId="6FAE6BF8" w14:textId="660FC925" w:rsidR="00CE796C" w:rsidRDefault="00CE796C" w:rsidP="00EE1DAB">
      <w:pPr>
        <w:pStyle w:val="FootnoteText"/>
      </w:pPr>
      <w:r>
        <w:rPr>
          <w:rStyle w:val="FootnoteReference"/>
        </w:rPr>
        <w:footnoteRef/>
      </w:r>
      <w:r>
        <w:t xml:space="preserve"> Utvrđivanje indeksa razvijenosti odnosno </w:t>
      </w:r>
      <w:r w:rsidRPr="009730B6">
        <w:t>postu</w:t>
      </w:r>
      <w:r>
        <w:t>pak ocjenjivanja i razvrstavanja</w:t>
      </w:r>
      <w:r w:rsidRPr="009730B6">
        <w:t xml:space="preserve"> svih jedinica lokalne i područne (regionalne) samouprave </w:t>
      </w:r>
      <w:r>
        <w:t>vrši</w:t>
      </w:r>
      <w:r w:rsidRPr="009730B6">
        <w:t xml:space="preserve"> Ministarstvo regionalnoga r</w:t>
      </w:r>
      <w:r>
        <w:t xml:space="preserve">azvoja i fondova Europske unije, u </w:t>
      </w:r>
      <w:r w:rsidRPr="009730B6">
        <w:t>skladu sa Zakonom o regionalnom razvoju Republike Hrvats</w:t>
      </w:r>
      <w:r>
        <w:t xml:space="preserve">ke (NN. 147/14, 123/17 i 118/18). Prema najnovijim izmjenama zakona, postupak ocjenjivanja provodi se svake 3 godine, </w:t>
      </w:r>
      <w:r w:rsidRPr="000B4092">
        <w:t>a zadnje je izvršeno krajem</w:t>
      </w:r>
      <w:r>
        <w:t xml:space="preserve"> 2017. g. (temeljem podataka za razdoblje 2014.-2016.), te je na temelju istog donesena Odluka o razvrstavanju jedinica lokalne i područne (regionalne) samouprave prema stupnju razvijenosti (NN 132/17) koja je u primjeni od 01.01.2018.</w:t>
      </w:r>
    </w:p>
  </w:footnote>
  <w:footnote w:id="9">
    <w:p w14:paraId="351845BB" w14:textId="52BEC8D7" w:rsidR="00CE796C" w:rsidRDefault="00CE796C">
      <w:pPr>
        <w:pStyle w:val="FootnoteText"/>
      </w:pPr>
      <w:r>
        <w:rPr>
          <w:rStyle w:val="FootnoteReference"/>
        </w:rPr>
        <w:footnoteRef/>
      </w:r>
      <w:r>
        <w:t xml:space="preserve"> Hrvatska gospodarska komora, </w:t>
      </w:r>
      <w:r w:rsidRPr="0021070A">
        <w:rPr>
          <w:i/>
        </w:rPr>
        <w:t>BDP po županijama 2015. godine</w:t>
      </w:r>
      <w:r>
        <w:t>, travanj 2018.</w:t>
      </w:r>
    </w:p>
  </w:footnote>
  <w:footnote w:id="10">
    <w:p w14:paraId="44DD2D10" w14:textId="627E6B8B" w:rsidR="00CE796C" w:rsidRDefault="00CE796C">
      <w:pPr>
        <w:pStyle w:val="FootnoteText"/>
      </w:pPr>
      <w:r>
        <w:rPr>
          <w:rStyle w:val="FootnoteReference"/>
        </w:rPr>
        <w:footnoteRef/>
      </w:r>
      <w:r>
        <w:t xml:space="preserve"> Nacionalno vijeće za konkurentnost, </w:t>
      </w:r>
      <w:r w:rsidRPr="005F6B6B">
        <w:rPr>
          <w:i/>
        </w:rPr>
        <w:t>Regionalni indeks konkurentnosti Hrvatske 2013</w:t>
      </w:r>
      <w:r>
        <w:t>., lipanj 2014.</w:t>
      </w:r>
    </w:p>
  </w:footnote>
  <w:footnote w:id="11">
    <w:p w14:paraId="4D343211" w14:textId="5EE10735" w:rsidR="00CE796C" w:rsidRDefault="00CE796C">
      <w:pPr>
        <w:pStyle w:val="FootnoteText"/>
      </w:pPr>
      <w:r>
        <w:rPr>
          <w:rStyle w:val="FootnoteReference"/>
        </w:rPr>
        <w:footnoteRef/>
      </w:r>
      <w:r>
        <w:t xml:space="preserve"> </w:t>
      </w:r>
      <w:r w:rsidRPr="00A77093">
        <w:t>Regionalni indeks konkure</w:t>
      </w:r>
      <w:r>
        <w:t>ntnosti temelji se na definici</w:t>
      </w:r>
      <w:r w:rsidRPr="00A77093">
        <w:t xml:space="preserve">ji konkurentnosti koju koristi Svjetski gospodarski forum: konkurentnost je skup institucija, politika i faktora koji određuju razinu produktivnosti u nekoj zemlji </w:t>
      </w:r>
      <w:r>
        <w:t>i na defini</w:t>
      </w:r>
      <w:r w:rsidRPr="00A77093">
        <w:t>ciji EU-a prema kojoj je r</w:t>
      </w:r>
      <w:r>
        <w:t>egionalna konkurentnost sposob</w:t>
      </w:r>
      <w:r w:rsidRPr="00A77093">
        <w:t>nost kreiranja atraktivnog i o</w:t>
      </w:r>
      <w:r>
        <w:t>drživog okruženja za poslova</w:t>
      </w:r>
      <w:r w:rsidRPr="00A77093">
        <w:t>nje i življenje</w:t>
      </w:r>
    </w:p>
  </w:footnote>
  <w:footnote w:id="12">
    <w:p w14:paraId="30EB2920" w14:textId="35BC3F5F" w:rsidR="00CE796C" w:rsidRDefault="00CE796C" w:rsidP="000B6281">
      <w:pPr>
        <w:pStyle w:val="FootnoteText"/>
      </w:pPr>
      <w:r>
        <w:rPr>
          <w:rStyle w:val="FootnoteReference"/>
        </w:rPr>
        <w:footnoteRef/>
      </w:r>
      <w:r>
        <w:t xml:space="preserve"> Kroz projekt tehničke pomoći Ministarstvu regionalnoga razvoja i fondova Europske unije kojeg je provela Svjetska banka, za Hrvatsku su proizvedene</w:t>
      </w:r>
      <w:r w:rsidRPr="00DC212F">
        <w:t xml:space="preserve"> mape relativnog siromaštva prema </w:t>
      </w:r>
      <w:r>
        <w:t>metodologiji EU definicije rizika od siromaštva (AROP – at-risk-of-poverty), odnosno usporedbe</w:t>
      </w:r>
      <w:r w:rsidRPr="00DC212F">
        <w:t xml:space="preserve"> ekvivalentnog raspoloživog dohotka nakon socijalnih transfera kućanstava s linijom siromaštva koja je postavljena na 60 posto nacionalne medijalne vrijednosti</w:t>
      </w:r>
      <w:r>
        <w:t>, kao i metodologijom ocjene siromaštva temeljem potrošnje.</w:t>
      </w:r>
    </w:p>
  </w:footnote>
  <w:footnote w:id="13">
    <w:p w14:paraId="478CEC35" w14:textId="77777777" w:rsidR="00CE796C" w:rsidRDefault="00CE796C" w:rsidP="00767B37">
      <w:pPr>
        <w:pStyle w:val="FootnoteText"/>
      </w:pPr>
      <w:r>
        <w:rPr>
          <w:rStyle w:val="FootnoteReference"/>
        </w:rPr>
        <w:footnoteRef/>
      </w:r>
      <w:r>
        <w:t xml:space="preserve"> Ministarstvo regionalnoga razvoja i fondova Europske unije, izvješće </w:t>
      </w:r>
      <w:r w:rsidRPr="00DC212F">
        <w:rPr>
          <w:i/>
        </w:rPr>
        <w:t>Hrvatska Ocjena siromaštva za mala područja temeljem potrošnje</w:t>
      </w:r>
      <w:r>
        <w:t xml:space="preserve">, dostupno na poveznici </w:t>
      </w:r>
    </w:p>
    <w:p w14:paraId="0843756B" w14:textId="044E878C" w:rsidR="00CE796C" w:rsidRDefault="00CE796C" w:rsidP="00767B37">
      <w:pPr>
        <w:pStyle w:val="FootnoteText"/>
      </w:pPr>
      <w:hyperlink r:id="rId1" w:history="1">
        <w:r w:rsidRPr="006527D4">
          <w:rPr>
            <w:rStyle w:val="Hyperlink"/>
          </w:rPr>
          <w:t>https://razvoj.gov.hr/UserDocsImages/Istaknute%20teme/Kartom%20siromaštva/Izvješće%20o%20ocjeni%20siromaštva%20za%20mala%20područja%20temeljem%20potrošnje%20(karte%20siromaštva)%20u%20RH.pdf</w:t>
        </w:r>
      </w:hyperlink>
      <w:r>
        <w:t xml:space="preserve"> </w:t>
      </w:r>
    </w:p>
  </w:footnote>
  <w:footnote w:id="14">
    <w:p w14:paraId="337C1F09" w14:textId="1A17016D" w:rsidR="00CE796C" w:rsidRDefault="00CE796C">
      <w:pPr>
        <w:pStyle w:val="FootnoteText"/>
      </w:pPr>
      <w:r>
        <w:rPr>
          <w:rStyle w:val="FootnoteReference"/>
        </w:rPr>
        <w:footnoteRef/>
      </w:r>
      <w:r>
        <w:t xml:space="preserve"> </w:t>
      </w:r>
      <w:r w:rsidRPr="000E2CBC">
        <w:rPr>
          <w:i/>
        </w:rPr>
        <w:t>Strategija prostornog razvoja Republike Hrvatske</w:t>
      </w:r>
      <w:r>
        <w:t>, Pogl. 4.1 Održivost prostorne organizacije, (NN 106/17)</w:t>
      </w:r>
    </w:p>
  </w:footnote>
  <w:footnote w:id="15">
    <w:p w14:paraId="39E488E9" w14:textId="6C3AC989" w:rsidR="00CE796C" w:rsidRDefault="00CE796C" w:rsidP="0007585E">
      <w:pPr>
        <w:pStyle w:val="FootnoteText"/>
      </w:pPr>
      <w:r>
        <w:rPr>
          <w:rStyle w:val="FootnoteReference"/>
        </w:rPr>
        <w:footnoteRef/>
      </w:r>
      <w:r>
        <w:t xml:space="preserve"> DZS, Projekcije stanovništva Republike Hrvatske od 2010. do 2061. godine</w:t>
      </w:r>
    </w:p>
  </w:footnote>
  <w:footnote w:id="16">
    <w:p w14:paraId="5CCB611E" w14:textId="7059E1B7" w:rsidR="00CE796C" w:rsidRDefault="00CE796C">
      <w:pPr>
        <w:pStyle w:val="FootnoteText"/>
      </w:pPr>
      <w:r>
        <w:rPr>
          <w:rStyle w:val="FootnoteReference"/>
        </w:rPr>
        <w:footnoteRef/>
      </w:r>
      <w:r>
        <w:t xml:space="preserve"> Kao dio analize poslovnog sektora, u sklopu izrade SRVUPKA u srpnju 2019. održana je posebna radionica s gospodarstvenicima te izvršeno anketno ispitivanje poduzetnika. Rezultati ankete dani su u Dodatku Priloga 2. Socio ekonomska analiza područja, a sažeto su prikazani i u poglavlj SWOT analize.</w:t>
      </w:r>
    </w:p>
  </w:footnote>
  <w:footnote w:id="17">
    <w:p w14:paraId="280AFA73" w14:textId="20CC74F2" w:rsidR="00CE796C" w:rsidRDefault="00CE796C">
      <w:pPr>
        <w:pStyle w:val="FootnoteText"/>
      </w:pPr>
      <w:r>
        <w:rPr>
          <w:rStyle w:val="FootnoteReference"/>
        </w:rPr>
        <w:footnoteRef/>
      </w:r>
      <w:r>
        <w:t xml:space="preserve"> Podatak treba uzeti s rezervom, s obzirom na to da je izveden  na temelju podataka FINA-e za 2017, u odnosu na broj stanovnika VUPKA prema Popisu 2011.</w:t>
      </w:r>
    </w:p>
  </w:footnote>
  <w:footnote w:id="18">
    <w:p w14:paraId="4E2C9C35" w14:textId="77777777" w:rsidR="00CE796C" w:rsidRDefault="00CE796C" w:rsidP="00E8302E">
      <w:pPr>
        <w:pStyle w:val="FootnoteText"/>
      </w:pPr>
      <w:r>
        <w:rPr>
          <w:rStyle w:val="FootnoteReference"/>
        </w:rPr>
        <w:footnoteRef/>
      </w:r>
      <w:r>
        <w:t xml:space="preserve"> </w:t>
      </w:r>
      <w:r>
        <w:rPr>
          <w:rFonts w:cs="Tahoma"/>
          <w:sz w:val="14"/>
          <w:szCs w:val="22"/>
        </w:rPr>
        <w:t>Iz</w:t>
      </w:r>
      <w:r w:rsidRPr="00C3356E">
        <w:rPr>
          <w:rFonts w:cs="Tahoma"/>
          <w:sz w:val="14"/>
          <w:szCs w:val="22"/>
        </w:rPr>
        <w:t>vještaj o stanju društvenog poduzetništva u Hrvatskoj 2015.</w:t>
      </w:r>
      <w:r>
        <w:rPr>
          <w:rFonts w:cs="Tahoma"/>
          <w:sz w:val="14"/>
          <w:szCs w:val="22"/>
        </w:rPr>
        <w:t>, Institut Društvenih Znanosti Ivo Pilar</w:t>
      </w:r>
    </w:p>
  </w:footnote>
  <w:footnote w:id="19">
    <w:p w14:paraId="7150CC45" w14:textId="77777777" w:rsidR="00CE796C" w:rsidRPr="00D951AC" w:rsidRDefault="00CE796C" w:rsidP="00430CE7">
      <w:pPr>
        <w:pStyle w:val="FootnoteText"/>
        <w:rPr>
          <w:lang w:val="en-US"/>
        </w:rPr>
      </w:pPr>
      <w:r>
        <w:rPr>
          <w:rStyle w:val="FootnoteReference"/>
        </w:rPr>
        <w:footnoteRef/>
      </w:r>
      <w:r>
        <w:t xml:space="preserve"> </w:t>
      </w:r>
      <w:r w:rsidRPr="000F211D">
        <w:rPr>
          <w:sz w:val="16"/>
        </w:rPr>
        <w:t xml:space="preserve">Istarska, </w:t>
      </w:r>
      <w:r>
        <w:rPr>
          <w:sz w:val="16"/>
        </w:rPr>
        <w:t>Primorsko-goranska, Ličko-senjska, Zadarska, Šibensko-kninska, Splitsko-dalmatinska i Dubrovačko-neretvanska županija.</w:t>
      </w:r>
    </w:p>
  </w:footnote>
  <w:footnote w:id="20">
    <w:p w14:paraId="4713BA4A" w14:textId="03F59FB2" w:rsidR="00CE796C" w:rsidRPr="00E44713" w:rsidRDefault="00CE796C">
      <w:pPr>
        <w:pStyle w:val="FootnoteText"/>
      </w:pPr>
      <w:r>
        <w:rPr>
          <w:rStyle w:val="FootnoteReference"/>
        </w:rPr>
        <w:footnoteRef/>
      </w:r>
      <w:r>
        <w:t xml:space="preserve"> Prvenstveno strateškom županijskom dokumentu </w:t>
      </w:r>
      <w:r w:rsidRPr="00E44713">
        <w:rPr>
          <w:i/>
        </w:rPr>
        <w:t xml:space="preserve">Analiza stanja i strategija razvoja turizma Karlovačke županije do 2025. </w:t>
      </w:r>
      <w:r>
        <w:rPr>
          <w:i/>
        </w:rPr>
        <w:t xml:space="preserve">godine. </w:t>
      </w:r>
      <w:r w:rsidRPr="00E44713">
        <w:t>Detaljniji smjerovi i mjere za jačanje turizma na području pojedinih gradova definiran</w:t>
      </w:r>
      <w:r>
        <w:t xml:space="preserve">i su lokalnim strateškim dokumentima, kao što je </w:t>
      </w:r>
      <w:r w:rsidRPr="00E44713">
        <w:rPr>
          <w:i/>
        </w:rPr>
        <w:t>Strategija razvoja turizma grada Karlovca</w:t>
      </w:r>
      <w:r>
        <w:t xml:space="preserve">, </w:t>
      </w:r>
      <w:r w:rsidRPr="00E44713">
        <w:rPr>
          <w:i/>
        </w:rPr>
        <w:t>Strategija razvoja Grada Ozlja</w:t>
      </w:r>
      <w:r>
        <w:t xml:space="preserve"> i </w:t>
      </w:r>
      <w:r w:rsidRPr="00E44713">
        <w:rPr>
          <w:i/>
        </w:rPr>
        <w:t>Strateški razvojni program Duge Rese</w:t>
      </w:r>
      <w:r>
        <w:t>.</w:t>
      </w:r>
    </w:p>
  </w:footnote>
  <w:footnote w:id="21">
    <w:p w14:paraId="279E9B0B" w14:textId="059D0C86" w:rsidR="00CE796C" w:rsidRDefault="00CE796C">
      <w:pPr>
        <w:pStyle w:val="FootnoteText"/>
      </w:pPr>
      <w:r>
        <w:rPr>
          <w:rStyle w:val="FootnoteReference"/>
        </w:rPr>
        <w:footnoteRef/>
      </w:r>
      <w:r>
        <w:t xml:space="preserve"> </w:t>
      </w:r>
      <w:r w:rsidRPr="002B4FF3">
        <w:rPr>
          <w:i/>
        </w:rPr>
        <w:t>Strategija razvoja turizma grada Karlovca 2012.-2020.</w:t>
      </w:r>
      <w:r>
        <w:t>, Sažetak, str.  34.</w:t>
      </w:r>
    </w:p>
  </w:footnote>
  <w:footnote w:id="22">
    <w:p w14:paraId="2FCD7C5F" w14:textId="77777777" w:rsidR="00CE796C" w:rsidRPr="00710525" w:rsidRDefault="00CE796C" w:rsidP="00DC4135">
      <w:pPr>
        <w:rPr>
          <w:rStyle w:val="FootnoteTextChar"/>
        </w:rPr>
      </w:pPr>
      <w:r w:rsidRPr="00D90954">
        <w:rPr>
          <w:rStyle w:val="FootnoteReference"/>
        </w:rPr>
        <w:footnoteRef/>
      </w:r>
      <w:r>
        <w:t xml:space="preserve"> </w:t>
      </w:r>
      <w:r w:rsidRPr="00710525">
        <w:rPr>
          <w:rStyle w:val="FootnoteTextChar"/>
        </w:rPr>
        <w:t>ESPAS</w:t>
      </w:r>
      <w:r>
        <w:rPr>
          <w:rStyle w:val="FootnoteTextChar"/>
        </w:rPr>
        <w:t xml:space="preserve"> Report 2019: </w:t>
      </w:r>
      <w:r w:rsidRPr="00B27E06">
        <w:rPr>
          <w:rStyle w:val="FootnoteTextChar"/>
          <w:i/>
        </w:rPr>
        <w:t>Global Trends to 2030: Challenges and Choices for Europe</w:t>
      </w:r>
      <w:r>
        <w:rPr>
          <w:rStyle w:val="FootnoteTextChar"/>
          <w:i/>
        </w:rPr>
        <w:t>,</w:t>
      </w:r>
      <w:r w:rsidRPr="00710525">
        <w:rPr>
          <w:rStyle w:val="FootnoteTextChar"/>
        </w:rPr>
        <w:t xml:space="preserve"> Publications Office of the European Union </w:t>
      </w:r>
      <w:r>
        <w:rPr>
          <w:rStyle w:val="FootnoteTextChar"/>
        </w:rPr>
        <w:t>April 5, 2019</w:t>
      </w:r>
      <w:r w:rsidRPr="00710525">
        <w:rPr>
          <w:rStyle w:val="FootnoteTextChar"/>
        </w:rPr>
        <w:t>; (ESPAS (European Strategy and Policy Analysis System) je inter-institucionalni projekt Europskog parlamenta, Europske Komisije, Vijeća EU i Europske službe za vanjsko djelovanje koji radi na srednjoročnim i dugoročnim trendovima koje se tiču EU)</w:t>
      </w:r>
    </w:p>
    <w:p w14:paraId="79290799" w14:textId="77777777" w:rsidR="00CE796C" w:rsidRDefault="00CE796C" w:rsidP="00DC4135">
      <w:pPr>
        <w:pStyle w:val="FootnoteText"/>
      </w:pPr>
    </w:p>
  </w:footnote>
  <w:footnote w:id="23">
    <w:p w14:paraId="33747785" w14:textId="656DFFB5" w:rsidR="00CE796C" w:rsidRPr="00EC1C17" w:rsidRDefault="00CE796C" w:rsidP="00EC1C17">
      <w:pPr>
        <w:rPr>
          <w:rStyle w:val="FootnoteTextChar"/>
        </w:rPr>
      </w:pPr>
      <w:r>
        <w:rPr>
          <w:rStyle w:val="FootnoteReference"/>
        </w:rPr>
        <w:footnoteRef/>
      </w:r>
      <w:r>
        <w:t xml:space="preserve"> </w:t>
      </w:r>
      <w:r w:rsidRPr="00EC1C17">
        <w:rPr>
          <w:rStyle w:val="FootnoteTextChar"/>
        </w:rPr>
        <w:t xml:space="preserve">U svrhu detaljnije utvrđivanja razvojnih problema i potreba poslovnog sektora, odnosno kako bi se dobio uvid u potrebe i stavove poduzetnika koji posluju na području VUPKA, u sklopu izrade </w:t>
      </w:r>
      <w:r>
        <w:rPr>
          <w:rStyle w:val="FootnoteTextChar"/>
        </w:rPr>
        <w:t>SRVUPKA</w:t>
      </w:r>
      <w:r w:rsidRPr="00EC1C17">
        <w:rPr>
          <w:rStyle w:val="FootnoteTextChar"/>
        </w:rPr>
        <w:t xml:space="preserve"> u srpnju 2019. održana je posebna radionica s gospodarstvenicima te izvršeno anketno ispitivanje poduzetnika, rezultati ko</w:t>
      </w:r>
      <w:r>
        <w:rPr>
          <w:rStyle w:val="FootnoteTextChar"/>
        </w:rPr>
        <w:t xml:space="preserve">jeg su predstavljeni u Dodatku </w:t>
      </w:r>
      <w:r w:rsidRPr="00EC1C17">
        <w:rPr>
          <w:rStyle w:val="FootnoteTextChar"/>
        </w:rPr>
        <w:t xml:space="preserve"> Priloga 2. Socioekonomska analiza područja </w:t>
      </w:r>
    </w:p>
  </w:footnote>
  <w:footnote w:id="24">
    <w:p w14:paraId="664D9A97" w14:textId="039DC99B" w:rsidR="00CE796C" w:rsidRPr="00CD628D" w:rsidRDefault="00CE796C" w:rsidP="00655D2A">
      <w:r w:rsidRPr="00D90954">
        <w:rPr>
          <w:rStyle w:val="FootnoteReference"/>
        </w:rPr>
        <w:footnoteRef/>
      </w:r>
      <w:r>
        <w:t xml:space="preserve"> </w:t>
      </w:r>
      <w:r w:rsidRPr="00655D2A">
        <w:rPr>
          <w:rStyle w:val="FootnoteTextChar"/>
        </w:rPr>
        <w:t xml:space="preserve">Strategija razvoja grada Karlovca za razdoblje 2013. – 2020.; Strategija razvoja grada Ozlja 2016.-2020.; Strateški razvojni program grada Duge Rese 2016.-2020. Osim navedenih općih strateških dokumenata, tijekom izrade </w:t>
      </w:r>
      <w:r>
        <w:rPr>
          <w:rStyle w:val="FootnoteTextChar"/>
        </w:rPr>
        <w:t>SRVUPKA</w:t>
      </w:r>
      <w:r w:rsidRPr="00655D2A">
        <w:rPr>
          <w:rStyle w:val="FootnoteTextChar"/>
        </w:rPr>
        <w:t>, posebice u dijelu razrade prioriteta i mjera, konzultirane su i lokalne sektorske strategije, kao što su Strategija kulturnog razvoja grada Karlovca 2014.-2024., Strategija razvoja turizma grada Karlovca, Plan gospodarenja otpadom Grad Karlovac za razdoblje 2017.-2022., Strategija razvoja sporta Grada Karlovca 2012.-2020., Strategija razvoja Pametnog grada Grada Karlovca, Plan upravljanja Zvijezdom 2018.-2028., Strategija integralnog razvoja ruralnih područja Grada Karlovca te prostorni planovi triju JLS.</w:t>
      </w:r>
    </w:p>
    <w:p w14:paraId="703A69DB" w14:textId="0C997862" w:rsidR="00CE796C" w:rsidRDefault="00CE796C">
      <w:pPr>
        <w:pStyle w:val="FootnoteText"/>
      </w:pPr>
    </w:p>
  </w:footnote>
  <w:footnote w:id="25">
    <w:p w14:paraId="578F86E4" w14:textId="6B170222" w:rsidR="00CE796C" w:rsidRDefault="00CE796C" w:rsidP="00E24A52">
      <w:pPr>
        <w:pStyle w:val="FootnoteText"/>
      </w:pPr>
      <w:r>
        <w:rPr>
          <w:rStyle w:val="FootnoteReference"/>
        </w:rPr>
        <w:footnoteRef/>
      </w:r>
      <w:r>
        <w:t xml:space="preserve"> </w:t>
      </w:r>
      <w:r w:rsidRPr="00745106">
        <w:rPr>
          <w:b/>
        </w:rPr>
        <w:t>Ovako odabrane domene korespondiraju tematskim područjima N</w:t>
      </w:r>
      <w:r>
        <w:rPr>
          <w:b/>
        </w:rPr>
        <w:t>acionalne razvojne strategije (N</w:t>
      </w:r>
      <w:r w:rsidRPr="00745106">
        <w:rPr>
          <w:b/>
        </w:rPr>
        <w:t>RS</w:t>
      </w:r>
      <w:r>
        <w:rPr>
          <w:b/>
        </w:rPr>
        <w:t>)</w:t>
      </w:r>
      <w:r w:rsidRPr="00745106">
        <w:rPr>
          <w:b/>
        </w:rPr>
        <w:t xml:space="preserve"> 2030</w:t>
      </w:r>
      <w:r>
        <w:t>.: Turizam i kreativno društvo, Energija i održivi okoliš, Zdravlje i kvaliteta života, Promet i mobilnost, Hrana i bio-ekonomija, Sigurnost i Digitalno društvo te horizontalne teme: Konkurentnost i industrijski razvoj te razvoj poduzetništva, Obrazovanje, znanost i razvoj ljudskih potencijala i Demografija i socijalne politike. Dodatno, NRS kao horizontalne teme prepoznaje još i Makroekonomsku politiku te Pravosuđe i dobro upravljanje.</w:t>
      </w:r>
    </w:p>
  </w:footnote>
  <w:footnote w:id="26">
    <w:p w14:paraId="566F19EB" w14:textId="138C7C48" w:rsidR="00CE796C" w:rsidRDefault="00CE796C">
      <w:pPr>
        <w:pStyle w:val="FootnoteText"/>
      </w:pPr>
      <w:r>
        <w:rPr>
          <w:rStyle w:val="FootnoteReference"/>
        </w:rPr>
        <w:footnoteRef/>
      </w:r>
      <w:r>
        <w:t xml:space="preserve"> Projektna ideja izgradnje sportsko rekreacijskog centra, Projektni prijedlog istraživanja geotermalnih kapaciteta i Projekt vodoopskrbe i odvodnje Aglomeracija Karlovac – Duga Resa. Ova su tri projekta procijenjena na ukupno 869.943.500 HRK, odnosno skoro 116 mil. EUR.</w:t>
      </w:r>
    </w:p>
  </w:footnote>
  <w:footnote w:id="27">
    <w:p w14:paraId="4D476A0F" w14:textId="5DF7DB53" w:rsidR="00CE796C" w:rsidRDefault="00CE796C">
      <w:pPr>
        <w:pStyle w:val="FootnoteText"/>
      </w:pPr>
      <w:r>
        <w:rPr>
          <w:rStyle w:val="FootnoteReference"/>
        </w:rPr>
        <w:footnoteRef/>
      </w:r>
      <w:r>
        <w:t xml:space="preserve"> Udio svake od 3 JLS u ukupnoj vrijednosti inicijalne baze projekata bez navedena 3 projekta regionalne važnosti bi iznosio: Karlovac – 53%, Ozalj – 17%, Duga Resa – 29%.</w:t>
      </w:r>
    </w:p>
  </w:footnote>
  <w:footnote w:id="28">
    <w:p w14:paraId="6BD256F6" w14:textId="77777777" w:rsidR="00CE796C" w:rsidRDefault="00CE796C" w:rsidP="009B5DDC">
      <w:pPr>
        <w:pStyle w:val="FootnoteText"/>
      </w:pPr>
      <w:r>
        <w:rPr>
          <w:rStyle w:val="FootnoteReference"/>
        </w:rPr>
        <w:footnoteRef/>
      </w:r>
      <w:r>
        <w:t xml:space="preserve"> Prema </w:t>
      </w:r>
      <w:r w:rsidRPr="009B5DDC">
        <w:rPr>
          <w:i/>
        </w:rPr>
        <w:t>Smjernicama za izradu strategije razvoja urbanih područja, praćenje njihove provedbe i vrednovanje</w:t>
      </w:r>
      <w:r>
        <w:t>, projekti se dijele u tri kategorije:</w:t>
      </w:r>
    </w:p>
    <w:p w14:paraId="2739468C" w14:textId="7F5F0949" w:rsidR="00CE796C" w:rsidRPr="009B5DDC" w:rsidRDefault="00CE796C" w:rsidP="009B5DDC">
      <w:pPr>
        <w:pStyle w:val="FootnoteText"/>
        <w:spacing w:before="60" w:after="60"/>
      </w:pPr>
      <w:r w:rsidRPr="009B5DDC">
        <w:t>Projekti neposredne realizacije („1“) su projekti koji su spremni za provedbu odmah nakon prihvaćanja SRUP-a, tj. imaju ili će do trenutka prihvaćanja SRUP-a imati svu potrebnu dokumentaciju za početak provedbe</w:t>
      </w:r>
    </w:p>
    <w:p w14:paraId="5B544073" w14:textId="4AC96878" w:rsidR="00CE796C" w:rsidRPr="009B5DDC" w:rsidRDefault="00CE796C" w:rsidP="009B5DDC">
      <w:pPr>
        <w:pStyle w:val="FootnoteText"/>
        <w:spacing w:before="60" w:after="60"/>
      </w:pPr>
      <w:r w:rsidRPr="009B5DDC">
        <w:t xml:space="preserve">Projekti realizacije u srednjoročnom planskom razdoblju („2“) su projekti čija provedba može započeti u </w:t>
      </w:r>
      <w:r>
        <w:t>razdoblju</w:t>
      </w:r>
      <w:r w:rsidRPr="009B5DDC">
        <w:t xml:space="preserve"> od 1-3 godine nakon donošenja SRUP-a. Za ove projekte gore navedena dokumentacija koja je potrebna za početak provedbe može biti ishođena za maksimalno 3 godine od trenutka donošenja SRUP-a (uključujući rješavanje vlasničkih pitanja, usklađenost s prostornim planovima i sl.)</w:t>
      </w:r>
    </w:p>
    <w:p w14:paraId="74466695" w14:textId="1687A9B3" w:rsidR="00CE796C" w:rsidRDefault="00CE796C" w:rsidP="009B5DDC">
      <w:pPr>
        <w:pStyle w:val="FootnoteText"/>
        <w:spacing w:before="60" w:after="60"/>
      </w:pPr>
      <w:r w:rsidRPr="009B5DDC">
        <w:t>Projekti realizacije u dugoročnom planskom razdoblju („3“) su projekti čija provedba može započeti za više od 3 godine nakon donošenja SRUP-a. Za ove projekte gore navedena dokumentacija koja je potrebna za početak provedbe može biti ishođena za više od 3 godine od trenutka donošenja SRUP-a.</w:t>
      </w:r>
    </w:p>
  </w:footnote>
  <w:footnote w:id="29">
    <w:p w14:paraId="771D2AC5" w14:textId="69A7CD41" w:rsidR="00CE796C" w:rsidRDefault="00CE796C">
      <w:pPr>
        <w:pStyle w:val="FootnoteText"/>
      </w:pPr>
      <w:r>
        <w:rPr>
          <w:rStyle w:val="FootnoteReference"/>
        </w:rPr>
        <w:footnoteRef/>
      </w:r>
      <w:r>
        <w:t xml:space="preserve"> Prioritetno, radi se o intervencijama u gradske jezgre; urbane jezgre gradova Karlovac i Duga Resa su  zaštićene kulturno-povijesne cjeline temeljem Zakona o zaštiti i očuvanju kulturnih dobara (NN 69/99, 151/03, 157/03, 100/04, 87/09, 88/10, 61/11, 25/12, 136/12, 157/13, 152/14, 98/15, 44/17, 90/18); na području JLS Karlovac su zaštićene dvije kulturno povijesne cjeline: cjelina Karlovac (Zvijezda kao zona A te kontaktne zone B i C koje obuhvaćaju Baniju i Dubovac) te cjelina ulice Rakovac; urbanu jezgru grada Ozlja čini područje uz rijeku Kupu s nekoliko pojedinačno zaštićenih kulturnih dobara (stara hidroelektrana, Stari grad Ozalj, kuća Slave Raškaj...).</w:t>
      </w:r>
    </w:p>
  </w:footnote>
  <w:footnote w:id="30">
    <w:p w14:paraId="7948A028" w14:textId="644252BD" w:rsidR="00CE796C" w:rsidRDefault="00CE796C" w:rsidP="003A4616">
      <w:pPr>
        <w:pStyle w:val="FootnoteText"/>
      </w:pPr>
      <w:r>
        <w:rPr>
          <w:rStyle w:val="FootnoteReference"/>
        </w:rPr>
        <w:footnoteRef/>
      </w:r>
      <w:r>
        <w:t xml:space="preserve"> Karlovac:  gradska četvrt Zvijezda; Ozalj: MO Ozalj, Duga Resa</w:t>
      </w:r>
      <w:r w:rsidRPr="008E2FDA">
        <w:t>: MO Sv. Antun i MO Varoš</w:t>
      </w:r>
    </w:p>
  </w:footnote>
  <w:footnote w:id="31">
    <w:p w14:paraId="4A818857" w14:textId="3EA47EC9" w:rsidR="00CE796C" w:rsidRDefault="00CE796C">
      <w:pPr>
        <w:pStyle w:val="FootnoteText"/>
      </w:pPr>
      <w:r>
        <w:rPr>
          <w:rStyle w:val="FootnoteReference"/>
        </w:rPr>
        <w:footnoteRef/>
      </w:r>
      <w:r>
        <w:t xml:space="preserve"> Hrvatska gospodarska komora, </w:t>
      </w:r>
      <w:r w:rsidRPr="0021070A">
        <w:rPr>
          <w:i/>
        </w:rPr>
        <w:t>BDP po županijama 2015. godine</w:t>
      </w:r>
      <w:r>
        <w:t>, travanj 2018. Metodologija ocjene regionalne konkurentnosti temelji se na indikatorima (statističkim i anketnim/perceptivnim) koji mjere performans po 17 stupova konkurentnosti podijeljenih u one koji se tiču poslovnog okruženja i poslovnog sektora.</w:t>
      </w:r>
    </w:p>
  </w:footnote>
  <w:footnote w:id="32">
    <w:p w14:paraId="1D9CD840" w14:textId="2C873F11" w:rsidR="00CE796C" w:rsidRDefault="00CE796C">
      <w:pPr>
        <w:pStyle w:val="FootnoteText"/>
      </w:pPr>
      <w:r>
        <w:rPr>
          <w:rStyle w:val="FootnoteReference"/>
        </w:rPr>
        <w:footnoteRef/>
      </w:r>
      <w:r>
        <w:t xml:space="preserve"> Sažetak Izvješća o provedenom postupku prethodnog vrednovanja izradio je autor Izvješća, Plavi partner d.o.o.</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CBEF3FA" w14:textId="0318BA16" w:rsidR="00CE796C" w:rsidRDefault="00CE796C">
    <w:pPr>
      <w:pStyle w:val="Header"/>
    </w:pPr>
    <w:r>
      <w:rPr>
        <w:noProof/>
        <w:lang w:val="en-US"/>
      </w:rPr>
      <w:pict w14:anchorId="21D1A7A2">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3" type="#_x0000_t136" style="position:absolute;left:0;text-align:left;margin-left:0;margin-top:0;width:568.45pt;height:71.05pt;rotation:315;z-index:-251654656;mso-wrap-edited:f;mso-position-horizontal:center;mso-position-horizontal-relative:margin;mso-position-vertical:center;mso-position-vertical-relative:margin" wrapcoords="20460 5229 20175 5002 19890 5002 19804 5229 19548 7957 19035 5456 18721 4774 18294 7048 17838 5911 17382 3637 16841 6821 15986 4774 15587 5456 15473 6593 15672 12960 14362 6138 14048 4774 13735 5002 13535 5456 13478 6138 13250 9094 12709 5456 12424 4547 11996 7275 12110 10458 12424 13187 12025 15233 10828 5911 10372 3410 9831 7503 9261 5229 8919 4320 8805 5002 8520 5911 8434 7048 8776 9776 7522 5002 4302 5002 4017 5229 3818 5684 3704 6366 3505 8867 2792 5684 2507 4547 2393 5229 2194 8640 1510 5229 1339 5229 1282 6593 427 5002 256 5229 199 5911 199 15688 370 17052 484 16370 512 15915 512 10913 1339 17052 1937 17052 2051 16597 2137 15688 2251 14096 3220 17052 3362 16597 3305 15233 3020 10231 3761 15915 4302 18416 4559 17052 5328 16825 5357 13414 6098 17280 6269 16597 6183 14551 7067 17280 7152 16597 7181 7503 7978 13414 8862 18416 9090 17280 9546 15688 10372 17280 10800 16370 10885 16143 11569 17052 12880 16825 13079 16597 13051 15461 12737 10686 13450 15915 13991 18416 14418 15233 14504 14324 14960 17734 15188 15915 14532 9549 15444 16370 15872 18644 16100 16825 16527 16825 16613 15688 16413 14096 17354 17507 17496 17280 17810 16370 17952 15915 18636 17280 20061 17280 20488 16370 20545 16143 21229 17052 21258 16825 21457 16370 21400 15233 20716 7503 20460 5229" fillcolor="silver" stroked="f">
          <v:textpath style="font-family:&quot;Calibri&quot;;font-size:1pt" string="NACRT 30.10.2019."/>
          <w10:wrap anchorx="margin" anchory="margin"/>
        </v:shape>
      </w:pict>
    </w:r>
    <w:r>
      <w:rPr>
        <w:noProof/>
        <w:lang w:val="en-US"/>
      </w:rPr>
      <w:pict w14:anchorId="5879DBD7">
        <v:shape id="PowerPlusWaterMarkObject2" o:spid="_x0000_s2050" type="#_x0000_t136" style="position:absolute;left:0;text-align:left;margin-left:0;margin-top:0;width:572pt;height:71.5pt;rotation:315;z-index:-251658752;mso-wrap-edited:f;mso-position-horizontal:center;mso-position-horizontal-relative:margin;mso-position-vertical:center;mso-position-vertical-relative:margin" wrapcoords="20552 5456 20411 5002 19958 4774 19873 5229 19590 7957 19108 5456 18712 4320 18570 5002 18316 5911 18259 7048 18740 11595 17834 5911 17438 3865 17098 5229 16872 6821 16051 4774 15739 5229 15513 5684 15456 6366 15683 12505 14975 9094 14069 5002 13730 5002 13531 5229 13361 6366 13531 10458 12852 5456 12427 3410 12173 5229 11889 7957 11861 12505 10870 5002 9908 5229 9795 6366 10361 11141 9285 5911 9030 4774 8549 6821 8492 7048 8832 14096 7728 5684 7303 3183 7049 5002 4189 5002 3934 5229 3850 5456 3566 7957 2604 4774 2462 5229 2321 6138 2236 7503 1358 4774 1273 5229 566 5456 339 4547 198 6593 198 15688 339 16825 481 16597 537 14096 1443 17052 2094 16825 2406 14096 2547 15006 3283 17052 3368 16370 4076 16825 4614 16825 4671 16597 5322 16825 5350 12505 6114 17507 6369 15461 6228 13642 7077 17280 7190 16370 7190 11368 7275 7048 8407 15688 8945 18644 9172 16825 9568 16597 9625 15688 9540 14551 10276 17280 10389 16370 10587 12960 10899 15233 11521 17280 11691 16370 12427 17052 12880 16597 12965 16370 13673 16825 16532 16825 16617 15915 16560 14324 17381 17734 17806 15915 17919 15233 18061 16143 18684 17507 18825 17052 19420 16597 20127 17280 20637 16370 21345 17052 21486 15915 21345 13869 20722 6821 20552 5456" fillcolor="silver" stroked="f">
          <v:textpath style="font-family:&quot;Calibri&quot;;font-size:1pt" string="NACRT 17.02.2020."/>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6AA1D6E" w14:textId="2C612D31" w:rsidR="00CE796C" w:rsidRPr="00664C19" w:rsidRDefault="00CE796C" w:rsidP="00664C19">
    <w:pPr>
      <w:pStyle w:val="Header"/>
      <w:pBdr>
        <w:bottom w:val="single" w:sz="4" w:space="1" w:color="BFBFBF" w:themeColor="background1" w:themeShade="BF"/>
      </w:pBdr>
      <w:rPr>
        <w:rFonts w:ascii="Calibri Light" w:hAnsi="Calibri Light"/>
        <w:i/>
        <w:color w:val="808080" w:themeColor="background1" w:themeShade="80"/>
        <w:sz w:val="18"/>
        <w:szCs w:val="18"/>
      </w:rPr>
    </w:pPr>
    <w:r>
      <w:rPr>
        <w:noProof/>
        <w:lang w:val="en-US"/>
      </w:rPr>
      <w:pict w14:anchorId="61664B3C">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2" type="#_x0000_t136" style="position:absolute;left:0;text-align:left;margin-left:0;margin-top:0;width:572pt;height:71.5pt;rotation:315;z-index:-251656704;mso-wrap-edited:f;mso-position-horizontal:center;mso-position-horizontal-relative:margin;mso-position-vertical:center;mso-position-vertical-relative:margin" wrapcoords="20552 5456 20411 5002 19958 4774 19873 5229 19590 7957 19108 5456 18712 4320 18570 5002 18316 5911 18259 7048 18740 11595 17834 5911 17438 3865 17098 5229 16872 6821 16051 4774 15739 5229 15513 5684 15456 6366 15683 12505 14975 9094 14069 5002 13730 5002 13531 5229 13361 6366 13531 10458 12852 5456 12427 3410 12173 5229 11889 7957 11861 12505 10870 5002 9908 5229 9795 6366 10361 11141 9285 5911 9030 4774 8549 6821 8492 7048 8832 14096 7728 5684 7303 3183 7049 5002 4189 5002 3934 5229 3850 5456 3566 7957 2604 4774 2462 5229 2321 6138 2236 7503 1358 4774 1273 5229 566 5456 339 4547 198 6593 198 15688 339 16825 481 16597 537 14096 1443 17052 2094 16825 2406 14096 2547 15006 3283 17052 3368 16370 4076 16825 4614 16825 4671 16597 5322 16825 5350 12505 6114 17507 6369 15461 6228 13642 7077 17280 7190 16370 7190 11368 7275 7048 8407 15688 8945 18644 9172 16825 9568 16597 9625 15688 9540 14551 10276 17280 10389 16370 10587 12960 10899 15233 11521 17280 11691 16370 12427 17052 12880 16597 12965 16370 13673 16825 16532 16825 16617 15915 16560 14324 17381 17734 17806 15915 17919 15233 18061 16143 18684 17507 18825 17052 19420 16597 20127 17280 20637 16370 21345 17052 21486 15915 21345 13869 20722 6821 20552 5456" fillcolor="silver" stroked="f">
          <v:textpath style="font-family:&quot;Calibri&quot;;font-size:1pt" string="NACRT 17.02.2020."/>
          <w10:wrap anchorx="margin" anchory="margin"/>
        </v:shape>
      </w:pict>
    </w:r>
    <w:r w:rsidRPr="00664C19">
      <w:rPr>
        <w:rFonts w:ascii="Calibri Light" w:hAnsi="Calibri Light"/>
        <w:i/>
        <w:color w:val="808080" w:themeColor="background1" w:themeShade="80"/>
        <w:sz w:val="18"/>
        <w:szCs w:val="18"/>
      </w:rPr>
      <w:t>Strategija razvoja većeg urbanog područja Karlovac 2019. -2027.</w:t>
    </w:r>
    <w:r>
      <w:rPr>
        <w:rFonts w:ascii="Calibri Light" w:hAnsi="Calibri Light"/>
        <w:i/>
        <w:color w:val="808080" w:themeColor="background1" w:themeShade="80"/>
        <w:sz w:val="18"/>
        <w:szCs w:val="18"/>
      </w:rPr>
      <w:t xml:space="preserve"> </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32849021" w14:textId="72F73AC5" w:rsidR="00CE796C" w:rsidRDefault="00CE796C">
    <w:pPr>
      <w:pStyle w:val="Header"/>
    </w:pPr>
    <w:r>
      <w:rPr>
        <w:noProof/>
        <w:lang w:val="en-US"/>
      </w:rPr>
      <w:pict w14:anchorId="6D1C5509">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4" type="#_x0000_t136" style="position:absolute;left:0;text-align:left;margin-left:0;margin-top:0;width:572pt;height:71.5pt;rotation:315;z-index:-251652608;mso-wrap-edited:f;mso-position-horizontal:center;mso-position-horizontal-relative:margin;mso-position-vertical:center;mso-position-vertical-relative:margin" wrapcoords="20552 5456 20411 5002 19958 4774 19873 5229 19590 7957 19108 5456 18712 4320 18570 5002 18316 5911 18259 7048 18740 11595 17834 5911 17438 3865 17098 5229 16872 6821 16051 4774 15739 5229 15513 5684 15456 6366 15683 12505 14975 9094 14069 5002 13730 5002 13531 5229 13361 6366 13531 10458 12852 5456 12427 3410 12173 5229 11889 7957 11861 12505 10870 5002 9908 5229 9795 6366 10361 11141 9285 5911 9030 4774 8549 6821 8492 7048 8832 14096 7728 5684 7303 3183 7049 5002 4189 5002 3934 5229 3850 5456 3566 7957 2604 4774 2462 5229 2321 6138 2236 7503 1358 4774 1273 5229 566 5456 339 4547 198 6593 198 15688 339 16825 481 16597 537 14096 1443 17052 2094 16825 2406 14096 2547 15006 3283 17052 3368 16370 4076 16825 4614 16825 4671 16597 5322 16825 5350 12505 6114 17507 6369 15461 6228 13642 7077 17280 7190 16370 7190 11368 7275 7048 8407 15688 8945 18644 9172 16825 9568 16597 9625 15688 9540 14551 10276 17280 10389 16370 10587 12960 10899 15233 11521 17280 11691 16370 12427 17052 12880 16597 12965 16370 13673 16825 16532 16825 16617 15915 16560 14324 17381 17734 17806 15915 17919 15233 18061 16143 18684 17507 18825 17052 19420 16597 20127 17280 20637 16370 21345 17052 21486 15915 21345 13869 20722 6821 20552 5456" fillcolor="silver" stroked="f">
          <v:textpath style="font-family:&quot;Calibri&quot;;font-size:1pt" string="NACRT 17.02.2020."/>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57282DD2"/>
    <w:lvl w:ilvl="0">
      <w:start w:val="1"/>
      <w:numFmt w:val="bullet"/>
      <w:pStyle w:val="ListBullet"/>
      <w:lvlText w:val=""/>
      <w:lvlJc w:val="left"/>
      <w:pPr>
        <w:ind w:left="720" w:hanging="360"/>
      </w:pPr>
      <w:rPr>
        <w:rFonts w:ascii="Wingdings" w:hAnsi="Wingdings" w:hint="default"/>
        <w:color w:val="auto"/>
        <w:sz w:val="24"/>
      </w:rPr>
    </w:lvl>
  </w:abstractNum>
  <w:abstractNum w:abstractNumId="1">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7D11EF3"/>
    <w:multiLevelType w:val="hybridMultilevel"/>
    <w:tmpl w:val="F6C21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C93A32"/>
    <w:multiLevelType w:val="hybridMultilevel"/>
    <w:tmpl w:val="A516C73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8D1B7D"/>
    <w:multiLevelType w:val="hybridMultilevel"/>
    <w:tmpl w:val="A48E6D20"/>
    <w:lvl w:ilvl="0" w:tplc="C7BAB152">
      <w:start w:val="1"/>
      <w:numFmt w:val="bullet"/>
      <w:lvlText w:val="•"/>
      <w:lvlJc w:val="left"/>
      <w:pPr>
        <w:tabs>
          <w:tab w:val="num" w:pos="720"/>
        </w:tabs>
        <w:ind w:left="720" w:hanging="360"/>
      </w:pPr>
      <w:rPr>
        <w:rFonts w:ascii="Times" w:hAnsi="Times" w:hint="default"/>
      </w:rPr>
    </w:lvl>
    <w:lvl w:ilvl="1" w:tplc="283A8AAC" w:tentative="1">
      <w:start w:val="1"/>
      <w:numFmt w:val="bullet"/>
      <w:lvlText w:val="•"/>
      <w:lvlJc w:val="left"/>
      <w:pPr>
        <w:tabs>
          <w:tab w:val="num" w:pos="1440"/>
        </w:tabs>
        <w:ind w:left="1440" w:hanging="360"/>
      </w:pPr>
      <w:rPr>
        <w:rFonts w:ascii="Times" w:hAnsi="Times" w:hint="default"/>
      </w:rPr>
    </w:lvl>
    <w:lvl w:ilvl="2" w:tplc="7F16ED16" w:tentative="1">
      <w:start w:val="1"/>
      <w:numFmt w:val="bullet"/>
      <w:lvlText w:val="•"/>
      <w:lvlJc w:val="left"/>
      <w:pPr>
        <w:tabs>
          <w:tab w:val="num" w:pos="2160"/>
        </w:tabs>
        <w:ind w:left="2160" w:hanging="360"/>
      </w:pPr>
      <w:rPr>
        <w:rFonts w:ascii="Times" w:hAnsi="Times" w:hint="default"/>
      </w:rPr>
    </w:lvl>
    <w:lvl w:ilvl="3" w:tplc="F154C32E" w:tentative="1">
      <w:start w:val="1"/>
      <w:numFmt w:val="bullet"/>
      <w:lvlText w:val="•"/>
      <w:lvlJc w:val="left"/>
      <w:pPr>
        <w:tabs>
          <w:tab w:val="num" w:pos="2880"/>
        </w:tabs>
        <w:ind w:left="2880" w:hanging="360"/>
      </w:pPr>
      <w:rPr>
        <w:rFonts w:ascii="Times" w:hAnsi="Times" w:hint="default"/>
      </w:rPr>
    </w:lvl>
    <w:lvl w:ilvl="4" w:tplc="446C47D4" w:tentative="1">
      <w:start w:val="1"/>
      <w:numFmt w:val="bullet"/>
      <w:lvlText w:val="•"/>
      <w:lvlJc w:val="left"/>
      <w:pPr>
        <w:tabs>
          <w:tab w:val="num" w:pos="3600"/>
        </w:tabs>
        <w:ind w:left="3600" w:hanging="360"/>
      </w:pPr>
      <w:rPr>
        <w:rFonts w:ascii="Times" w:hAnsi="Times" w:hint="default"/>
      </w:rPr>
    </w:lvl>
    <w:lvl w:ilvl="5" w:tplc="0A966990" w:tentative="1">
      <w:start w:val="1"/>
      <w:numFmt w:val="bullet"/>
      <w:lvlText w:val="•"/>
      <w:lvlJc w:val="left"/>
      <w:pPr>
        <w:tabs>
          <w:tab w:val="num" w:pos="4320"/>
        </w:tabs>
        <w:ind w:left="4320" w:hanging="360"/>
      </w:pPr>
      <w:rPr>
        <w:rFonts w:ascii="Times" w:hAnsi="Times" w:hint="default"/>
      </w:rPr>
    </w:lvl>
    <w:lvl w:ilvl="6" w:tplc="4D40E8EC" w:tentative="1">
      <w:start w:val="1"/>
      <w:numFmt w:val="bullet"/>
      <w:lvlText w:val="•"/>
      <w:lvlJc w:val="left"/>
      <w:pPr>
        <w:tabs>
          <w:tab w:val="num" w:pos="5040"/>
        </w:tabs>
        <w:ind w:left="5040" w:hanging="360"/>
      </w:pPr>
      <w:rPr>
        <w:rFonts w:ascii="Times" w:hAnsi="Times" w:hint="default"/>
      </w:rPr>
    </w:lvl>
    <w:lvl w:ilvl="7" w:tplc="47A61D7E" w:tentative="1">
      <w:start w:val="1"/>
      <w:numFmt w:val="bullet"/>
      <w:lvlText w:val="•"/>
      <w:lvlJc w:val="left"/>
      <w:pPr>
        <w:tabs>
          <w:tab w:val="num" w:pos="5760"/>
        </w:tabs>
        <w:ind w:left="5760" w:hanging="360"/>
      </w:pPr>
      <w:rPr>
        <w:rFonts w:ascii="Times" w:hAnsi="Times" w:hint="default"/>
      </w:rPr>
    </w:lvl>
    <w:lvl w:ilvl="8" w:tplc="DC6822CC" w:tentative="1">
      <w:start w:val="1"/>
      <w:numFmt w:val="bullet"/>
      <w:lvlText w:val="•"/>
      <w:lvlJc w:val="left"/>
      <w:pPr>
        <w:tabs>
          <w:tab w:val="num" w:pos="6480"/>
        </w:tabs>
        <w:ind w:left="6480" w:hanging="360"/>
      </w:pPr>
      <w:rPr>
        <w:rFonts w:ascii="Times" w:hAnsi="Times" w:hint="default"/>
      </w:rPr>
    </w:lvl>
  </w:abstractNum>
  <w:abstractNum w:abstractNumId="5">
    <w:nsid w:val="0BC123ED"/>
    <w:multiLevelType w:val="hybridMultilevel"/>
    <w:tmpl w:val="D98E9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CA36CA"/>
    <w:multiLevelType w:val="hybridMultilevel"/>
    <w:tmpl w:val="FD52B7FC"/>
    <w:lvl w:ilvl="0" w:tplc="EA9CF1E6">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DF817C1"/>
    <w:multiLevelType w:val="hybridMultilevel"/>
    <w:tmpl w:val="F24E3656"/>
    <w:lvl w:ilvl="0" w:tplc="EA9CF1E6">
      <w:start w:val="1"/>
      <w:numFmt w:val="bullet"/>
      <w:lvlText w:val=""/>
      <w:lvlJc w:val="left"/>
      <w:pPr>
        <w:ind w:left="823" w:hanging="360"/>
      </w:pPr>
      <w:rPr>
        <w:rFonts w:ascii="Wingdings" w:hAnsi="Wingdings" w:hint="default"/>
        <w:sz w:val="24"/>
        <w:szCs w:val="24"/>
      </w:rPr>
    </w:lvl>
    <w:lvl w:ilvl="1" w:tplc="04090003" w:tentative="1">
      <w:start w:val="1"/>
      <w:numFmt w:val="bullet"/>
      <w:lvlText w:val="o"/>
      <w:lvlJc w:val="left"/>
      <w:pPr>
        <w:ind w:left="1543" w:hanging="360"/>
      </w:pPr>
      <w:rPr>
        <w:rFonts w:ascii="Courier New" w:hAnsi="Courier New" w:hint="default"/>
      </w:rPr>
    </w:lvl>
    <w:lvl w:ilvl="2" w:tplc="04090005" w:tentative="1">
      <w:start w:val="1"/>
      <w:numFmt w:val="bullet"/>
      <w:lvlText w:val=""/>
      <w:lvlJc w:val="left"/>
      <w:pPr>
        <w:ind w:left="2263" w:hanging="360"/>
      </w:pPr>
      <w:rPr>
        <w:rFonts w:ascii="Wingdings" w:hAnsi="Wingdings" w:hint="default"/>
      </w:rPr>
    </w:lvl>
    <w:lvl w:ilvl="3" w:tplc="04090001" w:tentative="1">
      <w:start w:val="1"/>
      <w:numFmt w:val="bullet"/>
      <w:lvlText w:val=""/>
      <w:lvlJc w:val="left"/>
      <w:pPr>
        <w:ind w:left="2983" w:hanging="360"/>
      </w:pPr>
      <w:rPr>
        <w:rFonts w:ascii="Symbol" w:hAnsi="Symbol" w:hint="default"/>
      </w:rPr>
    </w:lvl>
    <w:lvl w:ilvl="4" w:tplc="04090003" w:tentative="1">
      <w:start w:val="1"/>
      <w:numFmt w:val="bullet"/>
      <w:lvlText w:val="o"/>
      <w:lvlJc w:val="left"/>
      <w:pPr>
        <w:ind w:left="3703" w:hanging="360"/>
      </w:pPr>
      <w:rPr>
        <w:rFonts w:ascii="Courier New" w:hAnsi="Courier New" w:hint="default"/>
      </w:rPr>
    </w:lvl>
    <w:lvl w:ilvl="5" w:tplc="04090005" w:tentative="1">
      <w:start w:val="1"/>
      <w:numFmt w:val="bullet"/>
      <w:lvlText w:val=""/>
      <w:lvlJc w:val="left"/>
      <w:pPr>
        <w:ind w:left="4423" w:hanging="360"/>
      </w:pPr>
      <w:rPr>
        <w:rFonts w:ascii="Wingdings" w:hAnsi="Wingdings" w:hint="default"/>
      </w:rPr>
    </w:lvl>
    <w:lvl w:ilvl="6" w:tplc="04090001" w:tentative="1">
      <w:start w:val="1"/>
      <w:numFmt w:val="bullet"/>
      <w:lvlText w:val=""/>
      <w:lvlJc w:val="left"/>
      <w:pPr>
        <w:ind w:left="5143" w:hanging="360"/>
      </w:pPr>
      <w:rPr>
        <w:rFonts w:ascii="Symbol" w:hAnsi="Symbol" w:hint="default"/>
      </w:rPr>
    </w:lvl>
    <w:lvl w:ilvl="7" w:tplc="04090003" w:tentative="1">
      <w:start w:val="1"/>
      <w:numFmt w:val="bullet"/>
      <w:lvlText w:val="o"/>
      <w:lvlJc w:val="left"/>
      <w:pPr>
        <w:ind w:left="5863" w:hanging="360"/>
      </w:pPr>
      <w:rPr>
        <w:rFonts w:ascii="Courier New" w:hAnsi="Courier New" w:hint="default"/>
      </w:rPr>
    </w:lvl>
    <w:lvl w:ilvl="8" w:tplc="04090005" w:tentative="1">
      <w:start w:val="1"/>
      <w:numFmt w:val="bullet"/>
      <w:lvlText w:val=""/>
      <w:lvlJc w:val="left"/>
      <w:pPr>
        <w:ind w:left="6583" w:hanging="360"/>
      </w:pPr>
      <w:rPr>
        <w:rFonts w:ascii="Wingdings" w:hAnsi="Wingdings" w:hint="default"/>
      </w:rPr>
    </w:lvl>
  </w:abstractNum>
  <w:abstractNum w:abstractNumId="8">
    <w:nsid w:val="10A06EEE"/>
    <w:multiLevelType w:val="hybridMultilevel"/>
    <w:tmpl w:val="DC3EBB4C"/>
    <w:lvl w:ilvl="0" w:tplc="EA9CF1E6">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AC1D7B"/>
    <w:multiLevelType w:val="hybridMultilevel"/>
    <w:tmpl w:val="638C82B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2A20948"/>
    <w:multiLevelType w:val="hybridMultilevel"/>
    <w:tmpl w:val="6B2AB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A035D6"/>
    <w:multiLevelType w:val="hybridMultilevel"/>
    <w:tmpl w:val="09E63D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A555264"/>
    <w:multiLevelType w:val="hybridMultilevel"/>
    <w:tmpl w:val="158A98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C423B2F"/>
    <w:multiLevelType w:val="hybridMultilevel"/>
    <w:tmpl w:val="6AD85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D394772"/>
    <w:multiLevelType w:val="hybridMultilevel"/>
    <w:tmpl w:val="4FCCB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16846B0"/>
    <w:multiLevelType w:val="multilevel"/>
    <w:tmpl w:val="67EAF5A4"/>
    <w:lvl w:ilvl="0">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nsid w:val="23DF5C55"/>
    <w:multiLevelType w:val="hybridMultilevel"/>
    <w:tmpl w:val="08B68A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AE002F2"/>
    <w:multiLevelType w:val="hybridMultilevel"/>
    <w:tmpl w:val="69348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C0B6CC0"/>
    <w:multiLevelType w:val="hybridMultilevel"/>
    <w:tmpl w:val="ABC42C5A"/>
    <w:lvl w:ilvl="0" w:tplc="04090001">
      <w:start w:val="1"/>
      <w:numFmt w:val="bullet"/>
      <w:lvlText w:val=""/>
      <w:lvlJc w:val="left"/>
      <w:pPr>
        <w:ind w:left="360" w:hanging="360"/>
      </w:pPr>
      <w:rPr>
        <w:rFonts w:ascii="Symbol" w:hAnsi="Symbol" w:hint="default"/>
        <w:sz w:val="24"/>
        <w:szCs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C46477A"/>
    <w:multiLevelType w:val="hybridMultilevel"/>
    <w:tmpl w:val="BA3ABD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A526BD"/>
    <w:multiLevelType w:val="hybridMultilevel"/>
    <w:tmpl w:val="8EAE45E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nsid w:val="35C3420A"/>
    <w:multiLevelType w:val="hybridMultilevel"/>
    <w:tmpl w:val="6460251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66E5337"/>
    <w:multiLevelType w:val="hybridMultilevel"/>
    <w:tmpl w:val="5D226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6AE718D"/>
    <w:multiLevelType w:val="hybridMultilevel"/>
    <w:tmpl w:val="161A53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A73065B"/>
    <w:multiLevelType w:val="hybridMultilevel"/>
    <w:tmpl w:val="1F429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B0E5072"/>
    <w:multiLevelType w:val="hybridMultilevel"/>
    <w:tmpl w:val="EA6E043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B9051AD"/>
    <w:multiLevelType w:val="hybridMultilevel"/>
    <w:tmpl w:val="2D6CE7E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E003560"/>
    <w:multiLevelType w:val="hybridMultilevel"/>
    <w:tmpl w:val="DB82BF1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2D81B19"/>
    <w:multiLevelType w:val="hybridMultilevel"/>
    <w:tmpl w:val="7EE0FCB0"/>
    <w:lvl w:ilvl="0" w:tplc="0F82609A">
      <w:start w:val="1"/>
      <w:numFmt w:val="bullet"/>
      <w:lvlText w:val=""/>
      <w:lvlJc w:val="left"/>
      <w:pPr>
        <w:ind w:left="720" w:hanging="360"/>
      </w:pPr>
      <w:rPr>
        <w:rFonts w:ascii="Wingdings" w:hAnsi="Wingdings" w:hint="default"/>
        <w:color w:val="9DBCB0"/>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45E07759"/>
    <w:multiLevelType w:val="hybridMultilevel"/>
    <w:tmpl w:val="E21862CC"/>
    <w:lvl w:ilvl="0" w:tplc="0F82609A">
      <w:start w:val="1"/>
      <w:numFmt w:val="bullet"/>
      <w:lvlText w:val=""/>
      <w:lvlJc w:val="left"/>
      <w:pPr>
        <w:ind w:left="720" w:hanging="360"/>
      </w:pPr>
      <w:rPr>
        <w:rFonts w:ascii="Wingdings" w:hAnsi="Wingdings" w:hint="default"/>
        <w:color w:val="9DBCB0"/>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465B4267"/>
    <w:multiLevelType w:val="hybridMultilevel"/>
    <w:tmpl w:val="42DC5C28"/>
    <w:lvl w:ilvl="0" w:tplc="EA9CF1E6">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DBC5965"/>
    <w:multiLevelType w:val="hybridMultilevel"/>
    <w:tmpl w:val="5DB8A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DCE214F"/>
    <w:multiLevelType w:val="hybridMultilevel"/>
    <w:tmpl w:val="1764C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FA700B0"/>
    <w:multiLevelType w:val="hybridMultilevel"/>
    <w:tmpl w:val="4260B6B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3871C0D"/>
    <w:multiLevelType w:val="hybridMultilevel"/>
    <w:tmpl w:val="BF76B9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543B2944"/>
    <w:multiLevelType w:val="hybridMultilevel"/>
    <w:tmpl w:val="BD944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7A05B82"/>
    <w:multiLevelType w:val="hybridMultilevel"/>
    <w:tmpl w:val="C1E8612C"/>
    <w:lvl w:ilvl="0" w:tplc="A05A40B6">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37">
    <w:nsid w:val="5E60525D"/>
    <w:multiLevelType w:val="hybridMultilevel"/>
    <w:tmpl w:val="FA18210A"/>
    <w:lvl w:ilvl="0" w:tplc="6F360972">
      <w:start w:val="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5EF17F9B"/>
    <w:multiLevelType w:val="hybridMultilevel"/>
    <w:tmpl w:val="8054B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77F5062"/>
    <w:multiLevelType w:val="hybridMultilevel"/>
    <w:tmpl w:val="F84ABC62"/>
    <w:lvl w:ilvl="0" w:tplc="920423DA">
      <w:start w:val="1"/>
      <w:numFmt w:val="bullet"/>
      <w:lvlText w:val=""/>
      <w:lvlJc w:val="left"/>
      <w:pPr>
        <w:ind w:left="720" w:hanging="360"/>
      </w:pPr>
      <w:rPr>
        <w:rFonts w:ascii="Wingdings" w:hAnsi="Wingdings" w:hint="default"/>
        <w:color w:val="8064A2" w:themeColor="accent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8DA4B79"/>
    <w:multiLevelType w:val="hybridMultilevel"/>
    <w:tmpl w:val="32205F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9D42A3C"/>
    <w:multiLevelType w:val="hybridMultilevel"/>
    <w:tmpl w:val="B950AA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D8A19E2"/>
    <w:multiLevelType w:val="hybridMultilevel"/>
    <w:tmpl w:val="C64E1066"/>
    <w:lvl w:ilvl="0" w:tplc="89B46914">
      <w:start w:val="2"/>
      <w:numFmt w:val="bullet"/>
      <w:lvlText w:val="-"/>
      <w:lvlJc w:val="left"/>
      <w:pPr>
        <w:ind w:left="720" w:hanging="360"/>
      </w:pPr>
      <w:rPr>
        <w:rFonts w:ascii="Calibri" w:eastAsia="Calibri-Bold"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nsid w:val="701D6625"/>
    <w:multiLevelType w:val="hybridMultilevel"/>
    <w:tmpl w:val="BD82D548"/>
    <w:lvl w:ilvl="0" w:tplc="920423DA">
      <w:start w:val="1"/>
      <w:numFmt w:val="bullet"/>
      <w:lvlText w:val=""/>
      <w:lvlJc w:val="left"/>
      <w:pPr>
        <w:ind w:left="720" w:hanging="360"/>
      </w:pPr>
      <w:rPr>
        <w:rFonts w:ascii="Wingdings" w:hAnsi="Wingdings" w:hint="default"/>
        <w:color w:val="8064A2" w:themeColor="accent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12F78B7"/>
    <w:multiLevelType w:val="hybridMultilevel"/>
    <w:tmpl w:val="8E1E79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33B6513"/>
    <w:multiLevelType w:val="hybridMultilevel"/>
    <w:tmpl w:val="69348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4203343"/>
    <w:multiLevelType w:val="hybridMultilevel"/>
    <w:tmpl w:val="9368A258"/>
    <w:lvl w:ilvl="0" w:tplc="0F82609A">
      <w:start w:val="1"/>
      <w:numFmt w:val="bullet"/>
      <w:lvlText w:val=""/>
      <w:lvlJc w:val="left"/>
      <w:pPr>
        <w:ind w:left="720" w:hanging="360"/>
      </w:pPr>
      <w:rPr>
        <w:rFonts w:ascii="Wingdings" w:hAnsi="Wingdings" w:hint="default"/>
        <w:color w:val="9DBCB0"/>
        <w:sz w:val="24"/>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nsid w:val="775C63F5"/>
    <w:multiLevelType w:val="multilevel"/>
    <w:tmpl w:val="E28CC036"/>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78E07BC4"/>
    <w:multiLevelType w:val="multilevel"/>
    <w:tmpl w:val="0E08ADA8"/>
    <w:styleLink w:val="Headings"/>
    <w:lvl w:ilvl="0">
      <w:start w:val="1"/>
      <w:numFmt w:val="decimal"/>
      <w:lvlText w:val="%1."/>
      <w:lvlJc w:val="left"/>
      <w:pPr>
        <w:ind w:left="720" w:hanging="720"/>
      </w:pPr>
      <w:rPr>
        <w:rFonts w:ascii="Tahoma Bold" w:hAnsi="Tahoma Bold" w:hint="default"/>
        <w:b/>
        <w:i w:val="0"/>
        <w:color w:val="9AB9AD"/>
        <w:sz w:val="30"/>
      </w:rPr>
    </w:lvl>
    <w:lvl w:ilvl="1">
      <w:start w:val="1"/>
      <w:numFmt w:val="decimal"/>
      <w:lvlText w:val="%1.%2."/>
      <w:lvlJc w:val="left"/>
      <w:pPr>
        <w:ind w:left="720" w:hanging="720"/>
      </w:pPr>
      <w:rPr>
        <w:rFonts w:ascii="Tahoma" w:hAnsi="Tahoma" w:hint="default"/>
        <w:b/>
        <w:i w:val="0"/>
        <w:color w:val="9AB9AD"/>
        <w:sz w:val="26"/>
      </w:rPr>
    </w:lvl>
    <w:lvl w:ilvl="2">
      <w:start w:val="1"/>
      <w:numFmt w:val="decimal"/>
      <w:lvlText w:val="%1.%2.%3."/>
      <w:lvlJc w:val="left"/>
      <w:pPr>
        <w:ind w:left="1080" w:hanging="1080"/>
      </w:pPr>
      <w:rPr>
        <w:rFonts w:ascii="Tahoma" w:hAnsi="Tahoma" w:hint="default"/>
        <w:b/>
        <w:i w:val="0"/>
        <w:color w:val="9AB9AD"/>
        <w:sz w:val="22"/>
      </w:rPr>
    </w:lvl>
    <w:lvl w:ilvl="3">
      <w:start w:val="1"/>
      <w:numFmt w:val="decimal"/>
      <w:lvlText w:val="%1.%2.%3.%4."/>
      <w:lvlJc w:val="left"/>
      <w:pPr>
        <w:ind w:left="1440" w:hanging="1440"/>
      </w:pPr>
      <w:rPr>
        <w:rFonts w:ascii="Tahoma" w:hAnsi="Tahoma" w:hint="default"/>
        <w:b/>
        <w:i/>
        <w:color w:val="9AB9AD"/>
        <w:sz w:val="21"/>
      </w:rPr>
    </w:lvl>
    <w:lvl w:ilvl="4">
      <w:start w:val="1"/>
      <w:numFmt w:val="decimal"/>
      <w:lvlText w:val="%1.%2.%3.%4.%5."/>
      <w:lvlJc w:val="left"/>
      <w:pPr>
        <w:ind w:left="1800" w:hanging="1800"/>
      </w:pPr>
      <w:rPr>
        <w:rFonts w:ascii="Tahoma" w:hAnsi="Tahoma" w:hint="default"/>
        <w:b/>
        <w:i/>
        <w:color w:val="9AB9AD"/>
        <w:sz w:val="18"/>
      </w:rPr>
    </w:lvl>
    <w:lvl w:ilvl="5">
      <w:start w:val="1"/>
      <w:numFmt w:val="decimal"/>
      <w:lvlText w:val="%1.%2.%3.%4.%5.%6."/>
      <w:lvlJc w:val="left"/>
      <w:pPr>
        <w:ind w:left="2160" w:hanging="2160"/>
      </w:pPr>
      <w:rPr>
        <w:rFonts w:ascii="Tahoma" w:hAnsi="Tahoma" w:hint="default"/>
        <w:b/>
        <w:i w:val="0"/>
        <w:color w:val="9AB9AD"/>
        <w:sz w:val="18"/>
      </w:rPr>
    </w:lvl>
    <w:lvl w:ilvl="6">
      <w:start w:val="1"/>
      <w:numFmt w:val="decimal"/>
      <w:lvlText w:val="%1.%2.%3.%4.%5.%6.%7."/>
      <w:lvlJc w:val="left"/>
      <w:pPr>
        <w:ind w:left="2520" w:hanging="2520"/>
      </w:pPr>
      <w:rPr>
        <w:rFonts w:ascii="Tahoma" w:hAnsi="Tahoma" w:hint="default"/>
        <w:b w:val="0"/>
        <w:i/>
        <w:color w:val="9AB9AD"/>
        <w:sz w:val="18"/>
      </w:rPr>
    </w:lvl>
    <w:lvl w:ilvl="7">
      <w:start w:val="1"/>
      <w:numFmt w:val="decimal"/>
      <w:lvlText w:val="%1.%2.%3.%4.%5.%6.%7.%8."/>
      <w:lvlJc w:val="left"/>
      <w:pPr>
        <w:ind w:left="2880" w:hanging="2880"/>
      </w:pPr>
      <w:rPr>
        <w:rFonts w:ascii="Tahoma" w:hAnsi="Tahoma" w:hint="default"/>
        <w:b w:val="0"/>
        <w:i w:val="0"/>
        <w:color w:val="9AB9AD"/>
        <w:sz w:val="18"/>
      </w:rPr>
    </w:lvl>
    <w:lvl w:ilvl="8">
      <w:start w:val="1"/>
      <w:numFmt w:val="decimal"/>
      <w:lvlText w:val="%1.%2.%3.%4.%5.%6.%7.%8.%9."/>
      <w:lvlJc w:val="left"/>
      <w:pPr>
        <w:ind w:left="3238" w:hanging="3238"/>
      </w:pPr>
      <w:rPr>
        <w:rFonts w:ascii="Tahoma" w:hAnsi="Tahoma" w:hint="default"/>
        <w:b w:val="0"/>
        <w:i w:val="0"/>
        <w:color w:val="9AB9AD"/>
        <w:sz w:val="18"/>
      </w:rPr>
    </w:lvl>
  </w:abstractNum>
  <w:abstractNum w:abstractNumId="49">
    <w:nsid w:val="794E6B9F"/>
    <w:multiLevelType w:val="hybridMultilevel"/>
    <w:tmpl w:val="1A523A88"/>
    <w:lvl w:ilvl="0" w:tplc="EA9CF1E6">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37"/>
  </w:num>
  <w:num w:numId="4">
    <w:abstractNumId w:val="42"/>
  </w:num>
  <w:num w:numId="5">
    <w:abstractNumId w:val="46"/>
  </w:num>
  <w:num w:numId="6">
    <w:abstractNumId w:val="29"/>
  </w:num>
  <w:num w:numId="7">
    <w:abstractNumId w:val="28"/>
  </w:num>
  <w:num w:numId="8">
    <w:abstractNumId w:val="34"/>
  </w:num>
  <w:num w:numId="9">
    <w:abstractNumId w:val="24"/>
  </w:num>
  <w:num w:numId="10">
    <w:abstractNumId w:val="41"/>
  </w:num>
  <w:num w:numId="11">
    <w:abstractNumId w:val="32"/>
  </w:num>
  <w:num w:numId="12">
    <w:abstractNumId w:val="25"/>
  </w:num>
  <w:num w:numId="13">
    <w:abstractNumId w:val="40"/>
  </w:num>
  <w:num w:numId="14">
    <w:abstractNumId w:val="16"/>
  </w:num>
  <w:num w:numId="15">
    <w:abstractNumId w:val="3"/>
  </w:num>
  <w:num w:numId="16">
    <w:abstractNumId w:val="21"/>
  </w:num>
  <w:num w:numId="17">
    <w:abstractNumId w:val="23"/>
  </w:num>
  <w:num w:numId="18">
    <w:abstractNumId w:val="45"/>
  </w:num>
  <w:num w:numId="19">
    <w:abstractNumId w:val="6"/>
  </w:num>
  <w:num w:numId="20">
    <w:abstractNumId w:val="49"/>
  </w:num>
  <w:num w:numId="21">
    <w:abstractNumId w:val="8"/>
  </w:num>
  <w:num w:numId="22">
    <w:abstractNumId w:val="27"/>
  </w:num>
  <w:num w:numId="23">
    <w:abstractNumId w:val="9"/>
  </w:num>
  <w:num w:numId="24">
    <w:abstractNumId w:val="26"/>
  </w:num>
  <w:num w:numId="25">
    <w:abstractNumId w:val="30"/>
  </w:num>
  <w:num w:numId="26">
    <w:abstractNumId w:val="7"/>
  </w:num>
  <w:num w:numId="27">
    <w:abstractNumId w:val="20"/>
  </w:num>
  <w:num w:numId="28">
    <w:abstractNumId w:val="15"/>
  </w:num>
  <w:num w:numId="29">
    <w:abstractNumId w:val="10"/>
  </w:num>
  <w:num w:numId="30">
    <w:abstractNumId w:val="48"/>
  </w:num>
  <w:num w:numId="31">
    <w:abstractNumId w:val="0"/>
  </w:num>
  <w:num w:numId="32">
    <w:abstractNumId w:val="5"/>
  </w:num>
  <w:num w:numId="33">
    <w:abstractNumId w:val="13"/>
  </w:num>
  <w:num w:numId="34">
    <w:abstractNumId w:val="35"/>
  </w:num>
  <w:num w:numId="35">
    <w:abstractNumId w:val="12"/>
  </w:num>
  <w:num w:numId="36">
    <w:abstractNumId w:val="38"/>
  </w:num>
  <w:num w:numId="37">
    <w:abstractNumId w:val="18"/>
  </w:num>
  <w:num w:numId="38">
    <w:abstractNumId w:val="44"/>
  </w:num>
  <w:num w:numId="39">
    <w:abstractNumId w:val="43"/>
  </w:num>
  <w:num w:numId="40">
    <w:abstractNumId w:val="14"/>
  </w:num>
  <w:num w:numId="41">
    <w:abstractNumId w:val="33"/>
  </w:num>
  <w:num w:numId="42">
    <w:abstractNumId w:val="22"/>
  </w:num>
  <w:num w:numId="43">
    <w:abstractNumId w:val="39"/>
  </w:num>
  <w:num w:numId="44">
    <w:abstractNumId w:val="17"/>
  </w:num>
  <w:num w:numId="45">
    <w:abstractNumId w:val="2"/>
  </w:num>
  <w:num w:numId="46">
    <w:abstractNumId w:val="47"/>
  </w:num>
  <w:num w:numId="47">
    <w:abstractNumId w:val="36"/>
  </w:num>
  <w:num w:numId="48">
    <w:abstractNumId w:val="31"/>
  </w:num>
  <w:num w:numId="49">
    <w:abstractNumId w:val="1"/>
  </w:num>
  <w:num w:numId="50">
    <w:abstractNumId w:val="1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hideGrammaticalErrors/>
  <w:defaultTabStop w:val="720"/>
  <w:hyphenationZone w:val="425"/>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5237"/>
    <w:rsid w:val="00000E30"/>
    <w:rsid w:val="00001078"/>
    <w:rsid w:val="00002D0A"/>
    <w:rsid w:val="00003ABF"/>
    <w:rsid w:val="00003DE0"/>
    <w:rsid w:val="00005379"/>
    <w:rsid w:val="000118EB"/>
    <w:rsid w:val="00011E86"/>
    <w:rsid w:val="00012488"/>
    <w:rsid w:val="00014357"/>
    <w:rsid w:val="00014FEF"/>
    <w:rsid w:val="00023FD8"/>
    <w:rsid w:val="000254B0"/>
    <w:rsid w:val="000302E5"/>
    <w:rsid w:val="00032D42"/>
    <w:rsid w:val="00032E3C"/>
    <w:rsid w:val="000334E8"/>
    <w:rsid w:val="00033973"/>
    <w:rsid w:val="00036443"/>
    <w:rsid w:val="0004377A"/>
    <w:rsid w:val="000440AF"/>
    <w:rsid w:val="00044DA2"/>
    <w:rsid w:val="0004567C"/>
    <w:rsid w:val="00053DB8"/>
    <w:rsid w:val="00055004"/>
    <w:rsid w:val="00055C3B"/>
    <w:rsid w:val="0005720E"/>
    <w:rsid w:val="0005780D"/>
    <w:rsid w:val="00060012"/>
    <w:rsid w:val="0006205F"/>
    <w:rsid w:val="00064422"/>
    <w:rsid w:val="00066402"/>
    <w:rsid w:val="00067082"/>
    <w:rsid w:val="00070DAF"/>
    <w:rsid w:val="00071B77"/>
    <w:rsid w:val="00072E0A"/>
    <w:rsid w:val="00073AD7"/>
    <w:rsid w:val="0007585E"/>
    <w:rsid w:val="00077182"/>
    <w:rsid w:val="0008072B"/>
    <w:rsid w:val="00093A18"/>
    <w:rsid w:val="00095CFF"/>
    <w:rsid w:val="000A2A56"/>
    <w:rsid w:val="000A42BF"/>
    <w:rsid w:val="000A5C1A"/>
    <w:rsid w:val="000A5DB0"/>
    <w:rsid w:val="000A6768"/>
    <w:rsid w:val="000B1EDC"/>
    <w:rsid w:val="000B2F42"/>
    <w:rsid w:val="000B45BF"/>
    <w:rsid w:val="000B56B5"/>
    <w:rsid w:val="000B6016"/>
    <w:rsid w:val="000B6281"/>
    <w:rsid w:val="000C010B"/>
    <w:rsid w:val="000C1ED2"/>
    <w:rsid w:val="000C71B2"/>
    <w:rsid w:val="000C7568"/>
    <w:rsid w:val="000D26DC"/>
    <w:rsid w:val="000D2F13"/>
    <w:rsid w:val="000D436F"/>
    <w:rsid w:val="000D5C8D"/>
    <w:rsid w:val="000D6407"/>
    <w:rsid w:val="000D7C1A"/>
    <w:rsid w:val="000E064E"/>
    <w:rsid w:val="000E2CBC"/>
    <w:rsid w:val="000E4C9A"/>
    <w:rsid w:val="000E593F"/>
    <w:rsid w:val="000E5EAC"/>
    <w:rsid w:val="000F4341"/>
    <w:rsid w:val="000F4736"/>
    <w:rsid w:val="00102136"/>
    <w:rsid w:val="001037B2"/>
    <w:rsid w:val="00105105"/>
    <w:rsid w:val="001069FB"/>
    <w:rsid w:val="00114757"/>
    <w:rsid w:val="00114BDC"/>
    <w:rsid w:val="00117274"/>
    <w:rsid w:val="00124C62"/>
    <w:rsid w:val="0012648C"/>
    <w:rsid w:val="00126F72"/>
    <w:rsid w:val="0013241C"/>
    <w:rsid w:val="00133D22"/>
    <w:rsid w:val="00133E3F"/>
    <w:rsid w:val="001358A9"/>
    <w:rsid w:val="00135DFE"/>
    <w:rsid w:val="00137787"/>
    <w:rsid w:val="00137D63"/>
    <w:rsid w:val="001412B4"/>
    <w:rsid w:val="00141615"/>
    <w:rsid w:val="001458D5"/>
    <w:rsid w:val="00147989"/>
    <w:rsid w:val="001518B0"/>
    <w:rsid w:val="001539CB"/>
    <w:rsid w:val="00154632"/>
    <w:rsid w:val="00156B52"/>
    <w:rsid w:val="00157C64"/>
    <w:rsid w:val="0016154B"/>
    <w:rsid w:val="00165B91"/>
    <w:rsid w:val="00165DE1"/>
    <w:rsid w:val="0016658B"/>
    <w:rsid w:val="001665D8"/>
    <w:rsid w:val="00170CEB"/>
    <w:rsid w:val="00177951"/>
    <w:rsid w:val="00181D82"/>
    <w:rsid w:val="00183396"/>
    <w:rsid w:val="0018381F"/>
    <w:rsid w:val="00184D82"/>
    <w:rsid w:val="001854E3"/>
    <w:rsid w:val="00187300"/>
    <w:rsid w:val="00187B2D"/>
    <w:rsid w:val="00187E82"/>
    <w:rsid w:val="00191A73"/>
    <w:rsid w:val="00191ABA"/>
    <w:rsid w:val="00192EA4"/>
    <w:rsid w:val="001936A6"/>
    <w:rsid w:val="0019385A"/>
    <w:rsid w:val="00194E23"/>
    <w:rsid w:val="001A5F94"/>
    <w:rsid w:val="001A60CC"/>
    <w:rsid w:val="001A6738"/>
    <w:rsid w:val="001A70FE"/>
    <w:rsid w:val="001A7A64"/>
    <w:rsid w:val="001C1C93"/>
    <w:rsid w:val="001C3087"/>
    <w:rsid w:val="001C67FC"/>
    <w:rsid w:val="001D4FCF"/>
    <w:rsid w:val="001D6BD7"/>
    <w:rsid w:val="001D7CD4"/>
    <w:rsid w:val="001D7F45"/>
    <w:rsid w:val="001E1257"/>
    <w:rsid w:val="001E1B99"/>
    <w:rsid w:val="001E1F0C"/>
    <w:rsid w:val="001E6948"/>
    <w:rsid w:val="001E702B"/>
    <w:rsid w:val="001E7E05"/>
    <w:rsid w:val="001F00DE"/>
    <w:rsid w:val="001F2FE4"/>
    <w:rsid w:val="00200B17"/>
    <w:rsid w:val="002022E0"/>
    <w:rsid w:val="00203770"/>
    <w:rsid w:val="00203C45"/>
    <w:rsid w:val="00205229"/>
    <w:rsid w:val="00207EE7"/>
    <w:rsid w:val="0021070A"/>
    <w:rsid w:val="00212A11"/>
    <w:rsid w:val="00213927"/>
    <w:rsid w:val="002157C6"/>
    <w:rsid w:val="00220BB8"/>
    <w:rsid w:val="002212E8"/>
    <w:rsid w:val="0022166F"/>
    <w:rsid w:val="00222540"/>
    <w:rsid w:val="002227B5"/>
    <w:rsid w:val="0022323D"/>
    <w:rsid w:val="002233FF"/>
    <w:rsid w:val="0022467B"/>
    <w:rsid w:val="00225DC4"/>
    <w:rsid w:val="00227718"/>
    <w:rsid w:val="00234A01"/>
    <w:rsid w:val="00234A0B"/>
    <w:rsid w:val="0024157A"/>
    <w:rsid w:val="00242439"/>
    <w:rsid w:val="00244CF3"/>
    <w:rsid w:val="002504DB"/>
    <w:rsid w:val="00251E45"/>
    <w:rsid w:val="002520A6"/>
    <w:rsid w:val="00252F2E"/>
    <w:rsid w:val="0025434C"/>
    <w:rsid w:val="002552AA"/>
    <w:rsid w:val="00256264"/>
    <w:rsid w:val="00256C28"/>
    <w:rsid w:val="00261001"/>
    <w:rsid w:val="00264ECA"/>
    <w:rsid w:val="00266EB5"/>
    <w:rsid w:val="002679D0"/>
    <w:rsid w:val="00270106"/>
    <w:rsid w:val="00273ADF"/>
    <w:rsid w:val="002829B3"/>
    <w:rsid w:val="00285EB4"/>
    <w:rsid w:val="0029423A"/>
    <w:rsid w:val="002A10BA"/>
    <w:rsid w:val="002A6E7A"/>
    <w:rsid w:val="002A7C4E"/>
    <w:rsid w:val="002B08B7"/>
    <w:rsid w:val="002B238F"/>
    <w:rsid w:val="002B257B"/>
    <w:rsid w:val="002B2C66"/>
    <w:rsid w:val="002B3940"/>
    <w:rsid w:val="002B3CDF"/>
    <w:rsid w:val="002B4FF3"/>
    <w:rsid w:val="002B58F5"/>
    <w:rsid w:val="002B723E"/>
    <w:rsid w:val="002C2787"/>
    <w:rsid w:val="002C72B6"/>
    <w:rsid w:val="002D0A9B"/>
    <w:rsid w:val="002D11A7"/>
    <w:rsid w:val="002D239F"/>
    <w:rsid w:val="002D404C"/>
    <w:rsid w:val="002D777A"/>
    <w:rsid w:val="002E1965"/>
    <w:rsid w:val="002E1F2A"/>
    <w:rsid w:val="002E3297"/>
    <w:rsid w:val="002E32D1"/>
    <w:rsid w:val="002E7567"/>
    <w:rsid w:val="002E7F54"/>
    <w:rsid w:val="002F10B5"/>
    <w:rsid w:val="002F44C0"/>
    <w:rsid w:val="002F4C65"/>
    <w:rsid w:val="002F6FFD"/>
    <w:rsid w:val="00300828"/>
    <w:rsid w:val="00303A65"/>
    <w:rsid w:val="00303D5D"/>
    <w:rsid w:val="00306DA1"/>
    <w:rsid w:val="0030753F"/>
    <w:rsid w:val="003109B0"/>
    <w:rsid w:val="00310D48"/>
    <w:rsid w:val="00313E28"/>
    <w:rsid w:val="00321047"/>
    <w:rsid w:val="00321B14"/>
    <w:rsid w:val="00322CC3"/>
    <w:rsid w:val="00322E15"/>
    <w:rsid w:val="00332D4F"/>
    <w:rsid w:val="00334655"/>
    <w:rsid w:val="00337B5D"/>
    <w:rsid w:val="00337FA5"/>
    <w:rsid w:val="00340279"/>
    <w:rsid w:val="003447D4"/>
    <w:rsid w:val="00346A48"/>
    <w:rsid w:val="00353169"/>
    <w:rsid w:val="00357922"/>
    <w:rsid w:val="00357B56"/>
    <w:rsid w:val="003644D7"/>
    <w:rsid w:val="00364E26"/>
    <w:rsid w:val="00367264"/>
    <w:rsid w:val="003717BF"/>
    <w:rsid w:val="003729FA"/>
    <w:rsid w:val="00372C6B"/>
    <w:rsid w:val="003739B0"/>
    <w:rsid w:val="0037664C"/>
    <w:rsid w:val="0037719B"/>
    <w:rsid w:val="00381498"/>
    <w:rsid w:val="00381A19"/>
    <w:rsid w:val="00383D50"/>
    <w:rsid w:val="00387A58"/>
    <w:rsid w:val="00390389"/>
    <w:rsid w:val="00392D4B"/>
    <w:rsid w:val="00394DED"/>
    <w:rsid w:val="00395CAF"/>
    <w:rsid w:val="003A149D"/>
    <w:rsid w:val="003A39D5"/>
    <w:rsid w:val="003A3F86"/>
    <w:rsid w:val="003A4616"/>
    <w:rsid w:val="003A4BF8"/>
    <w:rsid w:val="003A4DA3"/>
    <w:rsid w:val="003A5AF2"/>
    <w:rsid w:val="003A6F02"/>
    <w:rsid w:val="003A7597"/>
    <w:rsid w:val="003B1A08"/>
    <w:rsid w:val="003B4A7F"/>
    <w:rsid w:val="003B5743"/>
    <w:rsid w:val="003B703A"/>
    <w:rsid w:val="003C4095"/>
    <w:rsid w:val="003C437D"/>
    <w:rsid w:val="003C43E7"/>
    <w:rsid w:val="003C7C29"/>
    <w:rsid w:val="003C7E95"/>
    <w:rsid w:val="003D1B56"/>
    <w:rsid w:val="003D248A"/>
    <w:rsid w:val="003D2D8B"/>
    <w:rsid w:val="003D34D4"/>
    <w:rsid w:val="003D4754"/>
    <w:rsid w:val="003D5BD9"/>
    <w:rsid w:val="003D66DC"/>
    <w:rsid w:val="003E32B8"/>
    <w:rsid w:val="003E4DD0"/>
    <w:rsid w:val="003E5ECD"/>
    <w:rsid w:val="003E6669"/>
    <w:rsid w:val="003E79D0"/>
    <w:rsid w:val="003F0585"/>
    <w:rsid w:val="003F1F45"/>
    <w:rsid w:val="003F2458"/>
    <w:rsid w:val="003F2C90"/>
    <w:rsid w:val="003F3538"/>
    <w:rsid w:val="003F6F4B"/>
    <w:rsid w:val="00400B2F"/>
    <w:rsid w:val="00404D9F"/>
    <w:rsid w:val="0040762C"/>
    <w:rsid w:val="00411264"/>
    <w:rsid w:val="00412A0B"/>
    <w:rsid w:val="00412E2B"/>
    <w:rsid w:val="004132C4"/>
    <w:rsid w:val="00417BC3"/>
    <w:rsid w:val="00417F00"/>
    <w:rsid w:val="00417F41"/>
    <w:rsid w:val="0042162E"/>
    <w:rsid w:val="00425D59"/>
    <w:rsid w:val="00426464"/>
    <w:rsid w:val="004264DE"/>
    <w:rsid w:val="004300EF"/>
    <w:rsid w:val="00430CE7"/>
    <w:rsid w:val="00430DB0"/>
    <w:rsid w:val="0043380D"/>
    <w:rsid w:val="0043385E"/>
    <w:rsid w:val="0043388B"/>
    <w:rsid w:val="00433FDE"/>
    <w:rsid w:val="00441730"/>
    <w:rsid w:val="00442108"/>
    <w:rsid w:val="00444F9D"/>
    <w:rsid w:val="0045746B"/>
    <w:rsid w:val="00460D6C"/>
    <w:rsid w:val="004611F7"/>
    <w:rsid w:val="0046260F"/>
    <w:rsid w:val="00463979"/>
    <w:rsid w:val="00464F70"/>
    <w:rsid w:val="004659F9"/>
    <w:rsid w:val="004672BB"/>
    <w:rsid w:val="00473577"/>
    <w:rsid w:val="00473C8D"/>
    <w:rsid w:val="004744D9"/>
    <w:rsid w:val="00474EDA"/>
    <w:rsid w:val="004771A2"/>
    <w:rsid w:val="00480763"/>
    <w:rsid w:val="004824DE"/>
    <w:rsid w:val="004832D0"/>
    <w:rsid w:val="00483E19"/>
    <w:rsid w:val="004842AE"/>
    <w:rsid w:val="004867B2"/>
    <w:rsid w:val="00490BF7"/>
    <w:rsid w:val="004914B1"/>
    <w:rsid w:val="004A1843"/>
    <w:rsid w:val="004A59F0"/>
    <w:rsid w:val="004A6096"/>
    <w:rsid w:val="004B64CF"/>
    <w:rsid w:val="004B66CE"/>
    <w:rsid w:val="004C1C71"/>
    <w:rsid w:val="004C2410"/>
    <w:rsid w:val="004C2E5B"/>
    <w:rsid w:val="004C31DC"/>
    <w:rsid w:val="004C55F8"/>
    <w:rsid w:val="004D08CE"/>
    <w:rsid w:val="004D0C15"/>
    <w:rsid w:val="004D2631"/>
    <w:rsid w:val="004D6507"/>
    <w:rsid w:val="004D6D7E"/>
    <w:rsid w:val="004D75DB"/>
    <w:rsid w:val="004D76C1"/>
    <w:rsid w:val="004D79E7"/>
    <w:rsid w:val="004E152B"/>
    <w:rsid w:val="004E181D"/>
    <w:rsid w:val="004E223C"/>
    <w:rsid w:val="004E470F"/>
    <w:rsid w:val="004E492E"/>
    <w:rsid w:val="004E6A08"/>
    <w:rsid w:val="004F12F7"/>
    <w:rsid w:val="004F278E"/>
    <w:rsid w:val="004F3E7D"/>
    <w:rsid w:val="004F4E8C"/>
    <w:rsid w:val="004F7C12"/>
    <w:rsid w:val="00501A24"/>
    <w:rsid w:val="00503229"/>
    <w:rsid w:val="0050608C"/>
    <w:rsid w:val="00511721"/>
    <w:rsid w:val="00513516"/>
    <w:rsid w:val="00513A00"/>
    <w:rsid w:val="00516236"/>
    <w:rsid w:val="005165ED"/>
    <w:rsid w:val="00516E7A"/>
    <w:rsid w:val="0051752E"/>
    <w:rsid w:val="00522A6B"/>
    <w:rsid w:val="00523A63"/>
    <w:rsid w:val="00530818"/>
    <w:rsid w:val="00533475"/>
    <w:rsid w:val="0053403D"/>
    <w:rsid w:val="005362CF"/>
    <w:rsid w:val="00537961"/>
    <w:rsid w:val="00540333"/>
    <w:rsid w:val="00541214"/>
    <w:rsid w:val="00545D6A"/>
    <w:rsid w:val="005469B5"/>
    <w:rsid w:val="00546B75"/>
    <w:rsid w:val="00552C96"/>
    <w:rsid w:val="0055754F"/>
    <w:rsid w:val="0056005E"/>
    <w:rsid w:val="00561AC7"/>
    <w:rsid w:val="00561E46"/>
    <w:rsid w:val="00564D80"/>
    <w:rsid w:val="0056658A"/>
    <w:rsid w:val="0056670C"/>
    <w:rsid w:val="00567FEF"/>
    <w:rsid w:val="00570BAB"/>
    <w:rsid w:val="00571804"/>
    <w:rsid w:val="00572E85"/>
    <w:rsid w:val="00576C2E"/>
    <w:rsid w:val="00584072"/>
    <w:rsid w:val="0058491B"/>
    <w:rsid w:val="0058603F"/>
    <w:rsid w:val="0058668F"/>
    <w:rsid w:val="0059216B"/>
    <w:rsid w:val="005948B4"/>
    <w:rsid w:val="00595288"/>
    <w:rsid w:val="00595787"/>
    <w:rsid w:val="00597F1E"/>
    <w:rsid w:val="005A0C83"/>
    <w:rsid w:val="005A153F"/>
    <w:rsid w:val="005A2707"/>
    <w:rsid w:val="005A4D2B"/>
    <w:rsid w:val="005A7313"/>
    <w:rsid w:val="005A7629"/>
    <w:rsid w:val="005A7AFF"/>
    <w:rsid w:val="005B0817"/>
    <w:rsid w:val="005B0F50"/>
    <w:rsid w:val="005B41B4"/>
    <w:rsid w:val="005B6E28"/>
    <w:rsid w:val="005B6EDE"/>
    <w:rsid w:val="005C0052"/>
    <w:rsid w:val="005C1A02"/>
    <w:rsid w:val="005C1A5C"/>
    <w:rsid w:val="005C3C9B"/>
    <w:rsid w:val="005D0B6C"/>
    <w:rsid w:val="005D2FD1"/>
    <w:rsid w:val="005D5E96"/>
    <w:rsid w:val="005E3D3D"/>
    <w:rsid w:val="005E4858"/>
    <w:rsid w:val="005E79E1"/>
    <w:rsid w:val="005F071C"/>
    <w:rsid w:val="005F38C7"/>
    <w:rsid w:val="005F682B"/>
    <w:rsid w:val="005F6B6B"/>
    <w:rsid w:val="005F6CB6"/>
    <w:rsid w:val="005F6EEF"/>
    <w:rsid w:val="00601188"/>
    <w:rsid w:val="00604418"/>
    <w:rsid w:val="0060661A"/>
    <w:rsid w:val="006201F7"/>
    <w:rsid w:val="006208AA"/>
    <w:rsid w:val="006247E5"/>
    <w:rsid w:val="00626769"/>
    <w:rsid w:val="006273BC"/>
    <w:rsid w:val="006333E2"/>
    <w:rsid w:val="00634FD3"/>
    <w:rsid w:val="00635E48"/>
    <w:rsid w:val="00635FC2"/>
    <w:rsid w:val="00643864"/>
    <w:rsid w:val="0064395B"/>
    <w:rsid w:val="00650817"/>
    <w:rsid w:val="00655102"/>
    <w:rsid w:val="00655D2A"/>
    <w:rsid w:val="00655EEB"/>
    <w:rsid w:val="00657CDF"/>
    <w:rsid w:val="00660CFB"/>
    <w:rsid w:val="00662EFC"/>
    <w:rsid w:val="00663F3E"/>
    <w:rsid w:val="00664C19"/>
    <w:rsid w:val="00665629"/>
    <w:rsid w:val="00670F68"/>
    <w:rsid w:val="006731DA"/>
    <w:rsid w:val="00673DF7"/>
    <w:rsid w:val="00676D8C"/>
    <w:rsid w:val="0068194C"/>
    <w:rsid w:val="00687B69"/>
    <w:rsid w:val="00690C82"/>
    <w:rsid w:val="00693B96"/>
    <w:rsid w:val="0069409A"/>
    <w:rsid w:val="006968B9"/>
    <w:rsid w:val="006971DF"/>
    <w:rsid w:val="0069769D"/>
    <w:rsid w:val="00697912"/>
    <w:rsid w:val="00697C84"/>
    <w:rsid w:val="006A143B"/>
    <w:rsid w:val="006A14D6"/>
    <w:rsid w:val="006A77B7"/>
    <w:rsid w:val="006B212C"/>
    <w:rsid w:val="006B245D"/>
    <w:rsid w:val="006B275F"/>
    <w:rsid w:val="006B5143"/>
    <w:rsid w:val="006B5CD6"/>
    <w:rsid w:val="006B7422"/>
    <w:rsid w:val="006C5C1F"/>
    <w:rsid w:val="006C60D9"/>
    <w:rsid w:val="006C60EB"/>
    <w:rsid w:val="006D16DB"/>
    <w:rsid w:val="006D17C8"/>
    <w:rsid w:val="006D6A7E"/>
    <w:rsid w:val="006D6F0C"/>
    <w:rsid w:val="006E2107"/>
    <w:rsid w:val="006E3A41"/>
    <w:rsid w:val="006E54C5"/>
    <w:rsid w:val="006E54EA"/>
    <w:rsid w:val="006E7D3B"/>
    <w:rsid w:val="006F23FA"/>
    <w:rsid w:val="006F43EE"/>
    <w:rsid w:val="006F4B68"/>
    <w:rsid w:val="00700282"/>
    <w:rsid w:val="00701FF5"/>
    <w:rsid w:val="00702BC9"/>
    <w:rsid w:val="0070436D"/>
    <w:rsid w:val="0070529B"/>
    <w:rsid w:val="0070594A"/>
    <w:rsid w:val="00705AE3"/>
    <w:rsid w:val="007143F7"/>
    <w:rsid w:val="007147C3"/>
    <w:rsid w:val="00716775"/>
    <w:rsid w:val="00720F62"/>
    <w:rsid w:val="00722DDF"/>
    <w:rsid w:val="007246F7"/>
    <w:rsid w:val="00731562"/>
    <w:rsid w:val="00732879"/>
    <w:rsid w:val="00734A6C"/>
    <w:rsid w:val="00740D58"/>
    <w:rsid w:val="00745106"/>
    <w:rsid w:val="00745A40"/>
    <w:rsid w:val="00746005"/>
    <w:rsid w:val="007522BB"/>
    <w:rsid w:val="0075496A"/>
    <w:rsid w:val="007550A9"/>
    <w:rsid w:val="007552E0"/>
    <w:rsid w:val="00755836"/>
    <w:rsid w:val="007676FA"/>
    <w:rsid w:val="00767B37"/>
    <w:rsid w:val="00771418"/>
    <w:rsid w:val="0077403B"/>
    <w:rsid w:val="00780856"/>
    <w:rsid w:val="0078131F"/>
    <w:rsid w:val="00781F91"/>
    <w:rsid w:val="0078395D"/>
    <w:rsid w:val="00785C1E"/>
    <w:rsid w:val="00786429"/>
    <w:rsid w:val="00790DC0"/>
    <w:rsid w:val="00791802"/>
    <w:rsid w:val="00793C4E"/>
    <w:rsid w:val="007A2202"/>
    <w:rsid w:val="007A4B69"/>
    <w:rsid w:val="007A4D1F"/>
    <w:rsid w:val="007A51BA"/>
    <w:rsid w:val="007A57C4"/>
    <w:rsid w:val="007A5D51"/>
    <w:rsid w:val="007A6F37"/>
    <w:rsid w:val="007A7A3C"/>
    <w:rsid w:val="007B3776"/>
    <w:rsid w:val="007B5A98"/>
    <w:rsid w:val="007B6AA0"/>
    <w:rsid w:val="007C0158"/>
    <w:rsid w:val="007C0EF2"/>
    <w:rsid w:val="007C4B43"/>
    <w:rsid w:val="007C7624"/>
    <w:rsid w:val="007C7C56"/>
    <w:rsid w:val="007D007B"/>
    <w:rsid w:val="007D0565"/>
    <w:rsid w:val="007D55B2"/>
    <w:rsid w:val="007E05F2"/>
    <w:rsid w:val="007E2D89"/>
    <w:rsid w:val="007E41D9"/>
    <w:rsid w:val="007E5A38"/>
    <w:rsid w:val="007F2A0C"/>
    <w:rsid w:val="007F64AE"/>
    <w:rsid w:val="00805804"/>
    <w:rsid w:val="0081135D"/>
    <w:rsid w:val="00813FEB"/>
    <w:rsid w:val="00814558"/>
    <w:rsid w:val="00815F54"/>
    <w:rsid w:val="00816726"/>
    <w:rsid w:val="00820511"/>
    <w:rsid w:val="00820DE9"/>
    <w:rsid w:val="00822268"/>
    <w:rsid w:val="008250AD"/>
    <w:rsid w:val="00827BCB"/>
    <w:rsid w:val="00832FE1"/>
    <w:rsid w:val="00833DDC"/>
    <w:rsid w:val="00834807"/>
    <w:rsid w:val="008348DE"/>
    <w:rsid w:val="00835A1D"/>
    <w:rsid w:val="008376B5"/>
    <w:rsid w:val="00837AD6"/>
    <w:rsid w:val="008407EF"/>
    <w:rsid w:val="00841818"/>
    <w:rsid w:val="00846B3B"/>
    <w:rsid w:val="00847192"/>
    <w:rsid w:val="00854545"/>
    <w:rsid w:val="00854F4E"/>
    <w:rsid w:val="0085670C"/>
    <w:rsid w:val="008574B6"/>
    <w:rsid w:val="008576A2"/>
    <w:rsid w:val="0086021A"/>
    <w:rsid w:val="00862235"/>
    <w:rsid w:val="00862AF1"/>
    <w:rsid w:val="00865576"/>
    <w:rsid w:val="0086586F"/>
    <w:rsid w:val="008665B5"/>
    <w:rsid w:val="008803FD"/>
    <w:rsid w:val="00880DC5"/>
    <w:rsid w:val="0088439B"/>
    <w:rsid w:val="008854C4"/>
    <w:rsid w:val="00891747"/>
    <w:rsid w:val="008931AE"/>
    <w:rsid w:val="00894915"/>
    <w:rsid w:val="008A30A0"/>
    <w:rsid w:val="008A380E"/>
    <w:rsid w:val="008A4758"/>
    <w:rsid w:val="008A6949"/>
    <w:rsid w:val="008A7D6D"/>
    <w:rsid w:val="008B3D39"/>
    <w:rsid w:val="008B4923"/>
    <w:rsid w:val="008B4BEA"/>
    <w:rsid w:val="008B6E60"/>
    <w:rsid w:val="008B7334"/>
    <w:rsid w:val="008C35FF"/>
    <w:rsid w:val="008C3B91"/>
    <w:rsid w:val="008C4C40"/>
    <w:rsid w:val="008C55AA"/>
    <w:rsid w:val="008D1B13"/>
    <w:rsid w:val="008D250B"/>
    <w:rsid w:val="008D3175"/>
    <w:rsid w:val="008D716D"/>
    <w:rsid w:val="008E1795"/>
    <w:rsid w:val="008E2FDA"/>
    <w:rsid w:val="008E619A"/>
    <w:rsid w:val="008F02AF"/>
    <w:rsid w:val="008F38BD"/>
    <w:rsid w:val="008F39EB"/>
    <w:rsid w:val="008F403D"/>
    <w:rsid w:val="008F58A7"/>
    <w:rsid w:val="00910C5A"/>
    <w:rsid w:val="009167EC"/>
    <w:rsid w:val="0091716F"/>
    <w:rsid w:val="00921AE8"/>
    <w:rsid w:val="00922512"/>
    <w:rsid w:val="00924103"/>
    <w:rsid w:val="00924D42"/>
    <w:rsid w:val="009304F2"/>
    <w:rsid w:val="009333C4"/>
    <w:rsid w:val="00935248"/>
    <w:rsid w:val="00937152"/>
    <w:rsid w:val="009372AB"/>
    <w:rsid w:val="00940FFB"/>
    <w:rsid w:val="00941EF1"/>
    <w:rsid w:val="00943644"/>
    <w:rsid w:val="00943E4F"/>
    <w:rsid w:val="00944A15"/>
    <w:rsid w:val="0094722B"/>
    <w:rsid w:val="00951D7F"/>
    <w:rsid w:val="00953057"/>
    <w:rsid w:val="00955B8D"/>
    <w:rsid w:val="00960F7A"/>
    <w:rsid w:val="00962463"/>
    <w:rsid w:val="009670C1"/>
    <w:rsid w:val="0096747C"/>
    <w:rsid w:val="009706AF"/>
    <w:rsid w:val="00976AE8"/>
    <w:rsid w:val="009816D3"/>
    <w:rsid w:val="00981C44"/>
    <w:rsid w:val="009824A7"/>
    <w:rsid w:val="0098282A"/>
    <w:rsid w:val="009836C4"/>
    <w:rsid w:val="00983B43"/>
    <w:rsid w:val="00985970"/>
    <w:rsid w:val="00985D6B"/>
    <w:rsid w:val="00985EA4"/>
    <w:rsid w:val="009916D5"/>
    <w:rsid w:val="00993E34"/>
    <w:rsid w:val="00995472"/>
    <w:rsid w:val="00996049"/>
    <w:rsid w:val="00997158"/>
    <w:rsid w:val="009A6F0D"/>
    <w:rsid w:val="009A780A"/>
    <w:rsid w:val="009A7848"/>
    <w:rsid w:val="009B39BE"/>
    <w:rsid w:val="009B5651"/>
    <w:rsid w:val="009B5DDC"/>
    <w:rsid w:val="009C1745"/>
    <w:rsid w:val="009D0EAC"/>
    <w:rsid w:val="009D1C21"/>
    <w:rsid w:val="009D2828"/>
    <w:rsid w:val="009D3542"/>
    <w:rsid w:val="009D5237"/>
    <w:rsid w:val="009D5F01"/>
    <w:rsid w:val="009D7BA9"/>
    <w:rsid w:val="009E0951"/>
    <w:rsid w:val="009E0FEF"/>
    <w:rsid w:val="009E3862"/>
    <w:rsid w:val="009E5B20"/>
    <w:rsid w:val="009F00CB"/>
    <w:rsid w:val="009F022C"/>
    <w:rsid w:val="009F023C"/>
    <w:rsid w:val="009F1381"/>
    <w:rsid w:val="009F164C"/>
    <w:rsid w:val="009F32AD"/>
    <w:rsid w:val="009F6171"/>
    <w:rsid w:val="009F689D"/>
    <w:rsid w:val="00A00713"/>
    <w:rsid w:val="00A012C3"/>
    <w:rsid w:val="00A05D60"/>
    <w:rsid w:val="00A11029"/>
    <w:rsid w:val="00A11084"/>
    <w:rsid w:val="00A12B70"/>
    <w:rsid w:val="00A145F8"/>
    <w:rsid w:val="00A14A40"/>
    <w:rsid w:val="00A227D5"/>
    <w:rsid w:val="00A23B94"/>
    <w:rsid w:val="00A24214"/>
    <w:rsid w:val="00A25D07"/>
    <w:rsid w:val="00A27C03"/>
    <w:rsid w:val="00A30F13"/>
    <w:rsid w:val="00A313AF"/>
    <w:rsid w:val="00A32A11"/>
    <w:rsid w:val="00A32D44"/>
    <w:rsid w:val="00A33549"/>
    <w:rsid w:val="00A368BD"/>
    <w:rsid w:val="00A36C2D"/>
    <w:rsid w:val="00A40D14"/>
    <w:rsid w:val="00A40FED"/>
    <w:rsid w:val="00A41C11"/>
    <w:rsid w:val="00A450A5"/>
    <w:rsid w:val="00A45E31"/>
    <w:rsid w:val="00A46102"/>
    <w:rsid w:val="00A5163E"/>
    <w:rsid w:val="00A54F8E"/>
    <w:rsid w:val="00A616B7"/>
    <w:rsid w:val="00A61843"/>
    <w:rsid w:val="00A638E5"/>
    <w:rsid w:val="00A66023"/>
    <w:rsid w:val="00A72A55"/>
    <w:rsid w:val="00A7410B"/>
    <w:rsid w:val="00A766AB"/>
    <w:rsid w:val="00A77093"/>
    <w:rsid w:val="00A84BEB"/>
    <w:rsid w:val="00A85274"/>
    <w:rsid w:val="00A85FE4"/>
    <w:rsid w:val="00A865DF"/>
    <w:rsid w:val="00A92D4B"/>
    <w:rsid w:val="00A93EB0"/>
    <w:rsid w:val="00A9430F"/>
    <w:rsid w:val="00A94608"/>
    <w:rsid w:val="00A9758C"/>
    <w:rsid w:val="00AA1E3A"/>
    <w:rsid w:val="00AA3329"/>
    <w:rsid w:val="00AB2D00"/>
    <w:rsid w:val="00AB2D1D"/>
    <w:rsid w:val="00AB72D9"/>
    <w:rsid w:val="00AC23A4"/>
    <w:rsid w:val="00AC2776"/>
    <w:rsid w:val="00AC5A77"/>
    <w:rsid w:val="00AD32B5"/>
    <w:rsid w:val="00AD646D"/>
    <w:rsid w:val="00AE0A67"/>
    <w:rsid w:val="00AE1A81"/>
    <w:rsid w:val="00AE379E"/>
    <w:rsid w:val="00AF219A"/>
    <w:rsid w:val="00AF46E4"/>
    <w:rsid w:val="00B00DB1"/>
    <w:rsid w:val="00B018A1"/>
    <w:rsid w:val="00B02BA4"/>
    <w:rsid w:val="00B04633"/>
    <w:rsid w:val="00B0732F"/>
    <w:rsid w:val="00B115DB"/>
    <w:rsid w:val="00B12EA9"/>
    <w:rsid w:val="00B13170"/>
    <w:rsid w:val="00B16172"/>
    <w:rsid w:val="00B20BD7"/>
    <w:rsid w:val="00B21E72"/>
    <w:rsid w:val="00B27E06"/>
    <w:rsid w:val="00B30307"/>
    <w:rsid w:val="00B31BC2"/>
    <w:rsid w:val="00B3362A"/>
    <w:rsid w:val="00B33836"/>
    <w:rsid w:val="00B34B02"/>
    <w:rsid w:val="00B352BB"/>
    <w:rsid w:val="00B4003F"/>
    <w:rsid w:val="00B40C6F"/>
    <w:rsid w:val="00B41B0F"/>
    <w:rsid w:val="00B41C60"/>
    <w:rsid w:val="00B43F29"/>
    <w:rsid w:val="00B45F01"/>
    <w:rsid w:val="00B47ECD"/>
    <w:rsid w:val="00B5111B"/>
    <w:rsid w:val="00B54887"/>
    <w:rsid w:val="00B54E97"/>
    <w:rsid w:val="00B55150"/>
    <w:rsid w:val="00B567CA"/>
    <w:rsid w:val="00B60762"/>
    <w:rsid w:val="00B6186D"/>
    <w:rsid w:val="00B622E0"/>
    <w:rsid w:val="00B644B8"/>
    <w:rsid w:val="00B71F61"/>
    <w:rsid w:val="00B73063"/>
    <w:rsid w:val="00B83033"/>
    <w:rsid w:val="00B83ACA"/>
    <w:rsid w:val="00B844EC"/>
    <w:rsid w:val="00B84BFA"/>
    <w:rsid w:val="00B8512B"/>
    <w:rsid w:val="00B906BD"/>
    <w:rsid w:val="00B92CFB"/>
    <w:rsid w:val="00B94952"/>
    <w:rsid w:val="00B94EF3"/>
    <w:rsid w:val="00BA42CF"/>
    <w:rsid w:val="00BA4C2C"/>
    <w:rsid w:val="00BA6403"/>
    <w:rsid w:val="00BB1E88"/>
    <w:rsid w:val="00BB3CD2"/>
    <w:rsid w:val="00BB5A1C"/>
    <w:rsid w:val="00BB6915"/>
    <w:rsid w:val="00BB6B3C"/>
    <w:rsid w:val="00BB7C09"/>
    <w:rsid w:val="00BC2D60"/>
    <w:rsid w:val="00BC7715"/>
    <w:rsid w:val="00BD23FD"/>
    <w:rsid w:val="00BD5F6A"/>
    <w:rsid w:val="00BD7C4F"/>
    <w:rsid w:val="00BE00A1"/>
    <w:rsid w:val="00BE3037"/>
    <w:rsid w:val="00BE63F7"/>
    <w:rsid w:val="00BE674B"/>
    <w:rsid w:val="00BE7D89"/>
    <w:rsid w:val="00BF3C4F"/>
    <w:rsid w:val="00BF5DD9"/>
    <w:rsid w:val="00BF7515"/>
    <w:rsid w:val="00C01673"/>
    <w:rsid w:val="00C01A1F"/>
    <w:rsid w:val="00C035AE"/>
    <w:rsid w:val="00C0547B"/>
    <w:rsid w:val="00C06827"/>
    <w:rsid w:val="00C07096"/>
    <w:rsid w:val="00C1360F"/>
    <w:rsid w:val="00C13C97"/>
    <w:rsid w:val="00C13E8C"/>
    <w:rsid w:val="00C155D6"/>
    <w:rsid w:val="00C22360"/>
    <w:rsid w:val="00C22E03"/>
    <w:rsid w:val="00C30478"/>
    <w:rsid w:val="00C34CE2"/>
    <w:rsid w:val="00C352EA"/>
    <w:rsid w:val="00C37B24"/>
    <w:rsid w:val="00C40624"/>
    <w:rsid w:val="00C40785"/>
    <w:rsid w:val="00C42AFB"/>
    <w:rsid w:val="00C4358D"/>
    <w:rsid w:val="00C4655E"/>
    <w:rsid w:val="00C47B47"/>
    <w:rsid w:val="00C47DDA"/>
    <w:rsid w:val="00C64D89"/>
    <w:rsid w:val="00C65F6A"/>
    <w:rsid w:val="00C66E2F"/>
    <w:rsid w:val="00C678BD"/>
    <w:rsid w:val="00C751D1"/>
    <w:rsid w:val="00C840AB"/>
    <w:rsid w:val="00C9033E"/>
    <w:rsid w:val="00C91427"/>
    <w:rsid w:val="00C96AB6"/>
    <w:rsid w:val="00C97A23"/>
    <w:rsid w:val="00CA0C4A"/>
    <w:rsid w:val="00CA1D8C"/>
    <w:rsid w:val="00CA368F"/>
    <w:rsid w:val="00CA3B96"/>
    <w:rsid w:val="00CA600F"/>
    <w:rsid w:val="00CA67D6"/>
    <w:rsid w:val="00CB24E7"/>
    <w:rsid w:val="00CB7BF4"/>
    <w:rsid w:val="00CC7D44"/>
    <w:rsid w:val="00CD25A3"/>
    <w:rsid w:val="00CD4948"/>
    <w:rsid w:val="00CD5158"/>
    <w:rsid w:val="00CD5811"/>
    <w:rsid w:val="00CD628D"/>
    <w:rsid w:val="00CE19E0"/>
    <w:rsid w:val="00CE2271"/>
    <w:rsid w:val="00CE29A5"/>
    <w:rsid w:val="00CE4C46"/>
    <w:rsid w:val="00CE796C"/>
    <w:rsid w:val="00CF1C4B"/>
    <w:rsid w:val="00CF24E0"/>
    <w:rsid w:val="00CF384D"/>
    <w:rsid w:val="00CF42AB"/>
    <w:rsid w:val="00CF607C"/>
    <w:rsid w:val="00D028F6"/>
    <w:rsid w:val="00D0641C"/>
    <w:rsid w:val="00D137CD"/>
    <w:rsid w:val="00D15736"/>
    <w:rsid w:val="00D179A8"/>
    <w:rsid w:val="00D218EE"/>
    <w:rsid w:val="00D2205E"/>
    <w:rsid w:val="00D226B7"/>
    <w:rsid w:val="00D24588"/>
    <w:rsid w:val="00D24917"/>
    <w:rsid w:val="00D26096"/>
    <w:rsid w:val="00D26466"/>
    <w:rsid w:val="00D2782E"/>
    <w:rsid w:val="00D314C5"/>
    <w:rsid w:val="00D32FBB"/>
    <w:rsid w:val="00D33134"/>
    <w:rsid w:val="00D34295"/>
    <w:rsid w:val="00D35E2D"/>
    <w:rsid w:val="00D364CF"/>
    <w:rsid w:val="00D404BE"/>
    <w:rsid w:val="00D41657"/>
    <w:rsid w:val="00D42C4A"/>
    <w:rsid w:val="00D43936"/>
    <w:rsid w:val="00D45BAB"/>
    <w:rsid w:val="00D45D1B"/>
    <w:rsid w:val="00D5053F"/>
    <w:rsid w:val="00D5299F"/>
    <w:rsid w:val="00D551BD"/>
    <w:rsid w:val="00D56A59"/>
    <w:rsid w:val="00D57046"/>
    <w:rsid w:val="00D575A6"/>
    <w:rsid w:val="00D57C28"/>
    <w:rsid w:val="00D618FF"/>
    <w:rsid w:val="00D6307B"/>
    <w:rsid w:val="00D75648"/>
    <w:rsid w:val="00D90954"/>
    <w:rsid w:val="00D92BD1"/>
    <w:rsid w:val="00DA06D0"/>
    <w:rsid w:val="00DA0F41"/>
    <w:rsid w:val="00DA239E"/>
    <w:rsid w:val="00DB3779"/>
    <w:rsid w:val="00DB4EC1"/>
    <w:rsid w:val="00DC0F9A"/>
    <w:rsid w:val="00DC26A7"/>
    <w:rsid w:val="00DC4135"/>
    <w:rsid w:val="00DC7DD2"/>
    <w:rsid w:val="00DD44FE"/>
    <w:rsid w:val="00DD45ED"/>
    <w:rsid w:val="00DD5E02"/>
    <w:rsid w:val="00DE60F0"/>
    <w:rsid w:val="00DE6431"/>
    <w:rsid w:val="00DE6514"/>
    <w:rsid w:val="00DE6F07"/>
    <w:rsid w:val="00DE7574"/>
    <w:rsid w:val="00DF4F5C"/>
    <w:rsid w:val="00DF7009"/>
    <w:rsid w:val="00E0094B"/>
    <w:rsid w:val="00E01788"/>
    <w:rsid w:val="00E02B72"/>
    <w:rsid w:val="00E03A89"/>
    <w:rsid w:val="00E03E8D"/>
    <w:rsid w:val="00E04B40"/>
    <w:rsid w:val="00E05BF7"/>
    <w:rsid w:val="00E060F4"/>
    <w:rsid w:val="00E14AFB"/>
    <w:rsid w:val="00E17A06"/>
    <w:rsid w:val="00E17A27"/>
    <w:rsid w:val="00E203FD"/>
    <w:rsid w:val="00E21A15"/>
    <w:rsid w:val="00E21D3C"/>
    <w:rsid w:val="00E2242E"/>
    <w:rsid w:val="00E23A3C"/>
    <w:rsid w:val="00E24078"/>
    <w:rsid w:val="00E24A52"/>
    <w:rsid w:val="00E25759"/>
    <w:rsid w:val="00E313BB"/>
    <w:rsid w:val="00E32901"/>
    <w:rsid w:val="00E33859"/>
    <w:rsid w:val="00E34125"/>
    <w:rsid w:val="00E34764"/>
    <w:rsid w:val="00E40354"/>
    <w:rsid w:val="00E426AF"/>
    <w:rsid w:val="00E44713"/>
    <w:rsid w:val="00E45D69"/>
    <w:rsid w:val="00E45EF4"/>
    <w:rsid w:val="00E461E5"/>
    <w:rsid w:val="00E46BB8"/>
    <w:rsid w:val="00E47585"/>
    <w:rsid w:val="00E53C1D"/>
    <w:rsid w:val="00E53E31"/>
    <w:rsid w:val="00E54A8B"/>
    <w:rsid w:val="00E57E7A"/>
    <w:rsid w:val="00E632D2"/>
    <w:rsid w:val="00E67597"/>
    <w:rsid w:val="00E70D3D"/>
    <w:rsid w:val="00E718BC"/>
    <w:rsid w:val="00E73B60"/>
    <w:rsid w:val="00E8302E"/>
    <w:rsid w:val="00E83169"/>
    <w:rsid w:val="00E9112A"/>
    <w:rsid w:val="00E9120D"/>
    <w:rsid w:val="00E9755C"/>
    <w:rsid w:val="00E97FB7"/>
    <w:rsid w:val="00EA360E"/>
    <w:rsid w:val="00EA3AB9"/>
    <w:rsid w:val="00EA4AF7"/>
    <w:rsid w:val="00EA5083"/>
    <w:rsid w:val="00EB0A90"/>
    <w:rsid w:val="00EB53C2"/>
    <w:rsid w:val="00EB5B65"/>
    <w:rsid w:val="00EB5B89"/>
    <w:rsid w:val="00EC0B7C"/>
    <w:rsid w:val="00EC1C17"/>
    <w:rsid w:val="00EC57D1"/>
    <w:rsid w:val="00EC6AC5"/>
    <w:rsid w:val="00ED62CE"/>
    <w:rsid w:val="00ED72AB"/>
    <w:rsid w:val="00EE01A5"/>
    <w:rsid w:val="00EE1DAB"/>
    <w:rsid w:val="00EE2BB6"/>
    <w:rsid w:val="00EE3365"/>
    <w:rsid w:val="00EE37DA"/>
    <w:rsid w:val="00EE59D0"/>
    <w:rsid w:val="00EE742A"/>
    <w:rsid w:val="00EF6FEB"/>
    <w:rsid w:val="00EF730D"/>
    <w:rsid w:val="00EF7ABA"/>
    <w:rsid w:val="00F00338"/>
    <w:rsid w:val="00F031FC"/>
    <w:rsid w:val="00F0468B"/>
    <w:rsid w:val="00F04CE4"/>
    <w:rsid w:val="00F12F04"/>
    <w:rsid w:val="00F13D61"/>
    <w:rsid w:val="00F150DD"/>
    <w:rsid w:val="00F22373"/>
    <w:rsid w:val="00F25ACA"/>
    <w:rsid w:val="00F265F4"/>
    <w:rsid w:val="00F270AB"/>
    <w:rsid w:val="00F277E4"/>
    <w:rsid w:val="00F27E32"/>
    <w:rsid w:val="00F3635E"/>
    <w:rsid w:val="00F37970"/>
    <w:rsid w:val="00F4258B"/>
    <w:rsid w:val="00F44D8A"/>
    <w:rsid w:val="00F513A8"/>
    <w:rsid w:val="00F54AAE"/>
    <w:rsid w:val="00F55242"/>
    <w:rsid w:val="00F56658"/>
    <w:rsid w:val="00F57086"/>
    <w:rsid w:val="00F614ED"/>
    <w:rsid w:val="00F7324C"/>
    <w:rsid w:val="00F74B97"/>
    <w:rsid w:val="00F756D2"/>
    <w:rsid w:val="00F8450E"/>
    <w:rsid w:val="00F87FC2"/>
    <w:rsid w:val="00F92384"/>
    <w:rsid w:val="00F93EEF"/>
    <w:rsid w:val="00F950C3"/>
    <w:rsid w:val="00FA165E"/>
    <w:rsid w:val="00FA4878"/>
    <w:rsid w:val="00FA6519"/>
    <w:rsid w:val="00FB0336"/>
    <w:rsid w:val="00FB14F2"/>
    <w:rsid w:val="00FB72A2"/>
    <w:rsid w:val="00FC0699"/>
    <w:rsid w:val="00FC1437"/>
    <w:rsid w:val="00FC353F"/>
    <w:rsid w:val="00FC611E"/>
    <w:rsid w:val="00FC615B"/>
    <w:rsid w:val="00FD13ED"/>
    <w:rsid w:val="00FD325D"/>
    <w:rsid w:val="00FD4908"/>
    <w:rsid w:val="00FD687D"/>
    <w:rsid w:val="00FD70D7"/>
    <w:rsid w:val="00FD71F8"/>
    <w:rsid w:val="00FD7EE2"/>
    <w:rsid w:val="00FE140B"/>
    <w:rsid w:val="00FE3C82"/>
    <w:rsid w:val="00FE5E55"/>
    <w:rsid w:val="00FE6EFD"/>
    <w:rsid w:val="00FF3DA3"/>
    <w:rsid w:val="00FF7B94"/>
  </w:rsids>
  <m:mathPr>
    <m:mathFont m:val="Cambria Math"/>
    <m:brkBin m:val="before"/>
    <m:brkBinSub m:val="--"/>
    <m:smallFrac m:val="0"/>
    <m:dispDef/>
    <m:lMargin m:val="0"/>
    <m:rMargin m:val="0"/>
    <m:defJc m:val="centerGroup"/>
    <m:wrapIndent m:val="1440"/>
    <m:intLim m:val="subSup"/>
    <m:naryLim m:val="undOvr"/>
  </m:mathPr>
  <w:themeFontLang w:val="hr-H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7"/>
    <o:shapelayout v:ext="edit">
      <o:idmap v:ext="edit" data="1"/>
    </o:shapelayout>
  </w:shapeDefaults>
  <w:decimalSymbol w:val="."/>
  <w:listSeparator w:val=","/>
  <w14:docId w14:val="2CA98D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7"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List Bullet" w:qFormat="1"/>
    <w:lsdException w:name="List Bullet 2"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60F4"/>
    <w:pPr>
      <w:spacing w:before="120" w:after="120"/>
      <w:jc w:val="both"/>
    </w:pPr>
    <w:rPr>
      <w:rFonts w:ascii="Calibri" w:hAnsi="Calibri"/>
      <w:lang w:val="hr-HR"/>
    </w:rPr>
  </w:style>
  <w:style w:type="paragraph" w:styleId="Heading1">
    <w:name w:val="heading 1"/>
    <w:basedOn w:val="Normal"/>
    <w:next w:val="Normal"/>
    <w:link w:val="Heading1Char"/>
    <w:uiPriority w:val="9"/>
    <w:qFormat/>
    <w:rsid w:val="00E9120D"/>
    <w:pPr>
      <w:keepNext/>
      <w:keepLines/>
      <w:numPr>
        <w:numId w:val="28"/>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E9120D"/>
    <w:pPr>
      <w:keepNext/>
      <w:keepLines/>
      <w:numPr>
        <w:ilvl w:val="1"/>
        <w:numId w:val="28"/>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9120D"/>
    <w:pPr>
      <w:keepNext/>
      <w:keepLines/>
      <w:numPr>
        <w:ilvl w:val="2"/>
        <w:numId w:val="28"/>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9120D"/>
    <w:pPr>
      <w:keepNext/>
      <w:keepLines/>
      <w:spacing w:before="200" w:after="0"/>
      <w:outlineLvl w:val="3"/>
    </w:pPr>
    <w:rPr>
      <w:rFonts w:asciiTheme="majorHAnsi" w:eastAsiaTheme="majorEastAsia" w:hAnsiTheme="majorHAnsi" w:cstheme="majorBidi"/>
      <w:b/>
      <w:bCs/>
      <w:i/>
      <w:iCs/>
      <w:color w:val="215868" w:themeColor="accent5" w:themeShade="80"/>
    </w:rPr>
  </w:style>
  <w:style w:type="paragraph" w:styleId="Heading5">
    <w:name w:val="heading 5"/>
    <w:basedOn w:val="Normal"/>
    <w:next w:val="Normal"/>
    <w:link w:val="Heading5Char"/>
    <w:uiPriority w:val="9"/>
    <w:semiHidden/>
    <w:unhideWhenUsed/>
    <w:qFormat/>
    <w:rsid w:val="00E9120D"/>
    <w:pPr>
      <w:keepNext/>
      <w:keepLines/>
      <w:numPr>
        <w:ilvl w:val="4"/>
        <w:numId w:val="28"/>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E9120D"/>
    <w:pPr>
      <w:keepNext/>
      <w:keepLines/>
      <w:numPr>
        <w:ilvl w:val="5"/>
        <w:numId w:val="28"/>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E9120D"/>
    <w:pPr>
      <w:keepNext/>
      <w:keepLines/>
      <w:numPr>
        <w:ilvl w:val="6"/>
        <w:numId w:val="28"/>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9120D"/>
    <w:pPr>
      <w:keepNext/>
      <w:keepLines/>
      <w:numPr>
        <w:ilvl w:val="7"/>
        <w:numId w:val="28"/>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9120D"/>
    <w:pPr>
      <w:keepNext/>
      <w:keepLines/>
      <w:numPr>
        <w:ilvl w:val="8"/>
        <w:numId w:val="2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120D"/>
    <w:rPr>
      <w:rFonts w:asciiTheme="majorHAnsi" w:eastAsiaTheme="majorEastAsia" w:hAnsiTheme="majorHAnsi" w:cstheme="majorBidi"/>
      <w:b/>
      <w:bCs/>
      <w:color w:val="345A8A" w:themeColor="accent1" w:themeShade="B5"/>
      <w:sz w:val="32"/>
      <w:szCs w:val="32"/>
      <w:lang w:val="hr-HR"/>
    </w:rPr>
  </w:style>
  <w:style w:type="character" w:customStyle="1" w:styleId="Heading2Char">
    <w:name w:val="Heading 2 Char"/>
    <w:basedOn w:val="DefaultParagraphFont"/>
    <w:link w:val="Heading2"/>
    <w:uiPriority w:val="9"/>
    <w:rsid w:val="00E9120D"/>
    <w:rPr>
      <w:rFonts w:asciiTheme="majorHAnsi" w:eastAsiaTheme="majorEastAsia" w:hAnsiTheme="majorHAnsi" w:cstheme="majorBidi"/>
      <w:b/>
      <w:bCs/>
      <w:color w:val="4F81BD" w:themeColor="accent1"/>
      <w:sz w:val="26"/>
      <w:szCs w:val="26"/>
      <w:lang w:val="hr-HR"/>
    </w:rPr>
  </w:style>
  <w:style w:type="character" w:customStyle="1" w:styleId="Heading3Char">
    <w:name w:val="Heading 3 Char"/>
    <w:basedOn w:val="DefaultParagraphFont"/>
    <w:link w:val="Heading3"/>
    <w:uiPriority w:val="9"/>
    <w:rsid w:val="00E9120D"/>
    <w:rPr>
      <w:rFonts w:asciiTheme="majorHAnsi" w:eastAsiaTheme="majorEastAsia" w:hAnsiTheme="majorHAnsi" w:cstheme="majorBidi"/>
      <w:b/>
      <w:bCs/>
      <w:color w:val="4F81BD" w:themeColor="accent1"/>
      <w:lang w:val="hr-HR"/>
    </w:rPr>
  </w:style>
  <w:style w:type="character" w:customStyle="1" w:styleId="Heading4Char">
    <w:name w:val="Heading 4 Char"/>
    <w:basedOn w:val="DefaultParagraphFont"/>
    <w:link w:val="Heading4"/>
    <w:uiPriority w:val="9"/>
    <w:rsid w:val="00E9120D"/>
    <w:rPr>
      <w:rFonts w:asciiTheme="majorHAnsi" w:eastAsiaTheme="majorEastAsia" w:hAnsiTheme="majorHAnsi" w:cstheme="majorBidi"/>
      <w:b/>
      <w:bCs/>
      <w:i/>
      <w:iCs/>
      <w:color w:val="215868" w:themeColor="accent5" w:themeShade="80"/>
      <w:lang w:val="hr-HR"/>
    </w:rPr>
  </w:style>
  <w:style w:type="character" w:customStyle="1" w:styleId="Heading5Char">
    <w:name w:val="Heading 5 Char"/>
    <w:basedOn w:val="DefaultParagraphFont"/>
    <w:link w:val="Heading5"/>
    <w:uiPriority w:val="9"/>
    <w:semiHidden/>
    <w:rsid w:val="00E9120D"/>
    <w:rPr>
      <w:rFonts w:asciiTheme="majorHAnsi" w:eastAsiaTheme="majorEastAsia" w:hAnsiTheme="majorHAnsi" w:cstheme="majorBidi"/>
      <w:color w:val="243F60" w:themeColor="accent1" w:themeShade="7F"/>
      <w:lang w:val="hr-HR"/>
    </w:rPr>
  </w:style>
  <w:style w:type="character" w:customStyle="1" w:styleId="Heading6Char">
    <w:name w:val="Heading 6 Char"/>
    <w:basedOn w:val="DefaultParagraphFont"/>
    <w:link w:val="Heading6"/>
    <w:uiPriority w:val="9"/>
    <w:semiHidden/>
    <w:rsid w:val="00E9120D"/>
    <w:rPr>
      <w:rFonts w:asciiTheme="majorHAnsi" w:eastAsiaTheme="majorEastAsia" w:hAnsiTheme="majorHAnsi" w:cstheme="majorBidi"/>
      <w:i/>
      <w:iCs/>
      <w:color w:val="243F60" w:themeColor="accent1" w:themeShade="7F"/>
      <w:lang w:val="hr-HR"/>
    </w:rPr>
  </w:style>
  <w:style w:type="character" w:customStyle="1" w:styleId="Heading7Char">
    <w:name w:val="Heading 7 Char"/>
    <w:basedOn w:val="DefaultParagraphFont"/>
    <w:link w:val="Heading7"/>
    <w:uiPriority w:val="9"/>
    <w:semiHidden/>
    <w:rsid w:val="00E9120D"/>
    <w:rPr>
      <w:rFonts w:asciiTheme="majorHAnsi" w:eastAsiaTheme="majorEastAsia" w:hAnsiTheme="majorHAnsi" w:cstheme="majorBidi"/>
      <w:i/>
      <w:iCs/>
      <w:color w:val="404040" w:themeColor="text1" w:themeTint="BF"/>
      <w:lang w:val="hr-HR"/>
    </w:rPr>
  </w:style>
  <w:style w:type="character" w:customStyle="1" w:styleId="Heading8Char">
    <w:name w:val="Heading 8 Char"/>
    <w:basedOn w:val="DefaultParagraphFont"/>
    <w:link w:val="Heading8"/>
    <w:uiPriority w:val="9"/>
    <w:semiHidden/>
    <w:rsid w:val="00E9120D"/>
    <w:rPr>
      <w:rFonts w:asciiTheme="majorHAnsi" w:eastAsiaTheme="majorEastAsia" w:hAnsiTheme="majorHAnsi" w:cstheme="majorBidi"/>
      <w:color w:val="404040" w:themeColor="text1" w:themeTint="BF"/>
      <w:sz w:val="20"/>
      <w:szCs w:val="20"/>
      <w:lang w:val="hr-HR"/>
    </w:rPr>
  </w:style>
  <w:style w:type="character" w:customStyle="1" w:styleId="Heading9Char">
    <w:name w:val="Heading 9 Char"/>
    <w:basedOn w:val="DefaultParagraphFont"/>
    <w:link w:val="Heading9"/>
    <w:uiPriority w:val="9"/>
    <w:semiHidden/>
    <w:rsid w:val="00E9120D"/>
    <w:rPr>
      <w:rFonts w:asciiTheme="majorHAnsi" w:eastAsiaTheme="majorEastAsia" w:hAnsiTheme="majorHAnsi" w:cstheme="majorBidi"/>
      <w:i/>
      <w:iCs/>
      <w:color w:val="404040" w:themeColor="text1" w:themeTint="BF"/>
      <w:sz w:val="20"/>
      <w:szCs w:val="20"/>
      <w:lang w:val="hr-HR"/>
    </w:rPr>
  </w:style>
  <w:style w:type="paragraph" w:styleId="Header">
    <w:name w:val="header"/>
    <w:basedOn w:val="Normal"/>
    <w:link w:val="HeaderChar"/>
    <w:uiPriority w:val="99"/>
    <w:unhideWhenUsed/>
    <w:rsid w:val="003C7C29"/>
    <w:pPr>
      <w:tabs>
        <w:tab w:val="center" w:pos="4536"/>
        <w:tab w:val="right" w:pos="9072"/>
      </w:tabs>
    </w:pPr>
  </w:style>
  <w:style w:type="character" w:customStyle="1" w:styleId="HeaderChar">
    <w:name w:val="Header Char"/>
    <w:basedOn w:val="DefaultParagraphFont"/>
    <w:link w:val="Header"/>
    <w:uiPriority w:val="99"/>
    <w:rsid w:val="003C7C29"/>
  </w:style>
  <w:style w:type="paragraph" w:styleId="Footer">
    <w:name w:val="footer"/>
    <w:basedOn w:val="Normal"/>
    <w:link w:val="FooterChar"/>
    <w:uiPriority w:val="99"/>
    <w:unhideWhenUsed/>
    <w:rsid w:val="003C7C29"/>
    <w:pPr>
      <w:tabs>
        <w:tab w:val="center" w:pos="4536"/>
        <w:tab w:val="right" w:pos="9072"/>
      </w:tabs>
    </w:pPr>
  </w:style>
  <w:style w:type="character" w:customStyle="1" w:styleId="FooterChar">
    <w:name w:val="Footer Char"/>
    <w:basedOn w:val="DefaultParagraphFont"/>
    <w:link w:val="Footer"/>
    <w:uiPriority w:val="99"/>
    <w:rsid w:val="003C7C29"/>
  </w:style>
  <w:style w:type="paragraph" w:styleId="BalloonText">
    <w:name w:val="Balloon Text"/>
    <w:basedOn w:val="Normal"/>
    <w:link w:val="BalloonTextChar"/>
    <w:uiPriority w:val="99"/>
    <w:semiHidden/>
    <w:unhideWhenUsed/>
    <w:rsid w:val="003C7C29"/>
    <w:rPr>
      <w:rFonts w:ascii="Tahoma" w:hAnsi="Tahoma" w:cs="Tahoma"/>
      <w:sz w:val="16"/>
      <w:szCs w:val="16"/>
    </w:rPr>
  </w:style>
  <w:style w:type="character" w:customStyle="1" w:styleId="BalloonTextChar">
    <w:name w:val="Balloon Text Char"/>
    <w:basedOn w:val="DefaultParagraphFont"/>
    <w:link w:val="BalloonText"/>
    <w:uiPriority w:val="99"/>
    <w:semiHidden/>
    <w:rsid w:val="003C7C29"/>
    <w:rPr>
      <w:rFonts w:ascii="Tahoma" w:hAnsi="Tahoma" w:cs="Tahoma"/>
      <w:sz w:val="16"/>
      <w:szCs w:val="16"/>
    </w:rPr>
  </w:style>
  <w:style w:type="paragraph" w:styleId="ListParagraph">
    <w:name w:val="List Paragraph"/>
    <w:aliases w:val="Paragraph,Paragraphe de liste PBLH,Graph &amp; Table tite,Normal bullet 2,Bullet list,Figure_name,Equipment,Numbered Indented Text,List Paragraph1,lp1,List Paragraph11,List Paragraph Char Char Char,List Paragraph Char Char,Citation List,2,Ha"/>
    <w:basedOn w:val="Normal"/>
    <w:link w:val="ListParagraphChar"/>
    <w:uiPriority w:val="34"/>
    <w:qFormat/>
    <w:rsid w:val="003C7C29"/>
    <w:pPr>
      <w:ind w:left="720"/>
      <w:contextualSpacing/>
    </w:pPr>
  </w:style>
  <w:style w:type="character" w:customStyle="1" w:styleId="ListParagraphChar">
    <w:name w:val="List Paragraph Char"/>
    <w:aliases w:val="Paragraph Char,Paragraphe de liste PBLH Char,Graph &amp; Table tite Char,Normal bullet 2 Char,Bullet list Char,Figure_name Char,Equipment Char,Numbered Indented Text Char,List Paragraph1 Char,lp1 Char,List Paragraph11 Char,2 Char,Ha Char"/>
    <w:basedOn w:val="DefaultParagraphFont"/>
    <w:link w:val="ListParagraph"/>
    <w:uiPriority w:val="34"/>
    <w:qFormat/>
    <w:rsid w:val="00B27E06"/>
    <w:rPr>
      <w:rFonts w:ascii="Calibri" w:hAnsi="Calibri"/>
      <w:lang w:val="hr-HR"/>
    </w:rPr>
  </w:style>
  <w:style w:type="table" w:styleId="TableGrid">
    <w:name w:val="Table Grid"/>
    <w:aliases w:val="Table Grid New,Test table"/>
    <w:basedOn w:val="TableNormal"/>
    <w:uiPriority w:val="59"/>
    <w:rsid w:val="00E04B4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Fußnote,Podrozdział,Fußnotentextf,Footnote Text Char Char Char,Footnote Text Char Char,single space,FOOTNOTES,fn,stile 1,Footnote,Footnote1,Footnote2,Footnote3,Footnote4,Footnote5,Footnote6,f,Footnote text,Schriftart: 9 pt,footnote text"/>
    <w:basedOn w:val="Normal"/>
    <w:link w:val="FootnoteTextChar"/>
    <w:uiPriority w:val="99"/>
    <w:unhideWhenUsed/>
    <w:qFormat/>
    <w:rsid w:val="00B844EC"/>
    <w:rPr>
      <w:sz w:val="20"/>
      <w:szCs w:val="20"/>
    </w:rPr>
  </w:style>
  <w:style w:type="character" w:customStyle="1" w:styleId="FootnoteTextChar">
    <w:name w:val="Footnote Text Char"/>
    <w:aliases w:val="Fußnote Char,Podrozdział Char,Fußnotentextf Char,Footnote Text Char Char Char Char,Footnote Text Char Char Char1,single space Char,FOOTNOTES Char,fn Char,stile 1 Char,Footnote Char,Footnote1 Char,Footnote2 Char,Footnote3 Char,f Char"/>
    <w:basedOn w:val="DefaultParagraphFont"/>
    <w:link w:val="FootnoteText"/>
    <w:uiPriority w:val="99"/>
    <w:rsid w:val="00B844EC"/>
    <w:rPr>
      <w:sz w:val="20"/>
      <w:szCs w:val="20"/>
    </w:rPr>
  </w:style>
  <w:style w:type="character" w:styleId="CommentReference">
    <w:name w:val="annotation reference"/>
    <w:basedOn w:val="DefaultParagraphFont"/>
    <w:uiPriority w:val="99"/>
    <w:semiHidden/>
    <w:unhideWhenUsed/>
    <w:rsid w:val="006E7D3B"/>
    <w:rPr>
      <w:sz w:val="16"/>
      <w:szCs w:val="16"/>
    </w:rPr>
  </w:style>
  <w:style w:type="paragraph" w:styleId="CommentSubject">
    <w:name w:val="annotation subject"/>
    <w:basedOn w:val="Normal"/>
    <w:next w:val="Normal"/>
    <w:link w:val="CommentSubjectChar"/>
    <w:uiPriority w:val="99"/>
    <w:semiHidden/>
    <w:unhideWhenUsed/>
    <w:rsid w:val="003A4DA3"/>
    <w:rPr>
      <w:b/>
      <w:bCs/>
      <w:sz w:val="20"/>
      <w:szCs w:val="20"/>
    </w:rPr>
  </w:style>
  <w:style w:type="character" w:customStyle="1" w:styleId="CommentSubjectChar">
    <w:name w:val="Comment Subject Char"/>
    <w:basedOn w:val="DefaultParagraphFont"/>
    <w:link w:val="CommentSubject"/>
    <w:uiPriority w:val="99"/>
    <w:semiHidden/>
    <w:rsid w:val="003A4DA3"/>
    <w:rPr>
      <w:b/>
      <w:bCs/>
      <w:sz w:val="20"/>
      <w:szCs w:val="20"/>
    </w:rPr>
  </w:style>
  <w:style w:type="paragraph" w:styleId="NoSpacing">
    <w:name w:val="No Spacing"/>
    <w:link w:val="NoSpacingChar"/>
    <w:uiPriority w:val="1"/>
    <w:qFormat/>
    <w:rsid w:val="001E1257"/>
    <w:rPr>
      <w:lang w:val="hr-HR"/>
    </w:rPr>
  </w:style>
  <w:style w:type="character" w:customStyle="1" w:styleId="NoSpacingChar">
    <w:name w:val="No Spacing Char"/>
    <w:basedOn w:val="DefaultParagraphFont"/>
    <w:link w:val="NoSpacing"/>
    <w:uiPriority w:val="1"/>
    <w:rsid w:val="001E1257"/>
    <w:rPr>
      <w:lang w:val="hr-HR"/>
    </w:rPr>
  </w:style>
  <w:style w:type="paragraph" w:styleId="DocumentMap">
    <w:name w:val="Document Map"/>
    <w:basedOn w:val="Normal"/>
    <w:link w:val="DocumentMapChar"/>
    <w:uiPriority w:val="99"/>
    <w:semiHidden/>
    <w:unhideWhenUsed/>
    <w:rsid w:val="001A5F94"/>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1A5F94"/>
    <w:rPr>
      <w:rFonts w:ascii="Lucida Grande" w:hAnsi="Lucida Grande" w:cs="Lucida Grande"/>
      <w:sz w:val="24"/>
      <w:szCs w:val="24"/>
    </w:rPr>
  </w:style>
  <w:style w:type="paragraph" w:styleId="Title">
    <w:name w:val="Title"/>
    <w:basedOn w:val="Normal"/>
    <w:next w:val="Normal"/>
    <w:link w:val="TitleChar"/>
    <w:uiPriority w:val="10"/>
    <w:qFormat/>
    <w:rsid w:val="001A5F94"/>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A5F94"/>
    <w:rPr>
      <w:rFonts w:asciiTheme="majorHAnsi" w:eastAsiaTheme="majorEastAsia" w:hAnsiTheme="majorHAnsi" w:cstheme="majorBidi"/>
      <w:color w:val="17365D" w:themeColor="text2" w:themeShade="BF"/>
      <w:spacing w:val="5"/>
      <w:kern w:val="28"/>
      <w:sz w:val="52"/>
      <w:szCs w:val="52"/>
      <w:lang w:val="hr-HR"/>
    </w:rPr>
  </w:style>
  <w:style w:type="character" w:styleId="IntenseEmphasis">
    <w:name w:val="Intense Emphasis"/>
    <w:basedOn w:val="DefaultParagraphFont"/>
    <w:uiPriority w:val="21"/>
    <w:qFormat/>
    <w:rsid w:val="006333E2"/>
    <w:rPr>
      <w:i/>
      <w:iCs/>
      <w:color w:val="4F81BD" w:themeColor="accent1"/>
      <w:lang w:val="hr-HR"/>
    </w:rPr>
  </w:style>
  <w:style w:type="paragraph" w:styleId="Subtitle">
    <w:name w:val="Subtitle"/>
    <w:basedOn w:val="Normal"/>
    <w:next w:val="Normal"/>
    <w:link w:val="SubtitleChar"/>
    <w:uiPriority w:val="11"/>
    <w:qFormat/>
    <w:rsid w:val="00C13C9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13C97"/>
    <w:rPr>
      <w:rFonts w:asciiTheme="majorHAnsi" w:eastAsiaTheme="majorEastAsia" w:hAnsiTheme="majorHAnsi" w:cstheme="majorBidi"/>
      <w:i/>
      <w:iCs/>
      <w:color w:val="4F81BD" w:themeColor="accent1"/>
      <w:spacing w:val="15"/>
      <w:sz w:val="24"/>
      <w:szCs w:val="24"/>
      <w:lang w:val="hr-HR"/>
    </w:rPr>
  </w:style>
  <w:style w:type="character" w:customStyle="1" w:styleId="apple-converted-space">
    <w:name w:val="apple-converted-space"/>
    <w:basedOn w:val="DefaultParagraphFont"/>
    <w:rsid w:val="009D1C21"/>
  </w:style>
  <w:style w:type="character" w:styleId="FootnoteReference">
    <w:name w:val="footnote reference"/>
    <w:aliases w:val="BVI fnr,ftref,BVI fnr Car Car,BVI fnr Car,BVI fnr Car Car Car Car,BVI fnr Car Car Car Car Char,stylish,BVI fnr Car Char1 Char,BVI fnr Car Car Car Char1 Char,BVI fnr Car Car Char1 Char,BVI fnr Car Car Car Car Car Char1 Cha, BVI fnr"/>
    <w:basedOn w:val="DefaultParagraphFont"/>
    <w:link w:val="Char2"/>
    <w:uiPriority w:val="99"/>
    <w:unhideWhenUsed/>
    <w:qFormat/>
    <w:rsid w:val="00745106"/>
    <w:rPr>
      <w:vertAlign w:val="superscript"/>
    </w:rPr>
  </w:style>
  <w:style w:type="paragraph" w:customStyle="1" w:styleId="Char2">
    <w:name w:val="Char2"/>
    <w:basedOn w:val="Normal"/>
    <w:link w:val="FootnoteReference"/>
    <w:uiPriority w:val="99"/>
    <w:rsid w:val="00745106"/>
    <w:pPr>
      <w:spacing w:before="0" w:after="160" w:line="240" w:lineRule="exact"/>
    </w:pPr>
    <w:rPr>
      <w:rFonts w:asciiTheme="minorHAnsi" w:hAnsiTheme="minorHAnsi"/>
      <w:vertAlign w:val="superscript"/>
      <w:lang w:val="en-GB"/>
    </w:rPr>
  </w:style>
  <w:style w:type="paragraph" w:customStyle="1" w:styleId="Txttable">
    <w:name w:val="Txt table"/>
    <w:basedOn w:val="Normal"/>
    <w:qFormat/>
    <w:rsid w:val="00745106"/>
    <w:pPr>
      <w:spacing w:before="60" w:after="60"/>
    </w:pPr>
    <w:rPr>
      <w:rFonts w:asciiTheme="majorHAnsi" w:eastAsiaTheme="minorEastAsia" w:hAnsiTheme="majorHAnsi"/>
      <w:sz w:val="20"/>
      <w:szCs w:val="24"/>
    </w:rPr>
  </w:style>
  <w:style w:type="paragraph" w:customStyle="1" w:styleId="tabletxt">
    <w:name w:val="table txt"/>
    <w:basedOn w:val="Normal"/>
    <w:qFormat/>
    <w:rsid w:val="00F22373"/>
    <w:pPr>
      <w:spacing w:before="60" w:after="60"/>
    </w:pPr>
    <w:rPr>
      <w:rFonts w:eastAsia="Times New Roman" w:cs="Times New Roman"/>
      <w:sz w:val="18"/>
      <w:szCs w:val="20"/>
      <w:lang w:eastAsia="en-GB"/>
    </w:rPr>
  </w:style>
  <w:style w:type="paragraph" w:styleId="TOCHeading">
    <w:name w:val="TOC Heading"/>
    <w:basedOn w:val="Heading1"/>
    <w:next w:val="Normal"/>
    <w:uiPriority w:val="39"/>
    <w:unhideWhenUsed/>
    <w:qFormat/>
    <w:rsid w:val="00184D82"/>
    <w:pPr>
      <w:numPr>
        <w:numId w:val="0"/>
      </w:numPr>
      <w:spacing w:after="0" w:line="276" w:lineRule="auto"/>
      <w:jc w:val="left"/>
      <w:outlineLvl w:val="9"/>
    </w:pPr>
    <w:rPr>
      <w:color w:val="365F91" w:themeColor="accent1" w:themeShade="BF"/>
      <w:sz w:val="28"/>
      <w:szCs w:val="28"/>
      <w:lang w:val="en-US"/>
    </w:rPr>
  </w:style>
  <w:style w:type="paragraph" w:styleId="TOC1">
    <w:name w:val="toc 1"/>
    <w:basedOn w:val="Normal"/>
    <w:next w:val="Normal"/>
    <w:autoRedefine/>
    <w:uiPriority w:val="39"/>
    <w:unhideWhenUsed/>
    <w:rsid w:val="00184D82"/>
    <w:pPr>
      <w:spacing w:after="0"/>
      <w:jc w:val="left"/>
    </w:pPr>
    <w:rPr>
      <w:rFonts w:asciiTheme="majorHAnsi" w:hAnsiTheme="majorHAnsi"/>
      <w:b/>
      <w:color w:val="548DD4"/>
      <w:sz w:val="24"/>
      <w:szCs w:val="24"/>
    </w:rPr>
  </w:style>
  <w:style w:type="paragraph" w:styleId="TOC2">
    <w:name w:val="toc 2"/>
    <w:basedOn w:val="Normal"/>
    <w:next w:val="Normal"/>
    <w:autoRedefine/>
    <w:uiPriority w:val="39"/>
    <w:unhideWhenUsed/>
    <w:rsid w:val="00184D82"/>
    <w:pPr>
      <w:spacing w:before="0" w:after="0"/>
      <w:jc w:val="left"/>
    </w:pPr>
  </w:style>
  <w:style w:type="paragraph" w:styleId="TOC3">
    <w:name w:val="toc 3"/>
    <w:basedOn w:val="Normal"/>
    <w:next w:val="Normal"/>
    <w:autoRedefine/>
    <w:uiPriority w:val="39"/>
    <w:unhideWhenUsed/>
    <w:rsid w:val="00184D82"/>
    <w:pPr>
      <w:spacing w:before="0" w:after="0"/>
      <w:ind w:left="220"/>
      <w:jc w:val="left"/>
    </w:pPr>
    <w:rPr>
      <w:i/>
    </w:rPr>
  </w:style>
  <w:style w:type="paragraph" w:styleId="TOC4">
    <w:name w:val="toc 4"/>
    <w:basedOn w:val="Normal"/>
    <w:next w:val="Normal"/>
    <w:autoRedefine/>
    <w:uiPriority w:val="39"/>
    <w:unhideWhenUsed/>
    <w:rsid w:val="00184D82"/>
    <w:pPr>
      <w:pBdr>
        <w:between w:val="double" w:sz="6" w:space="0" w:color="auto"/>
      </w:pBdr>
      <w:spacing w:before="0" w:after="0"/>
      <w:ind w:left="440"/>
      <w:jc w:val="left"/>
    </w:pPr>
    <w:rPr>
      <w:rFonts w:asciiTheme="minorHAnsi" w:hAnsiTheme="minorHAnsi"/>
      <w:sz w:val="20"/>
      <w:szCs w:val="20"/>
    </w:rPr>
  </w:style>
  <w:style w:type="paragraph" w:styleId="TOC5">
    <w:name w:val="toc 5"/>
    <w:basedOn w:val="Normal"/>
    <w:next w:val="Normal"/>
    <w:autoRedefine/>
    <w:uiPriority w:val="39"/>
    <w:unhideWhenUsed/>
    <w:rsid w:val="00184D82"/>
    <w:pPr>
      <w:pBdr>
        <w:between w:val="double" w:sz="6" w:space="0" w:color="auto"/>
      </w:pBdr>
      <w:spacing w:before="0" w:after="0"/>
      <w:ind w:left="660"/>
      <w:jc w:val="left"/>
    </w:pPr>
    <w:rPr>
      <w:rFonts w:asciiTheme="minorHAnsi" w:hAnsiTheme="minorHAnsi"/>
      <w:sz w:val="20"/>
      <w:szCs w:val="20"/>
    </w:rPr>
  </w:style>
  <w:style w:type="paragraph" w:styleId="TOC6">
    <w:name w:val="toc 6"/>
    <w:basedOn w:val="Normal"/>
    <w:next w:val="Normal"/>
    <w:autoRedefine/>
    <w:uiPriority w:val="39"/>
    <w:unhideWhenUsed/>
    <w:rsid w:val="00184D82"/>
    <w:pPr>
      <w:pBdr>
        <w:between w:val="double" w:sz="6" w:space="0" w:color="auto"/>
      </w:pBdr>
      <w:spacing w:before="0" w:after="0"/>
      <w:ind w:left="880"/>
      <w:jc w:val="left"/>
    </w:pPr>
    <w:rPr>
      <w:rFonts w:asciiTheme="minorHAnsi" w:hAnsiTheme="minorHAnsi"/>
      <w:sz w:val="20"/>
      <w:szCs w:val="20"/>
    </w:rPr>
  </w:style>
  <w:style w:type="paragraph" w:styleId="TOC7">
    <w:name w:val="toc 7"/>
    <w:basedOn w:val="Normal"/>
    <w:next w:val="Normal"/>
    <w:autoRedefine/>
    <w:uiPriority w:val="39"/>
    <w:unhideWhenUsed/>
    <w:rsid w:val="00184D82"/>
    <w:pPr>
      <w:pBdr>
        <w:between w:val="double" w:sz="6" w:space="0" w:color="auto"/>
      </w:pBdr>
      <w:spacing w:before="0" w:after="0"/>
      <w:ind w:left="1100"/>
      <w:jc w:val="left"/>
    </w:pPr>
    <w:rPr>
      <w:rFonts w:asciiTheme="minorHAnsi" w:hAnsiTheme="minorHAnsi"/>
      <w:sz w:val="20"/>
      <w:szCs w:val="20"/>
    </w:rPr>
  </w:style>
  <w:style w:type="paragraph" w:styleId="TOC8">
    <w:name w:val="toc 8"/>
    <w:basedOn w:val="Normal"/>
    <w:next w:val="Normal"/>
    <w:autoRedefine/>
    <w:uiPriority w:val="39"/>
    <w:unhideWhenUsed/>
    <w:rsid w:val="00184D82"/>
    <w:pPr>
      <w:pBdr>
        <w:between w:val="double" w:sz="6" w:space="0" w:color="auto"/>
      </w:pBdr>
      <w:spacing w:before="0" w:after="0"/>
      <w:ind w:left="1320"/>
      <w:jc w:val="left"/>
    </w:pPr>
    <w:rPr>
      <w:rFonts w:asciiTheme="minorHAnsi" w:hAnsiTheme="minorHAnsi"/>
      <w:sz w:val="20"/>
      <w:szCs w:val="20"/>
    </w:rPr>
  </w:style>
  <w:style w:type="paragraph" w:styleId="TOC9">
    <w:name w:val="toc 9"/>
    <w:basedOn w:val="Normal"/>
    <w:next w:val="Normal"/>
    <w:autoRedefine/>
    <w:uiPriority w:val="39"/>
    <w:unhideWhenUsed/>
    <w:rsid w:val="00184D82"/>
    <w:pPr>
      <w:pBdr>
        <w:between w:val="double" w:sz="6" w:space="0" w:color="auto"/>
      </w:pBdr>
      <w:spacing w:before="0" w:after="0"/>
      <w:ind w:left="1540"/>
      <w:jc w:val="left"/>
    </w:pPr>
    <w:rPr>
      <w:rFonts w:asciiTheme="minorHAnsi" w:hAnsiTheme="minorHAnsi"/>
      <w:sz w:val="20"/>
      <w:szCs w:val="20"/>
    </w:rPr>
  </w:style>
  <w:style w:type="paragraph" w:styleId="NormalWeb">
    <w:name w:val="Normal (Web)"/>
    <w:basedOn w:val="Normal"/>
    <w:uiPriority w:val="99"/>
    <w:unhideWhenUsed/>
    <w:rsid w:val="004A6096"/>
    <w:pPr>
      <w:spacing w:before="100" w:beforeAutospacing="1" w:after="100" w:afterAutospacing="1"/>
      <w:jc w:val="left"/>
    </w:pPr>
    <w:rPr>
      <w:rFonts w:ascii="Times New Roman" w:eastAsiaTheme="minorEastAsia" w:hAnsi="Times New Roman" w:cs="Times New Roman"/>
      <w:sz w:val="20"/>
      <w:szCs w:val="20"/>
      <w:lang w:val="en-GB"/>
    </w:rPr>
  </w:style>
  <w:style w:type="character" w:styleId="FollowedHyperlink">
    <w:name w:val="FollowedHyperlink"/>
    <w:basedOn w:val="DefaultParagraphFont"/>
    <w:uiPriority w:val="99"/>
    <w:semiHidden/>
    <w:unhideWhenUsed/>
    <w:rsid w:val="00767B37"/>
    <w:rPr>
      <w:color w:val="800080" w:themeColor="followedHyperlink"/>
      <w:u w:val="single"/>
    </w:rPr>
  </w:style>
  <w:style w:type="character" w:styleId="Hyperlink">
    <w:name w:val="Hyperlink"/>
    <w:basedOn w:val="DefaultParagraphFont"/>
    <w:uiPriority w:val="99"/>
    <w:unhideWhenUsed/>
    <w:rsid w:val="00626769"/>
    <w:rPr>
      <w:color w:val="0000FF" w:themeColor="hyperlink"/>
      <w:u w:val="single"/>
    </w:rPr>
  </w:style>
  <w:style w:type="paragraph" w:styleId="Caption">
    <w:name w:val="caption"/>
    <w:aliases w:val="Caption-Table,~Caption,Oznaka"/>
    <w:basedOn w:val="Normal"/>
    <w:next w:val="Normal"/>
    <w:link w:val="CaptionChar"/>
    <w:uiPriority w:val="35"/>
    <w:unhideWhenUsed/>
    <w:qFormat/>
    <w:rsid w:val="00EA3AB9"/>
    <w:pPr>
      <w:spacing w:after="60"/>
    </w:pPr>
    <w:rPr>
      <w:rFonts w:ascii="Calibri Light" w:eastAsiaTheme="minorEastAsia" w:hAnsi="Calibri Light"/>
      <w:bCs/>
      <w:color w:val="1F497D" w:themeColor="text2"/>
      <w:sz w:val="21"/>
      <w:szCs w:val="20"/>
    </w:rPr>
  </w:style>
  <w:style w:type="character" w:styleId="Emphasis">
    <w:name w:val="Emphasis"/>
    <w:basedOn w:val="DefaultParagraphFont"/>
    <w:uiPriority w:val="20"/>
    <w:qFormat/>
    <w:rsid w:val="00F54AAE"/>
    <w:rPr>
      <w:i/>
      <w:iCs/>
    </w:rPr>
  </w:style>
  <w:style w:type="character" w:customStyle="1" w:styleId="CaptionChar">
    <w:name w:val="Caption Char"/>
    <w:aliases w:val="Caption-Table Char,~Caption Char,Oznaka Char"/>
    <w:link w:val="Caption"/>
    <w:uiPriority w:val="35"/>
    <w:locked/>
    <w:rsid w:val="004D76C1"/>
    <w:rPr>
      <w:rFonts w:ascii="Calibri Light" w:eastAsiaTheme="minorEastAsia" w:hAnsi="Calibri Light"/>
      <w:bCs/>
      <w:color w:val="1F497D" w:themeColor="text2"/>
      <w:sz w:val="21"/>
      <w:szCs w:val="20"/>
      <w:lang w:val="hr-HR"/>
    </w:rPr>
  </w:style>
  <w:style w:type="numbering" w:customStyle="1" w:styleId="Headings">
    <w:name w:val="Headings"/>
    <w:uiPriority w:val="99"/>
    <w:rsid w:val="00E34764"/>
    <w:pPr>
      <w:numPr>
        <w:numId w:val="30"/>
      </w:numPr>
    </w:pPr>
  </w:style>
  <w:style w:type="paragraph" w:styleId="ListBullet">
    <w:name w:val="List Bullet"/>
    <w:basedOn w:val="Normal"/>
    <w:link w:val="ListBulletChar"/>
    <w:uiPriority w:val="99"/>
    <w:unhideWhenUsed/>
    <w:qFormat/>
    <w:rsid w:val="00E34764"/>
    <w:pPr>
      <w:numPr>
        <w:numId w:val="31"/>
      </w:numPr>
      <w:spacing w:after="0" w:line="300" w:lineRule="exact"/>
      <w:contextualSpacing/>
    </w:pPr>
    <w:rPr>
      <w:rFonts w:ascii="Tahoma" w:eastAsiaTheme="minorEastAsia" w:hAnsi="Tahoma"/>
      <w:lang w:eastAsia="hr-HR"/>
    </w:rPr>
  </w:style>
  <w:style w:type="paragraph" w:styleId="ListBullet2">
    <w:name w:val="List Bullet 2"/>
    <w:basedOn w:val="ListBullet"/>
    <w:uiPriority w:val="99"/>
    <w:unhideWhenUsed/>
    <w:qFormat/>
    <w:rsid w:val="00E34764"/>
    <w:pPr>
      <w:numPr>
        <w:numId w:val="0"/>
      </w:numPr>
      <w:tabs>
        <w:tab w:val="num" w:pos="360"/>
      </w:tabs>
      <w:spacing w:before="60" w:after="60" w:line="360" w:lineRule="auto"/>
      <w:ind w:left="1440" w:hanging="360"/>
    </w:pPr>
    <w:rPr>
      <w:rFonts w:ascii="Times New Roman" w:eastAsiaTheme="minorHAnsi" w:hAnsi="Times New Roman"/>
      <w:sz w:val="24"/>
      <w:szCs w:val="20"/>
      <w:lang w:val="en-US" w:eastAsia="en-US" w:bidi="en-US"/>
    </w:rPr>
  </w:style>
  <w:style w:type="character" w:customStyle="1" w:styleId="ListBulletChar">
    <w:name w:val="List Bullet Char"/>
    <w:basedOn w:val="DefaultParagraphFont"/>
    <w:link w:val="ListBullet"/>
    <w:uiPriority w:val="99"/>
    <w:rsid w:val="00E34764"/>
    <w:rPr>
      <w:rFonts w:ascii="Tahoma" w:eastAsiaTheme="minorEastAsia" w:hAnsi="Tahoma"/>
      <w:lang w:val="hr-HR" w:eastAsia="hr-HR"/>
    </w:rPr>
  </w:style>
  <w:style w:type="character" w:styleId="Strong">
    <w:name w:val="Strong"/>
    <w:basedOn w:val="DefaultParagraphFont"/>
    <w:uiPriority w:val="22"/>
    <w:qFormat/>
    <w:rsid w:val="00E34764"/>
    <w:rPr>
      <w:b/>
      <w:bCs/>
    </w:rPr>
  </w:style>
  <w:style w:type="paragraph" w:customStyle="1" w:styleId="FootnoteText1">
    <w:name w:val="Footnote Text1"/>
    <w:basedOn w:val="Normal"/>
    <w:next w:val="FootnoteText"/>
    <w:uiPriority w:val="99"/>
    <w:semiHidden/>
    <w:unhideWhenUsed/>
    <w:rsid w:val="00E34764"/>
    <w:pPr>
      <w:spacing w:after="0"/>
      <w:jc w:val="left"/>
    </w:pPr>
    <w:rPr>
      <w:rFonts w:asciiTheme="minorHAnsi" w:hAnsiTheme="minorHAnsi"/>
      <w:sz w:val="20"/>
      <w:szCs w:val="20"/>
      <w:lang w:val="en-GB"/>
    </w:rPr>
  </w:style>
  <w:style w:type="character" w:customStyle="1" w:styleId="Hyperlink1">
    <w:name w:val="Hyperlink1"/>
    <w:basedOn w:val="DefaultParagraphFont"/>
    <w:uiPriority w:val="99"/>
    <w:unhideWhenUsed/>
    <w:rsid w:val="00E34764"/>
    <w:rPr>
      <w:color w:val="0563C1"/>
      <w:u w:val="single"/>
    </w:rPr>
  </w:style>
  <w:style w:type="table" w:customStyle="1" w:styleId="Testtable1">
    <w:name w:val="Test table1"/>
    <w:basedOn w:val="TableNormal"/>
    <w:next w:val="TableGrid"/>
    <w:uiPriority w:val="59"/>
    <w:rsid w:val="00E34764"/>
    <w:pPr>
      <w:jc w:val="both"/>
    </w:pPr>
    <w:rPr>
      <w:rFonts w:eastAsia="Times New Roman"/>
      <w:lang w:val="hr-HR"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dex7">
    <w:name w:val="index 7"/>
    <w:basedOn w:val="Normal"/>
    <w:next w:val="Normal"/>
    <w:autoRedefine/>
    <w:semiHidden/>
    <w:unhideWhenUsed/>
    <w:rsid w:val="00E34764"/>
    <w:pPr>
      <w:spacing w:after="0"/>
      <w:ind w:left="1540" w:hanging="220"/>
    </w:pPr>
    <w:rPr>
      <w:rFonts w:ascii="Tahoma" w:eastAsiaTheme="minorEastAsia" w:hAnsi="Tahoma"/>
      <w:lang w:eastAsia="hr-HR"/>
    </w:rPr>
  </w:style>
  <w:style w:type="character" w:customStyle="1" w:styleId="UnresolvedMention1">
    <w:name w:val="Unresolved Mention1"/>
    <w:basedOn w:val="DefaultParagraphFont"/>
    <w:uiPriority w:val="99"/>
    <w:semiHidden/>
    <w:unhideWhenUsed/>
    <w:rsid w:val="00E34764"/>
    <w:rPr>
      <w:color w:val="605E5C"/>
      <w:shd w:val="clear" w:color="auto" w:fill="E1DFDD"/>
    </w:rPr>
  </w:style>
  <w:style w:type="character" w:customStyle="1" w:styleId="UnresolvedMention2">
    <w:name w:val="Unresolved Mention2"/>
    <w:basedOn w:val="DefaultParagraphFont"/>
    <w:uiPriority w:val="99"/>
    <w:semiHidden/>
    <w:unhideWhenUsed/>
    <w:rsid w:val="00E34764"/>
    <w:rPr>
      <w:color w:val="605E5C"/>
      <w:shd w:val="clear" w:color="auto" w:fill="E1DFDD"/>
    </w:rPr>
  </w:style>
  <w:style w:type="paragraph" w:customStyle="1" w:styleId="Izvor">
    <w:name w:val="Izvor"/>
    <w:basedOn w:val="Normal"/>
    <w:qFormat/>
    <w:rsid w:val="00814558"/>
    <w:rPr>
      <w:rFonts w:cs="Tahoma"/>
      <w:color w:val="39617A"/>
      <w:sz w:val="18"/>
      <w:szCs w:val="18"/>
    </w:rPr>
  </w:style>
  <w:style w:type="character" w:styleId="PageNumber">
    <w:name w:val="page number"/>
    <w:basedOn w:val="DefaultParagraphFont"/>
    <w:semiHidden/>
    <w:unhideWhenUsed/>
    <w:rsid w:val="00E34764"/>
  </w:style>
  <w:style w:type="character" w:customStyle="1" w:styleId="UnresolvedMention">
    <w:name w:val="Unresolved Mention"/>
    <w:basedOn w:val="DefaultParagraphFont"/>
    <w:uiPriority w:val="99"/>
    <w:semiHidden/>
    <w:unhideWhenUsed/>
    <w:rsid w:val="00E34764"/>
    <w:rPr>
      <w:color w:val="605E5C"/>
      <w:shd w:val="clear" w:color="auto" w:fill="E1DFDD"/>
    </w:rPr>
  </w:style>
  <w:style w:type="paragraph" w:styleId="TableofFigures">
    <w:name w:val="table of figures"/>
    <w:basedOn w:val="Normal"/>
    <w:next w:val="Normal"/>
    <w:uiPriority w:val="99"/>
    <w:unhideWhenUsed/>
    <w:rsid w:val="00604418"/>
    <w:pPr>
      <w:spacing w:after="0"/>
      <w:ind w:left="442" w:hanging="442"/>
    </w:pPr>
    <w:rPr>
      <w:rFonts w:ascii="Calibri Light" w:eastAsiaTheme="minorEastAsia" w:hAnsi="Calibri Light"/>
      <w:lang w:eastAsia="hr-HR"/>
    </w:rPr>
  </w:style>
  <w:style w:type="paragraph" w:styleId="CommentText">
    <w:name w:val="annotation text"/>
    <w:basedOn w:val="Normal"/>
    <w:link w:val="CommentTextChar"/>
    <w:uiPriority w:val="99"/>
    <w:unhideWhenUsed/>
    <w:rsid w:val="004832D0"/>
    <w:pPr>
      <w:spacing w:before="0" w:after="200"/>
      <w:jc w:val="left"/>
    </w:pPr>
    <w:rPr>
      <w:rFonts w:asciiTheme="minorHAnsi" w:hAnsiTheme="minorHAnsi"/>
      <w:sz w:val="20"/>
      <w:szCs w:val="20"/>
    </w:rPr>
  </w:style>
  <w:style w:type="character" w:customStyle="1" w:styleId="CommentTextChar">
    <w:name w:val="Comment Text Char"/>
    <w:basedOn w:val="DefaultParagraphFont"/>
    <w:link w:val="CommentText"/>
    <w:uiPriority w:val="99"/>
    <w:rsid w:val="004832D0"/>
    <w:rPr>
      <w:sz w:val="20"/>
      <w:szCs w:val="20"/>
      <w:lang w:val="hr-H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7"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footnote reference" w:qFormat="1"/>
    <w:lsdException w:name="page number" w:uiPriority="0"/>
    <w:lsdException w:name="List Bullet" w:qFormat="1"/>
    <w:lsdException w:name="List Bullet 2"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060F4"/>
    <w:pPr>
      <w:spacing w:before="120" w:after="120"/>
      <w:jc w:val="both"/>
    </w:pPr>
    <w:rPr>
      <w:rFonts w:ascii="Calibri" w:hAnsi="Calibri"/>
      <w:lang w:val="hr-HR"/>
    </w:rPr>
  </w:style>
  <w:style w:type="paragraph" w:styleId="Heading1">
    <w:name w:val="heading 1"/>
    <w:basedOn w:val="Normal"/>
    <w:next w:val="Normal"/>
    <w:link w:val="Heading1Char"/>
    <w:uiPriority w:val="9"/>
    <w:qFormat/>
    <w:rsid w:val="00E9120D"/>
    <w:pPr>
      <w:keepNext/>
      <w:keepLines/>
      <w:numPr>
        <w:numId w:val="28"/>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E9120D"/>
    <w:pPr>
      <w:keepNext/>
      <w:keepLines/>
      <w:numPr>
        <w:ilvl w:val="1"/>
        <w:numId w:val="28"/>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9120D"/>
    <w:pPr>
      <w:keepNext/>
      <w:keepLines/>
      <w:numPr>
        <w:ilvl w:val="2"/>
        <w:numId w:val="28"/>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9120D"/>
    <w:pPr>
      <w:keepNext/>
      <w:keepLines/>
      <w:spacing w:before="200" w:after="0"/>
      <w:outlineLvl w:val="3"/>
    </w:pPr>
    <w:rPr>
      <w:rFonts w:asciiTheme="majorHAnsi" w:eastAsiaTheme="majorEastAsia" w:hAnsiTheme="majorHAnsi" w:cstheme="majorBidi"/>
      <w:b/>
      <w:bCs/>
      <w:i/>
      <w:iCs/>
      <w:color w:val="215868" w:themeColor="accent5" w:themeShade="80"/>
    </w:rPr>
  </w:style>
  <w:style w:type="paragraph" w:styleId="Heading5">
    <w:name w:val="heading 5"/>
    <w:basedOn w:val="Normal"/>
    <w:next w:val="Normal"/>
    <w:link w:val="Heading5Char"/>
    <w:uiPriority w:val="9"/>
    <w:semiHidden/>
    <w:unhideWhenUsed/>
    <w:qFormat/>
    <w:rsid w:val="00E9120D"/>
    <w:pPr>
      <w:keepNext/>
      <w:keepLines/>
      <w:numPr>
        <w:ilvl w:val="4"/>
        <w:numId w:val="28"/>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E9120D"/>
    <w:pPr>
      <w:keepNext/>
      <w:keepLines/>
      <w:numPr>
        <w:ilvl w:val="5"/>
        <w:numId w:val="28"/>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E9120D"/>
    <w:pPr>
      <w:keepNext/>
      <w:keepLines/>
      <w:numPr>
        <w:ilvl w:val="6"/>
        <w:numId w:val="28"/>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9120D"/>
    <w:pPr>
      <w:keepNext/>
      <w:keepLines/>
      <w:numPr>
        <w:ilvl w:val="7"/>
        <w:numId w:val="28"/>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9120D"/>
    <w:pPr>
      <w:keepNext/>
      <w:keepLines/>
      <w:numPr>
        <w:ilvl w:val="8"/>
        <w:numId w:val="2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120D"/>
    <w:rPr>
      <w:rFonts w:asciiTheme="majorHAnsi" w:eastAsiaTheme="majorEastAsia" w:hAnsiTheme="majorHAnsi" w:cstheme="majorBidi"/>
      <w:b/>
      <w:bCs/>
      <w:color w:val="345A8A" w:themeColor="accent1" w:themeShade="B5"/>
      <w:sz w:val="32"/>
      <w:szCs w:val="32"/>
      <w:lang w:val="hr-HR"/>
    </w:rPr>
  </w:style>
  <w:style w:type="character" w:customStyle="1" w:styleId="Heading2Char">
    <w:name w:val="Heading 2 Char"/>
    <w:basedOn w:val="DefaultParagraphFont"/>
    <w:link w:val="Heading2"/>
    <w:uiPriority w:val="9"/>
    <w:rsid w:val="00E9120D"/>
    <w:rPr>
      <w:rFonts w:asciiTheme="majorHAnsi" w:eastAsiaTheme="majorEastAsia" w:hAnsiTheme="majorHAnsi" w:cstheme="majorBidi"/>
      <w:b/>
      <w:bCs/>
      <w:color w:val="4F81BD" w:themeColor="accent1"/>
      <w:sz w:val="26"/>
      <w:szCs w:val="26"/>
      <w:lang w:val="hr-HR"/>
    </w:rPr>
  </w:style>
  <w:style w:type="character" w:customStyle="1" w:styleId="Heading3Char">
    <w:name w:val="Heading 3 Char"/>
    <w:basedOn w:val="DefaultParagraphFont"/>
    <w:link w:val="Heading3"/>
    <w:uiPriority w:val="9"/>
    <w:rsid w:val="00E9120D"/>
    <w:rPr>
      <w:rFonts w:asciiTheme="majorHAnsi" w:eastAsiaTheme="majorEastAsia" w:hAnsiTheme="majorHAnsi" w:cstheme="majorBidi"/>
      <w:b/>
      <w:bCs/>
      <w:color w:val="4F81BD" w:themeColor="accent1"/>
      <w:lang w:val="hr-HR"/>
    </w:rPr>
  </w:style>
  <w:style w:type="character" w:customStyle="1" w:styleId="Heading4Char">
    <w:name w:val="Heading 4 Char"/>
    <w:basedOn w:val="DefaultParagraphFont"/>
    <w:link w:val="Heading4"/>
    <w:uiPriority w:val="9"/>
    <w:rsid w:val="00E9120D"/>
    <w:rPr>
      <w:rFonts w:asciiTheme="majorHAnsi" w:eastAsiaTheme="majorEastAsia" w:hAnsiTheme="majorHAnsi" w:cstheme="majorBidi"/>
      <w:b/>
      <w:bCs/>
      <w:i/>
      <w:iCs/>
      <w:color w:val="215868" w:themeColor="accent5" w:themeShade="80"/>
      <w:lang w:val="hr-HR"/>
    </w:rPr>
  </w:style>
  <w:style w:type="character" w:customStyle="1" w:styleId="Heading5Char">
    <w:name w:val="Heading 5 Char"/>
    <w:basedOn w:val="DefaultParagraphFont"/>
    <w:link w:val="Heading5"/>
    <w:uiPriority w:val="9"/>
    <w:semiHidden/>
    <w:rsid w:val="00E9120D"/>
    <w:rPr>
      <w:rFonts w:asciiTheme="majorHAnsi" w:eastAsiaTheme="majorEastAsia" w:hAnsiTheme="majorHAnsi" w:cstheme="majorBidi"/>
      <w:color w:val="243F60" w:themeColor="accent1" w:themeShade="7F"/>
      <w:lang w:val="hr-HR"/>
    </w:rPr>
  </w:style>
  <w:style w:type="character" w:customStyle="1" w:styleId="Heading6Char">
    <w:name w:val="Heading 6 Char"/>
    <w:basedOn w:val="DefaultParagraphFont"/>
    <w:link w:val="Heading6"/>
    <w:uiPriority w:val="9"/>
    <w:semiHidden/>
    <w:rsid w:val="00E9120D"/>
    <w:rPr>
      <w:rFonts w:asciiTheme="majorHAnsi" w:eastAsiaTheme="majorEastAsia" w:hAnsiTheme="majorHAnsi" w:cstheme="majorBidi"/>
      <w:i/>
      <w:iCs/>
      <w:color w:val="243F60" w:themeColor="accent1" w:themeShade="7F"/>
      <w:lang w:val="hr-HR"/>
    </w:rPr>
  </w:style>
  <w:style w:type="character" w:customStyle="1" w:styleId="Heading7Char">
    <w:name w:val="Heading 7 Char"/>
    <w:basedOn w:val="DefaultParagraphFont"/>
    <w:link w:val="Heading7"/>
    <w:uiPriority w:val="9"/>
    <w:semiHidden/>
    <w:rsid w:val="00E9120D"/>
    <w:rPr>
      <w:rFonts w:asciiTheme="majorHAnsi" w:eastAsiaTheme="majorEastAsia" w:hAnsiTheme="majorHAnsi" w:cstheme="majorBidi"/>
      <w:i/>
      <w:iCs/>
      <w:color w:val="404040" w:themeColor="text1" w:themeTint="BF"/>
      <w:lang w:val="hr-HR"/>
    </w:rPr>
  </w:style>
  <w:style w:type="character" w:customStyle="1" w:styleId="Heading8Char">
    <w:name w:val="Heading 8 Char"/>
    <w:basedOn w:val="DefaultParagraphFont"/>
    <w:link w:val="Heading8"/>
    <w:uiPriority w:val="9"/>
    <w:semiHidden/>
    <w:rsid w:val="00E9120D"/>
    <w:rPr>
      <w:rFonts w:asciiTheme="majorHAnsi" w:eastAsiaTheme="majorEastAsia" w:hAnsiTheme="majorHAnsi" w:cstheme="majorBidi"/>
      <w:color w:val="404040" w:themeColor="text1" w:themeTint="BF"/>
      <w:sz w:val="20"/>
      <w:szCs w:val="20"/>
      <w:lang w:val="hr-HR"/>
    </w:rPr>
  </w:style>
  <w:style w:type="character" w:customStyle="1" w:styleId="Heading9Char">
    <w:name w:val="Heading 9 Char"/>
    <w:basedOn w:val="DefaultParagraphFont"/>
    <w:link w:val="Heading9"/>
    <w:uiPriority w:val="9"/>
    <w:semiHidden/>
    <w:rsid w:val="00E9120D"/>
    <w:rPr>
      <w:rFonts w:asciiTheme="majorHAnsi" w:eastAsiaTheme="majorEastAsia" w:hAnsiTheme="majorHAnsi" w:cstheme="majorBidi"/>
      <w:i/>
      <w:iCs/>
      <w:color w:val="404040" w:themeColor="text1" w:themeTint="BF"/>
      <w:sz w:val="20"/>
      <w:szCs w:val="20"/>
      <w:lang w:val="hr-HR"/>
    </w:rPr>
  </w:style>
  <w:style w:type="paragraph" w:styleId="Header">
    <w:name w:val="header"/>
    <w:basedOn w:val="Normal"/>
    <w:link w:val="HeaderChar"/>
    <w:uiPriority w:val="99"/>
    <w:unhideWhenUsed/>
    <w:rsid w:val="003C7C29"/>
    <w:pPr>
      <w:tabs>
        <w:tab w:val="center" w:pos="4536"/>
        <w:tab w:val="right" w:pos="9072"/>
      </w:tabs>
    </w:pPr>
  </w:style>
  <w:style w:type="character" w:customStyle="1" w:styleId="HeaderChar">
    <w:name w:val="Header Char"/>
    <w:basedOn w:val="DefaultParagraphFont"/>
    <w:link w:val="Header"/>
    <w:uiPriority w:val="99"/>
    <w:rsid w:val="003C7C29"/>
  </w:style>
  <w:style w:type="paragraph" w:styleId="Footer">
    <w:name w:val="footer"/>
    <w:basedOn w:val="Normal"/>
    <w:link w:val="FooterChar"/>
    <w:uiPriority w:val="99"/>
    <w:unhideWhenUsed/>
    <w:rsid w:val="003C7C29"/>
    <w:pPr>
      <w:tabs>
        <w:tab w:val="center" w:pos="4536"/>
        <w:tab w:val="right" w:pos="9072"/>
      </w:tabs>
    </w:pPr>
  </w:style>
  <w:style w:type="character" w:customStyle="1" w:styleId="FooterChar">
    <w:name w:val="Footer Char"/>
    <w:basedOn w:val="DefaultParagraphFont"/>
    <w:link w:val="Footer"/>
    <w:uiPriority w:val="99"/>
    <w:rsid w:val="003C7C29"/>
  </w:style>
  <w:style w:type="paragraph" w:styleId="BalloonText">
    <w:name w:val="Balloon Text"/>
    <w:basedOn w:val="Normal"/>
    <w:link w:val="BalloonTextChar"/>
    <w:uiPriority w:val="99"/>
    <w:semiHidden/>
    <w:unhideWhenUsed/>
    <w:rsid w:val="003C7C29"/>
    <w:rPr>
      <w:rFonts w:ascii="Tahoma" w:hAnsi="Tahoma" w:cs="Tahoma"/>
      <w:sz w:val="16"/>
      <w:szCs w:val="16"/>
    </w:rPr>
  </w:style>
  <w:style w:type="character" w:customStyle="1" w:styleId="BalloonTextChar">
    <w:name w:val="Balloon Text Char"/>
    <w:basedOn w:val="DefaultParagraphFont"/>
    <w:link w:val="BalloonText"/>
    <w:uiPriority w:val="99"/>
    <w:semiHidden/>
    <w:rsid w:val="003C7C29"/>
    <w:rPr>
      <w:rFonts w:ascii="Tahoma" w:hAnsi="Tahoma" w:cs="Tahoma"/>
      <w:sz w:val="16"/>
      <w:szCs w:val="16"/>
    </w:rPr>
  </w:style>
  <w:style w:type="paragraph" w:styleId="ListParagraph">
    <w:name w:val="List Paragraph"/>
    <w:aliases w:val="Paragraph,Paragraphe de liste PBLH,Graph &amp; Table tite,Normal bullet 2,Bullet list,Figure_name,Equipment,Numbered Indented Text,List Paragraph1,lp1,List Paragraph11,List Paragraph Char Char Char,List Paragraph Char Char,Citation List,2,Ha"/>
    <w:basedOn w:val="Normal"/>
    <w:link w:val="ListParagraphChar"/>
    <w:uiPriority w:val="34"/>
    <w:qFormat/>
    <w:rsid w:val="003C7C29"/>
    <w:pPr>
      <w:ind w:left="720"/>
      <w:contextualSpacing/>
    </w:pPr>
  </w:style>
  <w:style w:type="character" w:customStyle="1" w:styleId="ListParagraphChar">
    <w:name w:val="List Paragraph Char"/>
    <w:aliases w:val="Paragraph Char,Paragraphe de liste PBLH Char,Graph &amp; Table tite Char,Normal bullet 2 Char,Bullet list Char,Figure_name Char,Equipment Char,Numbered Indented Text Char,List Paragraph1 Char,lp1 Char,List Paragraph11 Char,2 Char,Ha Char"/>
    <w:basedOn w:val="DefaultParagraphFont"/>
    <w:link w:val="ListParagraph"/>
    <w:uiPriority w:val="34"/>
    <w:qFormat/>
    <w:rsid w:val="00B27E06"/>
    <w:rPr>
      <w:rFonts w:ascii="Calibri" w:hAnsi="Calibri"/>
      <w:lang w:val="hr-HR"/>
    </w:rPr>
  </w:style>
  <w:style w:type="table" w:styleId="TableGrid">
    <w:name w:val="Table Grid"/>
    <w:aliases w:val="Table Grid New,Test table"/>
    <w:basedOn w:val="TableNormal"/>
    <w:uiPriority w:val="59"/>
    <w:rsid w:val="00E04B4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aliases w:val="Fußnote,Podrozdział,Fußnotentextf,Footnote Text Char Char Char,Footnote Text Char Char,single space,FOOTNOTES,fn,stile 1,Footnote,Footnote1,Footnote2,Footnote3,Footnote4,Footnote5,Footnote6,f,Footnote text,Schriftart: 9 pt,footnote text"/>
    <w:basedOn w:val="Normal"/>
    <w:link w:val="FootnoteTextChar"/>
    <w:uiPriority w:val="99"/>
    <w:unhideWhenUsed/>
    <w:qFormat/>
    <w:rsid w:val="00B844EC"/>
    <w:rPr>
      <w:sz w:val="20"/>
      <w:szCs w:val="20"/>
    </w:rPr>
  </w:style>
  <w:style w:type="character" w:customStyle="1" w:styleId="FootnoteTextChar">
    <w:name w:val="Footnote Text Char"/>
    <w:aliases w:val="Fußnote Char,Podrozdział Char,Fußnotentextf Char,Footnote Text Char Char Char Char,Footnote Text Char Char Char1,single space Char,FOOTNOTES Char,fn Char,stile 1 Char,Footnote Char,Footnote1 Char,Footnote2 Char,Footnote3 Char,f Char"/>
    <w:basedOn w:val="DefaultParagraphFont"/>
    <w:link w:val="FootnoteText"/>
    <w:uiPriority w:val="99"/>
    <w:rsid w:val="00B844EC"/>
    <w:rPr>
      <w:sz w:val="20"/>
      <w:szCs w:val="20"/>
    </w:rPr>
  </w:style>
  <w:style w:type="character" w:styleId="CommentReference">
    <w:name w:val="annotation reference"/>
    <w:basedOn w:val="DefaultParagraphFont"/>
    <w:uiPriority w:val="99"/>
    <w:semiHidden/>
    <w:unhideWhenUsed/>
    <w:rsid w:val="006E7D3B"/>
    <w:rPr>
      <w:sz w:val="16"/>
      <w:szCs w:val="16"/>
    </w:rPr>
  </w:style>
  <w:style w:type="paragraph" w:styleId="CommentSubject">
    <w:name w:val="annotation subject"/>
    <w:basedOn w:val="Normal"/>
    <w:next w:val="Normal"/>
    <w:link w:val="CommentSubjectChar"/>
    <w:uiPriority w:val="99"/>
    <w:semiHidden/>
    <w:unhideWhenUsed/>
    <w:rsid w:val="003A4DA3"/>
    <w:rPr>
      <w:b/>
      <w:bCs/>
      <w:sz w:val="20"/>
      <w:szCs w:val="20"/>
    </w:rPr>
  </w:style>
  <w:style w:type="character" w:customStyle="1" w:styleId="CommentSubjectChar">
    <w:name w:val="Comment Subject Char"/>
    <w:basedOn w:val="DefaultParagraphFont"/>
    <w:link w:val="CommentSubject"/>
    <w:uiPriority w:val="99"/>
    <w:semiHidden/>
    <w:rsid w:val="003A4DA3"/>
    <w:rPr>
      <w:b/>
      <w:bCs/>
      <w:sz w:val="20"/>
      <w:szCs w:val="20"/>
    </w:rPr>
  </w:style>
  <w:style w:type="paragraph" w:styleId="NoSpacing">
    <w:name w:val="No Spacing"/>
    <w:link w:val="NoSpacingChar"/>
    <w:uiPriority w:val="1"/>
    <w:qFormat/>
    <w:rsid w:val="001E1257"/>
    <w:rPr>
      <w:lang w:val="hr-HR"/>
    </w:rPr>
  </w:style>
  <w:style w:type="character" w:customStyle="1" w:styleId="NoSpacingChar">
    <w:name w:val="No Spacing Char"/>
    <w:basedOn w:val="DefaultParagraphFont"/>
    <w:link w:val="NoSpacing"/>
    <w:uiPriority w:val="1"/>
    <w:rsid w:val="001E1257"/>
    <w:rPr>
      <w:lang w:val="hr-HR"/>
    </w:rPr>
  </w:style>
  <w:style w:type="paragraph" w:styleId="DocumentMap">
    <w:name w:val="Document Map"/>
    <w:basedOn w:val="Normal"/>
    <w:link w:val="DocumentMapChar"/>
    <w:uiPriority w:val="99"/>
    <w:semiHidden/>
    <w:unhideWhenUsed/>
    <w:rsid w:val="001A5F94"/>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1A5F94"/>
    <w:rPr>
      <w:rFonts w:ascii="Lucida Grande" w:hAnsi="Lucida Grande" w:cs="Lucida Grande"/>
      <w:sz w:val="24"/>
      <w:szCs w:val="24"/>
    </w:rPr>
  </w:style>
  <w:style w:type="paragraph" w:styleId="Title">
    <w:name w:val="Title"/>
    <w:basedOn w:val="Normal"/>
    <w:next w:val="Normal"/>
    <w:link w:val="TitleChar"/>
    <w:uiPriority w:val="10"/>
    <w:qFormat/>
    <w:rsid w:val="001A5F94"/>
    <w:pPr>
      <w:pBdr>
        <w:bottom w:val="single" w:sz="8" w:space="4" w:color="4F81BD" w:themeColor="accent1"/>
      </w:pBdr>
      <w:spacing w:before="0"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1A5F94"/>
    <w:rPr>
      <w:rFonts w:asciiTheme="majorHAnsi" w:eastAsiaTheme="majorEastAsia" w:hAnsiTheme="majorHAnsi" w:cstheme="majorBidi"/>
      <w:color w:val="17365D" w:themeColor="text2" w:themeShade="BF"/>
      <w:spacing w:val="5"/>
      <w:kern w:val="28"/>
      <w:sz w:val="52"/>
      <w:szCs w:val="52"/>
      <w:lang w:val="hr-HR"/>
    </w:rPr>
  </w:style>
  <w:style w:type="character" w:styleId="IntenseEmphasis">
    <w:name w:val="Intense Emphasis"/>
    <w:basedOn w:val="DefaultParagraphFont"/>
    <w:uiPriority w:val="21"/>
    <w:qFormat/>
    <w:rsid w:val="006333E2"/>
    <w:rPr>
      <w:i/>
      <w:iCs/>
      <w:color w:val="4F81BD" w:themeColor="accent1"/>
      <w:lang w:val="hr-HR"/>
    </w:rPr>
  </w:style>
  <w:style w:type="paragraph" w:styleId="Subtitle">
    <w:name w:val="Subtitle"/>
    <w:basedOn w:val="Normal"/>
    <w:next w:val="Normal"/>
    <w:link w:val="SubtitleChar"/>
    <w:uiPriority w:val="11"/>
    <w:qFormat/>
    <w:rsid w:val="00C13C97"/>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C13C97"/>
    <w:rPr>
      <w:rFonts w:asciiTheme="majorHAnsi" w:eastAsiaTheme="majorEastAsia" w:hAnsiTheme="majorHAnsi" w:cstheme="majorBidi"/>
      <w:i/>
      <w:iCs/>
      <w:color w:val="4F81BD" w:themeColor="accent1"/>
      <w:spacing w:val="15"/>
      <w:sz w:val="24"/>
      <w:szCs w:val="24"/>
      <w:lang w:val="hr-HR"/>
    </w:rPr>
  </w:style>
  <w:style w:type="character" w:customStyle="1" w:styleId="apple-converted-space">
    <w:name w:val="apple-converted-space"/>
    <w:basedOn w:val="DefaultParagraphFont"/>
    <w:rsid w:val="009D1C21"/>
  </w:style>
  <w:style w:type="character" w:styleId="FootnoteReference">
    <w:name w:val="footnote reference"/>
    <w:aliases w:val="BVI fnr,ftref,BVI fnr Car Car,BVI fnr Car,BVI fnr Car Car Car Car,BVI fnr Car Car Car Car Char,stylish,BVI fnr Car Char1 Char,BVI fnr Car Car Car Char1 Char,BVI fnr Car Car Char1 Char,BVI fnr Car Car Car Car Car Char1 Cha, BVI fnr"/>
    <w:basedOn w:val="DefaultParagraphFont"/>
    <w:link w:val="Char2"/>
    <w:uiPriority w:val="99"/>
    <w:unhideWhenUsed/>
    <w:qFormat/>
    <w:rsid w:val="00745106"/>
    <w:rPr>
      <w:vertAlign w:val="superscript"/>
    </w:rPr>
  </w:style>
  <w:style w:type="paragraph" w:customStyle="1" w:styleId="Char2">
    <w:name w:val="Char2"/>
    <w:basedOn w:val="Normal"/>
    <w:link w:val="FootnoteReference"/>
    <w:uiPriority w:val="99"/>
    <w:rsid w:val="00745106"/>
    <w:pPr>
      <w:spacing w:before="0" w:after="160" w:line="240" w:lineRule="exact"/>
    </w:pPr>
    <w:rPr>
      <w:rFonts w:asciiTheme="minorHAnsi" w:hAnsiTheme="minorHAnsi"/>
      <w:vertAlign w:val="superscript"/>
      <w:lang w:val="en-GB"/>
    </w:rPr>
  </w:style>
  <w:style w:type="paragraph" w:customStyle="1" w:styleId="Txttable">
    <w:name w:val="Txt table"/>
    <w:basedOn w:val="Normal"/>
    <w:qFormat/>
    <w:rsid w:val="00745106"/>
    <w:pPr>
      <w:spacing w:before="60" w:after="60"/>
    </w:pPr>
    <w:rPr>
      <w:rFonts w:asciiTheme="majorHAnsi" w:eastAsiaTheme="minorEastAsia" w:hAnsiTheme="majorHAnsi"/>
      <w:sz w:val="20"/>
      <w:szCs w:val="24"/>
    </w:rPr>
  </w:style>
  <w:style w:type="paragraph" w:customStyle="1" w:styleId="tabletxt">
    <w:name w:val="table txt"/>
    <w:basedOn w:val="Normal"/>
    <w:qFormat/>
    <w:rsid w:val="00F22373"/>
    <w:pPr>
      <w:spacing w:before="60" w:after="60"/>
    </w:pPr>
    <w:rPr>
      <w:rFonts w:eastAsia="Times New Roman" w:cs="Times New Roman"/>
      <w:sz w:val="18"/>
      <w:szCs w:val="20"/>
      <w:lang w:eastAsia="en-GB"/>
    </w:rPr>
  </w:style>
  <w:style w:type="paragraph" w:styleId="TOCHeading">
    <w:name w:val="TOC Heading"/>
    <w:basedOn w:val="Heading1"/>
    <w:next w:val="Normal"/>
    <w:uiPriority w:val="39"/>
    <w:unhideWhenUsed/>
    <w:qFormat/>
    <w:rsid w:val="00184D82"/>
    <w:pPr>
      <w:numPr>
        <w:numId w:val="0"/>
      </w:numPr>
      <w:spacing w:after="0" w:line="276" w:lineRule="auto"/>
      <w:jc w:val="left"/>
      <w:outlineLvl w:val="9"/>
    </w:pPr>
    <w:rPr>
      <w:color w:val="365F91" w:themeColor="accent1" w:themeShade="BF"/>
      <w:sz w:val="28"/>
      <w:szCs w:val="28"/>
      <w:lang w:val="en-US"/>
    </w:rPr>
  </w:style>
  <w:style w:type="paragraph" w:styleId="TOC1">
    <w:name w:val="toc 1"/>
    <w:basedOn w:val="Normal"/>
    <w:next w:val="Normal"/>
    <w:autoRedefine/>
    <w:uiPriority w:val="39"/>
    <w:unhideWhenUsed/>
    <w:rsid w:val="00184D82"/>
    <w:pPr>
      <w:spacing w:after="0"/>
      <w:jc w:val="left"/>
    </w:pPr>
    <w:rPr>
      <w:rFonts w:asciiTheme="majorHAnsi" w:hAnsiTheme="majorHAnsi"/>
      <w:b/>
      <w:color w:val="548DD4"/>
      <w:sz w:val="24"/>
      <w:szCs w:val="24"/>
    </w:rPr>
  </w:style>
  <w:style w:type="paragraph" w:styleId="TOC2">
    <w:name w:val="toc 2"/>
    <w:basedOn w:val="Normal"/>
    <w:next w:val="Normal"/>
    <w:autoRedefine/>
    <w:uiPriority w:val="39"/>
    <w:unhideWhenUsed/>
    <w:rsid w:val="00184D82"/>
    <w:pPr>
      <w:spacing w:before="0" w:after="0"/>
      <w:jc w:val="left"/>
    </w:pPr>
  </w:style>
  <w:style w:type="paragraph" w:styleId="TOC3">
    <w:name w:val="toc 3"/>
    <w:basedOn w:val="Normal"/>
    <w:next w:val="Normal"/>
    <w:autoRedefine/>
    <w:uiPriority w:val="39"/>
    <w:unhideWhenUsed/>
    <w:rsid w:val="00184D82"/>
    <w:pPr>
      <w:spacing w:before="0" w:after="0"/>
      <w:ind w:left="220"/>
      <w:jc w:val="left"/>
    </w:pPr>
    <w:rPr>
      <w:i/>
    </w:rPr>
  </w:style>
  <w:style w:type="paragraph" w:styleId="TOC4">
    <w:name w:val="toc 4"/>
    <w:basedOn w:val="Normal"/>
    <w:next w:val="Normal"/>
    <w:autoRedefine/>
    <w:uiPriority w:val="39"/>
    <w:unhideWhenUsed/>
    <w:rsid w:val="00184D82"/>
    <w:pPr>
      <w:pBdr>
        <w:between w:val="double" w:sz="6" w:space="0" w:color="auto"/>
      </w:pBdr>
      <w:spacing w:before="0" w:after="0"/>
      <w:ind w:left="440"/>
      <w:jc w:val="left"/>
    </w:pPr>
    <w:rPr>
      <w:rFonts w:asciiTheme="minorHAnsi" w:hAnsiTheme="minorHAnsi"/>
      <w:sz w:val="20"/>
      <w:szCs w:val="20"/>
    </w:rPr>
  </w:style>
  <w:style w:type="paragraph" w:styleId="TOC5">
    <w:name w:val="toc 5"/>
    <w:basedOn w:val="Normal"/>
    <w:next w:val="Normal"/>
    <w:autoRedefine/>
    <w:uiPriority w:val="39"/>
    <w:unhideWhenUsed/>
    <w:rsid w:val="00184D82"/>
    <w:pPr>
      <w:pBdr>
        <w:between w:val="double" w:sz="6" w:space="0" w:color="auto"/>
      </w:pBdr>
      <w:spacing w:before="0" w:after="0"/>
      <w:ind w:left="660"/>
      <w:jc w:val="left"/>
    </w:pPr>
    <w:rPr>
      <w:rFonts w:asciiTheme="minorHAnsi" w:hAnsiTheme="minorHAnsi"/>
      <w:sz w:val="20"/>
      <w:szCs w:val="20"/>
    </w:rPr>
  </w:style>
  <w:style w:type="paragraph" w:styleId="TOC6">
    <w:name w:val="toc 6"/>
    <w:basedOn w:val="Normal"/>
    <w:next w:val="Normal"/>
    <w:autoRedefine/>
    <w:uiPriority w:val="39"/>
    <w:unhideWhenUsed/>
    <w:rsid w:val="00184D82"/>
    <w:pPr>
      <w:pBdr>
        <w:between w:val="double" w:sz="6" w:space="0" w:color="auto"/>
      </w:pBdr>
      <w:spacing w:before="0" w:after="0"/>
      <w:ind w:left="880"/>
      <w:jc w:val="left"/>
    </w:pPr>
    <w:rPr>
      <w:rFonts w:asciiTheme="minorHAnsi" w:hAnsiTheme="minorHAnsi"/>
      <w:sz w:val="20"/>
      <w:szCs w:val="20"/>
    </w:rPr>
  </w:style>
  <w:style w:type="paragraph" w:styleId="TOC7">
    <w:name w:val="toc 7"/>
    <w:basedOn w:val="Normal"/>
    <w:next w:val="Normal"/>
    <w:autoRedefine/>
    <w:uiPriority w:val="39"/>
    <w:unhideWhenUsed/>
    <w:rsid w:val="00184D82"/>
    <w:pPr>
      <w:pBdr>
        <w:between w:val="double" w:sz="6" w:space="0" w:color="auto"/>
      </w:pBdr>
      <w:spacing w:before="0" w:after="0"/>
      <w:ind w:left="1100"/>
      <w:jc w:val="left"/>
    </w:pPr>
    <w:rPr>
      <w:rFonts w:asciiTheme="minorHAnsi" w:hAnsiTheme="minorHAnsi"/>
      <w:sz w:val="20"/>
      <w:szCs w:val="20"/>
    </w:rPr>
  </w:style>
  <w:style w:type="paragraph" w:styleId="TOC8">
    <w:name w:val="toc 8"/>
    <w:basedOn w:val="Normal"/>
    <w:next w:val="Normal"/>
    <w:autoRedefine/>
    <w:uiPriority w:val="39"/>
    <w:unhideWhenUsed/>
    <w:rsid w:val="00184D82"/>
    <w:pPr>
      <w:pBdr>
        <w:between w:val="double" w:sz="6" w:space="0" w:color="auto"/>
      </w:pBdr>
      <w:spacing w:before="0" w:after="0"/>
      <w:ind w:left="1320"/>
      <w:jc w:val="left"/>
    </w:pPr>
    <w:rPr>
      <w:rFonts w:asciiTheme="minorHAnsi" w:hAnsiTheme="minorHAnsi"/>
      <w:sz w:val="20"/>
      <w:szCs w:val="20"/>
    </w:rPr>
  </w:style>
  <w:style w:type="paragraph" w:styleId="TOC9">
    <w:name w:val="toc 9"/>
    <w:basedOn w:val="Normal"/>
    <w:next w:val="Normal"/>
    <w:autoRedefine/>
    <w:uiPriority w:val="39"/>
    <w:unhideWhenUsed/>
    <w:rsid w:val="00184D82"/>
    <w:pPr>
      <w:pBdr>
        <w:between w:val="double" w:sz="6" w:space="0" w:color="auto"/>
      </w:pBdr>
      <w:spacing w:before="0" w:after="0"/>
      <w:ind w:left="1540"/>
      <w:jc w:val="left"/>
    </w:pPr>
    <w:rPr>
      <w:rFonts w:asciiTheme="minorHAnsi" w:hAnsiTheme="minorHAnsi"/>
      <w:sz w:val="20"/>
      <w:szCs w:val="20"/>
    </w:rPr>
  </w:style>
  <w:style w:type="paragraph" w:styleId="NormalWeb">
    <w:name w:val="Normal (Web)"/>
    <w:basedOn w:val="Normal"/>
    <w:uiPriority w:val="99"/>
    <w:unhideWhenUsed/>
    <w:rsid w:val="004A6096"/>
    <w:pPr>
      <w:spacing w:before="100" w:beforeAutospacing="1" w:after="100" w:afterAutospacing="1"/>
      <w:jc w:val="left"/>
    </w:pPr>
    <w:rPr>
      <w:rFonts w:ascii="Times New Roman" w:eastAsiaTheme="minorEastAsia" w:hAnsi="Times New Roman" w:cs="Times New Roman"/>
      <w:sz w:val="20"/>
      <w:szCs w:val="20"/>
      <w:lang w:val="en-GB"/>
    </w:rPr>
  </w:style>
  <w:style w:type="character" w:styleId="FollowedHyperlink">
    <w:name w:val="FollowedHyperlink"/>
    <w:basedOn w:val="DefaultParagraphFont"/>
    <w:uiPriority w:val="99"/>
    <w:semiHidden/>
    <w:unhideWhenUsed/>
    <w:rsid w:val="00767B37"/>
    <w:rPr>
      <w:color w:val="800080" w:themeColor="followedHyperlink"/>
      <w:u w:val="single"/>
    </w:rPr>
  </w:style>
  <w:style w:type="character" w:styleId="Hyperlink">
    <w:name w:val="Hyperlink"/>
    <w:basedOn w:val="DefaultParagraphFont"/>
    <w:uiPriority w:val="99"/>
    <w:unhideWhenUsed/>
    <w:rsid w:val="00626769"/>
    <w:rPr>
      <w:color w:val="0000FF" w:themeColor="hyperlink"/>
      <w:u w:val="single"/>
    </w:rPr>
  </w:style>
  <w:style w:type="paragraph" w:styleId="Caption">
    <w:name w:val="caption"/>
    <w:aliases w:val="Caption-Table,~Caption,Oznaka"/>
    <w:basedOn w:val="Normal"/>
    <w:next w:val="Normal"/>
    <w:link w:val="CaptionChar"/>
    <w:uiPriority w:val="35"/>
    <w:unhideWhenUsed/>
    <w:qFormat/>
    <w:rsid w:val="00EA3AB9"/>
    <w:pPr>
      <w:spacing w:after="60"/>
    </w:pPr>
    <w:rPr>
      <w:rFonts w:ascii="Calibri Light" w:eastAsiaTheme="minorEastAsia" w:hAnsi="Calibri Light"/>
      <w:bCs/>
      <w:color w:val="1F497D" w:themeColor="text2"/>
      <w:sz w:val="21"/>
      <w:szCs w:val="20"/>
    </w:rPr>
  </w:style>
  <w:style w:type="character" w:styleId="Emphasis">
    <w:name w:val="Emphasis"/>
    <w:basedOn w:val="DefaultParagraphFont"/>
    <w:uiPriority w:val="20"/>
    <w:qFormat/>
    <w:rsid w:val="00F54AAE"/>
    <w:rPr>
      <w:i/>
      <w:iCs/>
    </w:rPr>
  </w:style>
  <w:style w:type="character" w:customStyle="1" w:styleId="CaptionChar">
    <w:name w:val="Caption Char"/>
    <w:aliases w:val="Caption-Table Char,~Caption Char,Oznaka Char"/>
    <w:link w:val="Caption"/>
    <w:uiPriority w:val="35"/>
    <w:locked/>
    <w:rsid w:val="004D76C1"/>
    <w:rPr>
      <w:rFonts w:ascii="Calibri Light" w:eastAsiaTheme="minorEastAsia" w:hAnsi="Calibri Light"/>
      <w:bCs/>
      <w:color w:val="1F497D" w:themeColor="text2"/>
      <w:sz w:val="21"/>
      <w:szCs w:val="20"/>
      <w:lang w:val="hr-HR"/>
    </w:rPr>
  </w:style>
  <w:style w:type="numbering" w:customStyle="1" w:styleId="Headings">
    <w:name w:val="Headings"/>
    <w:uiPriority w:val="99"/>
    <w:rsid w:val="00E34764"/>
    <w:pPr>
      <w:numPr>
        <w:numId w:val="30"/>
      </w:numPr>
    </w:pPr>
  </w:style>
  <w:style w:type="paragraph" w:styleId="ListBullet">
    <w:name w:val="List Bullet"/>
    <w:basedOn w:val="Normal"/>
    <w:link w:val="ListBulletChar"/>
    <w:uiPriority w:val="99"/>
    <w:unhideWhenUsed/>
    <w:qFormat/>
    <w:rsid w:val="00E34764"/>
    <w:pPr>
      <w:numPr>
        <w:numId w:val="31"/>
      </w:numPr>
      <w:spacing w:after="0" w:line="300" w:lineRule="exact"/>
      <w:contextualSpacing/>
    </w:pPr>
    <w:rPr>
      <w:rFonts w:ascii="Tahoma" w:eastAsiaTheme="minorEastAsia" w:hAnsi="Tahoma"/>
      <w:lang w:eastAsia="hr-HR"/>
    </w:rPr>
  </w:style>
  <w:style w:type="paragraph" w:styleId="ListBullet2">
    <w:name w:val="List Bullet 2"/>
    <w:basedOn w:val="ListBullet"/>
    <w:uiPriority w:val="99"/>
    <w:unhideWhenUsed/>
    <w:qFormat/>
    <w:rsid w:val="00E34764"/>
    <w:pPr>
      <w:numPr>
        <w:numId w:val="0"/>
      </w:numPr>
      <w:tabs>
        <w:tab w:val="num" w:pos="360"/>
      </w:tabs>
      <w:spacing w:before="60" w:after="60" w:line="360" w:lineRule="auto"/>
      <w:ind w:left="1440" w:hanging="360"/>
    </w:pPr>
    <w:rPr>
      <w:rFonts w:ascii="Times New Roman" w:eastAsiaTheme="minorHAnsi" w:hAnsi="Times New Roman"/>
      <w:sz w:val="24"/>
      <w:szCs w:val="20"/>
      <w:lang w:val="en-US" w:eastAsia="en-US" w:bidi="en-US"/>
    </w:rPr>
  </w:style>
  <w:style w:type="character" w:customStyle="1" w:styleId="ListBulletChar">
    <w:name w:val="List Bullet Char"/>
    <w:basedOn w:val="DefaultParagraphFont"/>
    <w:link w:val="ListBullet"/>
    <w:uiPriority w:val="99"/>
    <w:rsid w:val="00E34764"/>
    <w:rPr>
      <w:rFonts w:ascii="Tahoma" w:eastAsiaTheme="minorEastAsia" w:hAnsi="Tahoma"/>
      <w:lang w:val="hr-HR" w:eastAsia="hr-HR"/>
    </w:rPr>
  </w:style>
  <w:style w:type="character" w:styleId="Strong">
    <w:name w:val="Strong"/>
    <w:basedOn w:val="DefaultParagraphFont"/>
    <w:uiPriority w:val="22"/>
    <w:qFormat/>
    <w:rsid w:val="00E34764"/>
    <w:rPr>
      <w:b/>
      <w:bCs/>
    </w:rPr>
  </w:style>
  <w:style w:type="paragraph" w:customStyle="1" w:styleId="FootnoteText1">
    <w:name w:val="Footnote Text1"/>
    <w:basedOn w:val="Normal"/>
    <w:next w:val="FootnoteText"/>
    <w:uiPriority w:val="99"/>
    <w:semiHidden/>
    <w:unhideWhenUsed/>
    <w:rsid w:val="00E34764"/>
    <w:pPr>
      <w:spacing w:after="0"/>
      <w:jc w:val="left"/>
    </w:pPr>
    <w:rPr>
      <w:rFonts w:asciiTheme="minorHAnsi" w:hAnsiTheme="minorHAnsi"/>
      <w:sz w:val="20"/>
      <w:szCs w:val="20"/>
      <w:lang w:val="en-GB"/>
    </w:rPr>
  </w:style>
  <w:style w:type="character" w:customStyle="1" w:styleId="Hyperlink1">
    <w:name w:val="Hyperlink1"/>
    <w:basedOn w:val="DefaultParagraphFont"/>
    <w:uiPriority w:val="99"/>
    <w:unhideWhenUsed/>
    <w:rsid w:val="00E34764"/>
    <w:rPr>
      <w:color w:val="0563C1"/>
      <w:u w:val="single"/>
    </w:rPr>
  </w:style>
  <w:style w:type="table" w:customStyle="1" w:styleId="Testtable1">
    <w:name w:val="Test table1"/>
    <w:basedOn w:val="TableNormal"/>
    <w:next w:val="TableGrid"/>
    <w:uiPriority w:val="59"/>
    <w:rsid w:val="00E34764"/>
    <w:pPr>
      <w:jc w:val="both"/>
    </w:pPr>
    <w:rPr>
      <w:rFonts w:eastAsia="Times New Roman"/>
      <w:lang w:val="hr-HR"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Index7">
    <w:name w:val="index 7"/>
    <w:basedOn w:val="Normal"/>
    <w:next w:val="Normal"/>
    <w:autoRedefine/>
    <w:semiHidden/>
    <w:unhideWhenUsed/>
    <w:rsid w:val="00E34764"/>
    <w:pPr>
      <w:spacing w:after="0"/>
      <w:ind w:left="1540" w:hanging="220"/>
    </w:pPr>
    <w:rPr>
      <w:rFonts w:ascii="Tahoma" w:eastAsiaTheme="minorEastAsia" w:hAnsi="Tahoma"/>
      <w:lang w:eastAsia="hr-HR"/>
    </w:rPr>
  </w:style>
  <w:style w:type="character" w:customStyle="1" w:styleId="UnresolvedMention1">
    <w:name w:val="Unresolved Mention1"/>
    <w:basedOn w:val="DefaultParagraphFont"/>
    <w:uiPriority w:val="99"/>
    <w:semiHidden/>
    <w:unhideWhenUsed/>
    <w:rsid w:val="00E34764"/>
    <w:rPr>
      <w:color w:val="605E5C"/>
      <w:shd w:val="clear" w:color="auto" w:fill="E1DFDD"/>
    </w:rPr>
  </w:style>
  <w:style w:type="character" w:customStyle="1" w:styleId="UnresolvedMention2">
    <w:name w:val="Unresolved Mention2"/>
    <w:basedOn w:val="DefaultParagraphFont"/>
    <w:uiPriority w:val="99"/>
    <w:semiHidden/>
    <w:unhideWhenUsed/>
    <w:rsid w:val="00E34764"/>
    <w:rPr>
      <w:color w:val="605E5C"/>
      <w:shd w:val="clear" w:color="auto" w:fill="E1DFDD"/>
    </w:rPr>
  </w:style>
  <w:style w:type="paragraph" w:customStyle="1" w:styleId="Izvor">
    <w:name w:val="Izvor"/>
    <w:basedOn w:val="Normal"/>
    <w:qFormat/>
    <w:rsid w:val="00814558"/>
    <w:rPr>
      <w:rFonts w:cs="Tahoma"/>
      <w:color w:val="39617A"/>
      <w:sz w:val="18"/>
      <w:szCs w:val="18"/>
    </w:rPr>
  </w:style>
  <w:style w:type="character" w:styleId="PageNumber">
    <w:name w:val="page number"/>
    <w:basedOn w:val="DefaultParagraphFont"/>
    <w:semiHidden/>
    <w:unhideWhenUsed/>
    <w:rsid w:val="00E34764"/>
  </w:style>
  <w:style w:type="character" w:customStyle="1" w:styleId="UnresolvedMention">
    <w:name w:val="Unresolved Mention"/>
    <w:basedOn w:val="DefaultParagraphFont"/>
    <w:uiPriority w:val="99"/>
    <w:semiHidden/>
    <w:unhideWhenUsed/>
    <w:rsid w:val="00E34764"/>
    <w:rPr>
      <w:color w:val="605E5C"/>
      <w:shd w:val="clear" w:color="auto" w:fill="E1DFDD"/>
    </w:rPr>
  </w:style>
  <w:style w:type="paragraph" w:styleId="TableofFigures">
    <w:name w:val="table of figures"/>
    <w:basedOn w:val="Normal"/>
    <w:next w:val="Normal"/>
    <w:uiPriority w:val="99"/>
    <w:unhideWhenUsed/>
    <w:rsid w:val="00604418"/>
    <w:pPr>
      <w:spacing w:after="0"/>
      <w:ind w:left="442" w:hanging="442"/>
    </w:pPr>
    <w:rPr>
      <w:rFonts w:ascii="Calibri Light" w:eastAsiaTheme="minorEastAsia" w:hAnsi="Calibri Light"/>
      <w:lang w:eastAsia="hr-HR"/>
    </w:rPr>
  </w:style>
  <w:style w:type="paragraph" w:styleId="CommentText">
    <w:name w:val="annotation text"/>
    <w:basedOn w:val="Normal"/>
    <w:link w:val="CommentTextChar"/>
    <w:uiPriority w:val="99"/>
    <w:unhideWhenUsed/>
    <w:rsid w:val="004832D0"/>
    <w:pPr>
      <w:spacing w:before="0" w:after="200"/>
      <w:jc w:val="left"/>
    </w:pPr>
    <w:rPr>
      <w:rFonts w:asciiTheme="minorHAnsi" w:hAnsiTheme="minorHAnsi"/>
      <w:sz w:val="20"/>
      <w:szCs w:val="20"/>
    </w:rPr>
  </w:style>
  <w:style w:type="character" w:customStyle="1" w:styleId="CommentTextChar">
    <w:name w:val="Comment Text Char"/>
    <w:basedOn w:val="DefaultParagraphFont"/>
    <w:link w:val="CommentText"/>
    <w:uiPriority w:val="99"/>
    <w:rsid w:val="004832D0"/>
    <w:rPr>
      <w:sz w:val="20"/>
      <w:szCs w:val="20"/>
      <w:lang w:val="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285899">
      <w:bodyDiv w:val="1"/>
      <w:marLeft w:val="0"/>
      <w:marRight w:val="0"/>
      <w:marTop w:val="0"/>
      <w:marBottom w:val="0"/>
      <w:divBdr>
        <w:top w:val="none" w:sz="0" w:space="0" w:color="auto"/>
        <w:left w:val="none" w:sz="0" w:space="0" w:color="auto"/>
        <w:bottom w:val="none" w:sz="0" w:space="0" w:color="auto"/>
        <w:right w:val="none" w:sz="0" w:space="0" w:color="auto"/>
      </w:divBdr>
    </w:div>
    <w:div w:id="180555211">
      <w:bodyDiv w:val="1"/>
      <w:marLeft w:val="0"/>
      <w:marRight w:val="0"/>
      <w:marTop w:val="0"/>
      <w:marBottom w:val="0"/>
      <w:divBdr>
        <w:top w:val="none" w:sz="0" w:space="0" w:color="auto"/>
        <w:left w:val="none" w:sz="0" w:space="0" w:color="auto"/>
        <w:bottom w:val="none" w:sz="0" w:space="0" w:color="auto"/>
        <w:right w:val="none" w:sz="0" w:space="0" w:color="auto"/>
      </w:divBdr>
    </w:div>
    <w:div w:id="194736886">
      <w:bodyDiv w:val="1"/>
      <w:marLeft w:val="0"/>
      <w:marRight w:val="0"/>
      <w:marTop w:val="0"/>
      <w:marBottom w:val="0"/>
      <w:divBdr>
        <w:top w:val="none" w:sz="0" w:space="0" w:color="auto"/>
        <w:left w:val="none" w:sz="0" w:space="0" w:color="auto"/>
        <w:bottom w:val="none" w:sz="0" w:space="0" w:color="auto"/>
        <w:right w:val="none" w:sz="0" w:space="0" w:color="auto"/>
      </w:divBdr>
    </w:div>
    <w:div w:id="221406994">
      <w:bodyDiv w:val="1"/>
      <w:marLeft w:val="0"/>
      <w:marRight w:val="0"/>
      <w:marTop w:val="0"/>
      <w:marBottom w:val="0"/>
      <w:divBdr>
        <w:top w:val="none" w:sz="0" w:space="0" w:color="auto"/>
        <w:left w:val="none" w:sz="0" w:space="0" w:color="auto"/>
        <w:bottom w:val="none" w:sz="0" w:space="0" w:color="auto"/>
        <w:right w:val="none" w:sz="0" w:space="0" w:color="auto"/>
      </w:divBdr>
    </w:div>
    <w:div w:id="241254262">
      <w:bodyDiv w:val="1"/>
      <w:marLeft w:val="0"/>
      <w:marRight w:val="0"/>
      <w:marTop w:val="0"/>
      <w:marBottom w:val="0"/>
      <w:divBdr>
        <w:top w:val="none" w:sz="0" w:space="0" w:color="auto"/>
        <w:left w:val="none" w:sz="0" w:space="0" w:color="auto"/>
        <w:bottom w:val="none" w:sz="0" w:space="0" w:color="auto"/>
        <w:right w:val="none" w:sz="0" w:space="0" w:color="auto"/>
      </w:divBdr>
    </w:div>
    <w:div w:id="324894135">
      <w:bodyDiv w:val="1"/>
      <w:marLeft w:val="0"/>
      <w:marRight w:val="0"/>
      <w:marTop w:val="0"/>
      <w:marBottom w:val="0"/>
      <w:divBdr>
        <w:top w:val="none" w:sz="0" w:space="0" w:color="auto"/>
        <w:left w:val="none" w:sz="0" w:space="0" w:color="auto"/>
        <w:bottom w:val="none" w:sz="0" w:space="0" w:color="auto"/>
        <w:right w:val="none" w:sz="0" w:space="0" w:color="auto"/>
      </w:divBdr>
    </w:div>
    <w:div w:id="337468664">
      <w:bodyDiv w:val="1"/>
      <w:marLeft w:val="0"/>
      <w:marRight w:val="0"/>
      <w:marTop w:val="0"/>
      <w:marBottom w:val="0"/>
      <w:divBdr>
        <w:top w:val="none" w:sz="0" w:space="0" w:color="auto"/>
        <w:left w:val="none" w:sz="0" w:space="0" w:color="auto"/>
        <w:bottom w:val="none" w:sz="0" w:space="0" w:color="auto"/>
        <w:right w:val="none" w:sz="0" w:space="0" w:color="auto"/>
      </w:divBdr>
    </w:div>
    <w:div w:id="359818759">
      <w:bodyDiv w:val="1"/>
      <w:marLeft w:val="0"/>
      <w:marRight w:val="0"/>
      <w:marTop w:val="0"/>
      <w:marBottom w:val="0"/>
      <w:divBdr>
        <w:top w:val="none" w:sz="0" w:space="0" w:color="auto"/>
        <w:left w:val="none" w:sz="0" w:space="0" w:color="auto"/>
        <w:bottom w:val="none" w:sz="0" w:space="0" w:color="auto"/>
        <w:right w:val="none" w:sz="0" w:space="0" w:color="auto"/>
      </w:divBdr>
    </w:div>
    <w:div w:id="415176315">
      <w:bodyDiv w:val="1"/>
      <w:marLeft w:val="0"/>
      <w:marRight w:val="0"/>
      <w:marTop w:val="0"/>
      <w:marBottom w:val="0"/>
      <w:divBdr>
        <w:top w:val="none" w:sz="0" w:space="0" w:color="auto"/>
        <w:left w:val="none" w:sz="0" w:space="0" w:color="auto"/>
        <w:bottom w:val="none" w:sz="0" w:space="0" w:color="auto"/>
        <w:right w:val="none" w:sz="0" w:space="0" w:color="auto"/>
      </w:divBdr>
      <w:divsChild>
        <w:div w:id="382021539">
          <w:marLeft w:val="0"/>
          <w:marRight w:val="0"/>
          <w:marTop w:val="0"/>
          <w:marBottom w:val="0"/>
          <w:divBdr>
            <w:top w:val="none" w:sz="0" w:space="0" w:color="auto"/>
            <w:left w:val="none" w:sz="0" w:space="0" w:color="auto"/>
            <w:bottom w:val="none" w:sz="0" w:space="0" w:color="auto"/>
            <w:right w:val="none" w:sz="0" w:space="0" w:color="auto"/>
          </w:divBdr>
          <w:divsChild>
            <w:div w:id="624121055">
              <w:marLeft w:val="0"/>
              <w:marRight w:val="0"/>
              <w:marTop w:val="0"/>
              <w:marBottom w:val="0"/>
              <w:divBdr>
                <w:top w:val="none" w:sz="0" w:space="0" w:color="auto"/>
                <w:left w:val="none" w:sz="0" w:space="0" w:color="auto"/>
                <w:bottom w:val="none" w:sz="0" w:space="0" w:color="auto"/>
                <w:right w:val="none" w:sz="0" w:space="0" w:color="auto"/>
              </w:divBdr>
              <w:divsChild>
                <w:div w:id="733238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096447">
      <w:bodyDiv w:val="1"/>
      <w:marLeft w:val="0"/>
      <w:marRight w:val="0"/>
      <w:marTop w:val="0"/>
      <w:marBottom w:val="0"/>
      <w:divBdr>
        <w:top w:val="none" w:sz="0" w:space="0" w:color="auto"/>
        <w:left w:val="none" w:sz="0" w:space="0" w:color="auto"/>
        <w:bottom w:val="none" w:sz="0" w:space="0" w:color="auto"/>
        <w:right w:val="none" w:sz="0" w:space="0" w:color="auto"/>
      </w:divBdr>
      <w:divsChild>
        <w:div w:id="1204168794">
          <w:marLeft w:val="0"/>
          <w:marRight w:val="0"/>
          <w:marTop w:val="0"/>
          <w:marBottom w:val="0"/>
          <w:divBdr>
            <w:top w:val="none" w:sz="0" w:space="0" w:color="auto"/>
            <w:left w:val="none" w:sz="0" w:space="0" w:color="auto"/>
            <w:bottom w:val="none" w:sz="0" w:space="0" w:color="auto"/>
            <w:right w:val="none" w:sz="0" w:space="0" w:color="auto"/>
          </w:divBdr>
          <w:divsChild>
            <w:div w:id="718287497">
              <w:marLeft w:val="0"/>
              <w:marRight w:val="0"/>
              <w:marTop w:val="0"/>
              <w:marBottom w:val="0"/>
              <w:divBdr>
                <w:top w:val="none" w:sz="0" w:space="0" w:color="auto"/>
                <w:left w:val="none" w:sz="0" w:space="0" w:color="auto"/>
                <w:bottom w:val="none" w:sz="0" w:space="0" w:color="auto"/>
                <w:right w:val="none" w:sz="0" w:space="0" w:color="auto"/>
              </w:divBdr>
              <w:divsChild>
                <w:div w:id="182269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475829">
      <w:bodyDiv w:val="1"/>
      <w:marLeft w:val="0"/>
      <w:marRight w:val="0"/>
      <w:marTop w:val="0"/>
      <w:marBottom w:val="0"/>
      <w:divBdr>
        <w:top w:val="none" w:sz="0" w:space="0" w:color="auto"/>
        <w:left w:val="none" w:sz="0" w:space="0" w:color="auto"/>
        <w:bottom w:val="none" w:sz="0" w:space="0" w:color="auto"/>
        <w:right w:val="none" w:sz="0" w:space="0" w:color="auto"/>
      </w:divBdr>
    </w:div>
    <w:div w:id="511066021">
      <w:bodyDiv w:val="1"/>
      <w:marLeft w:val="0"/>
      <w:marRight w:val="0"/>
      <w:marTop w:val="0"/>
      <w:marBottom w:val="0"/>
      <w:divBdr>
        <w:top w:val="none" w:sz="0" w:space="0" w:color="auto"/>
        <w:left w:val="none" w:sz="0" w:space="0" w:color="auto"/>
        <w:bottom w:val="none" w:sz="0" w:space="0" w:color="auto"/>
        <w:right w:val="none" w:sz="0" w:space="0" w:color="auto"/>
      </w:divBdr>
    </w:div>
    <w:div w:id="563175645">
      <w:bodyDiv w:val="1"/>
      <w:marLeft w:val="0"/>
      <w:marRight w:val="0"/>
      <w:marTop w:val="0"/>
      <w:marBottom w:val="0"/>
      <w:divBdr>
        <w:top w:val="none" w:sz="0" w:space="0" w:color="auto"/>
        <w:left w:val="none" w:sz="0" w:space="0" w:color="auto"/>
        <w:bottom w:val="none" w:sz="0" w:space="0" w:color="auto"/>
        <w:right w:val="none" w:sz="0" w:space="0" w:color="auto"/>
      </w:divBdr>
    </w:div>
    <w:div w:id="566838427">
      <w:bodyDiv w:val="1"/>
      <w:marLeft w:val="0"/>
      <w:marRight w:val="0"/>
      <w:marTop w:val="0"/>
      <w:marBottom w:val="0"/>
      <w:divBdr>
        <w:top w:val="none" w:sz="0" w:space="0" w:color="auto"/>
        <w:left w:val="none" w:sz="0" w:space="0" w:color="auto"/>
        <w:bottom w:val="none" w:sz="0" w:space="0" w:color="auto"/>
        <w:right w:val="none" w:sz="0" w:space="0" w:color="auto"/>
      </w:divBdr>
    </w:div>
    <w:div w:id="667906601">
      <w:bodyDiv w:val="1"/>
      <w:marLeft w:val="0"/>
      <w:marRight w:val="0"/>
      <w:marTop w:val="0"/>
      <w:marBottom w:val="0"/>
      <w:divBdr>
        <w:top w:val="none" w:sz="0" w:space="0" w:color="auto"/>
        <w:left w:val="none" w:sz="0" w:space="0" w:color="auto"/>
        <w:bottom w:val="none" w:sz="0" w:space="0" w:color="auto"/>
        <w:right w:val="none" w:sz="0" w:space="0" w:color="auto"/>
      </w:divBdr>
      <w:divsChild>
        <w:div w:id="965432580">
          <w:marLeft w:val="0"/>
          <w:marRight w:val="0"/>
          <w:marTop w:val="0"/>
          <w:marBottom w:val="0"/>
          <w:divBdr>
            <w:top w:val="none" w:sz="0" w:space="0" w:color="auto"/>
            <w:left w:val="none" w:sz="0" w:space="0" w:color="auto"/>
            <w:bottom w:val="none" w:sz="0" w:space="0" w:color="auto"/>
            <w:right w:val="none" w:sz="0" w:space="0" w:color="auto"/>
          </w:divBdr>
          <w:divsChild>
            <w:div w:id="1354459578">
              <w:marLeft w:val="0"/>
              <w:marRight w:val="0"/>
              <w:marTop w:val="0"/>
              <w:marBottom w:val="0"/>
              <w:divBdr>
                <w:top w:val="none" w:sz="0" w:space="0" w:color="auto"/>
                <w:left w:val="none" w:sz="0" w:space="0" w:color="auto"/>
                <w:bottom w:val="none" w:sz="0" w:space="0" w:color="auto"/>
                <w:right w:val="none" w:sz="0" w:space="0" w:color="auto"/>
              </w:divBdr>
              <w:divsChild>
                <w:div w:id="214403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800054">
      <w:bodyDiv w:val="1"/>
      <w:marLeft w:val="0"/>
      <w:marRight w:val="0"/>
      <w:marTop w:val="0"/>
      <w:marBottom w:val="0"/>
      <w:divBdr>
        <w:top w:val="none" w:sz="0" w:space="0" w:color="auto"/>
        <w:left w:val="none" w:sz="0" w:space="0" w:color="auto"/>
        <w:bottom w:val="none" w:sz="0" w:space="0" w:color="auto"/>
        <w:right w:val="none" w:sz="0" w:space="0" w:color="auto"/>
      </w:divBdr>
    </w:div>
    <w:div w:id="759065203">
      <w:bodyDiv w:val="1"/>
      <w:marLeft w:val="0"/>
      <w:marRight w:val="0"/>
      <w:marTop w:val="0"/>
      <w:marBottom w:val="0"/>
      <w:divBdr>
        <w:top w:val="none" w:sz="0" w:space="0" w:color="auto"/>
        <w:left w:val="none" w:sz="0" w:space="0" w:color="auto"/>
        <w:bottom w:val="none" w:sz="0" w:space="0" w:color="auto"/>
        <w:right w:val="none" w:sz="0" w:space="0" w:color="auto"/>
      </w:divBdr>
    </w:div>
    <w:div w:id="771515422">
      <w:bodyDiv w:val="1"/>
      <w:marLeft w:val="0"/>
      <w:marRight w:val="0"/>
      <w:marTop w:val="0"/>
      <w:marBottom w:val="0"/>
      <w:divBdr>
        <w:top w:val="none" w:sz="0" w:space="0" w:color="auto"/>
        <w:left w:val="none" w:sz="0" w:space="0" w:color="auto"/>
        <w:bottom w:val="none" w:sz="0" w:space="0" w:color="auto"/>
        <w:right w:val="none" w:sz="0" w:space="0" w:color="auto"/>
      </w:divBdr>
    </w:div>
    <w:div w:id="787511183">
      <w:bodyDiv w:val="1"/>
      <w:marLeft w:val="0"/>
      <w:marRight w:val="0"/>
      <w:marTop w:val="0"/>
      <w:marBottom w:val="0"/>
      <w:divBdr>
        <w:top w:val="none" w:sz="0" w:space="0" w:color="auto"/>
        <w:left w:val="none" w:sz="0" w:space="0" w:color="auto"/>
        <w:bottom w:val="none" w:sz="0" w:space="0" w:color="auto"/>
        <w:right w:val="none" w:sz="0" w:space="0" w:color="auto"/>
      </w:divBdr>
    </w:div>
    <w:div w:id="873736517">
      <w:bodyDiv w:val="1"/>
      <w:marLeft w:val="0"/>
      <w:marRight w:val="0"/>
      <w:marTop w:val="0"/>
      <w:marBottom w:val="0"/>
      <w:divBdr>
        <w:top w:val="none" w:sz="0" w:space="0" w:color="auto"/>
        <w:left w:val="none" w:sz="0" w:space="0" w:color="auto"/>
        <w:bottom w:val="none" w:sz="0" w:space="0" w:color="auto"/>
        <w:right w:val="none" w:sz="0" w:space="0" w:color="auto"/>
      </w:divBdr>
    </w:div>
    <w:div w:id="898831028">
      <w:bodyDiv w:val="1"/>
      <w:marLeft w:val="0"/>
      <w:marRight w:val="0"/>
      <w:marTop w:val="0"/>
      <w:marBottom w:val="0"/>
      <w:divBdr>
        <w:top w:val="none" w:sz="0" w:space="0" w:color="auto"/>
        <w:left w:val="none" w:sz="0" w:space="0" w:color="auto"/>
        <w:bottom w:val="none" w:sz="0" w:space="0" w:color="auto"/>
        <w:right w:val="none" w:sz="0" w:space="0" w:color="auto"/>
      </w:divBdr>
      <w:divsChild>
        <w:div w:id="782575513">
          <w:marLeft w:val="547"/>
          <w:marRight w:val="0"/>
          <w:marTop w:val="0"/>
          <w:marBottom w:val="0"/>
          <w:divBdr>
            <w:top w:val="none" w:sz="0" w:space="0" w:color="auto"/>
            <w:left w:val="none" w:sz="0" w:space="0" w:color="auto"/>
            <w:bottom w:val="none" w:sz="0" w:space="0" w:color="auto"/>
            <w:right w:val="none" w:sz="0" w:space="0" w:color="auto"/>
          </w:divBdr>
        </w:div>
      </w:divsChild>
    </w:div>
    <w:div w:id="909728540">
      <w:bodyDiv w:val="1"/>
      <w:marLeft w:val="0"/>
      <w:marRight w:val="0"/>
      <w:marTop w:val="0"/>
      <w:marBottom w:val="0"/>
      <w:divBdr>
        <w:top w:val="none" w:sz="0" w:space="0" w:color="auto"/>
        <w:left w:val="none" w:sz="0" w:space="0" w:color="auto"/>
        <w:bottom w:val="none" w:sz="0" w:space="0" w:color="auto"/>
        <w:right w:val="none" w:sz="0" w:space="0" w:color="auto"/>
      </w:divBdr>
    </w:div>
    <w:div w:id="973947917">
      <w:bodyDiv w:val="1"/>
      <w:marLeft w:val="0"/>
      <w:marRight w:val="0"/>
      <w:marTop w:val="0"/>
      <w:marBottom w:val="0"/>
      <w:divBdr>
        <w:top w:val="none" w:sz="0" w:space="0" w:color="auto"/>
        <w:left w:val="none" w:sz="0" w:space="0" w:color="auto"/>
        <w:bottom w:val="none" w:sz="0" w:space="0" w:color="auto"/>
        <w:right w:val="none" w:sz="0" w:space="0" w:color="auto"/>
      </w:divBdr>
    </w:div>
    <w:div w:id="976691264">
      <w:bodyDiv w:val="1"/>
      <w:marLeft w:val="0"/>
      <w:marRight w:val="0"/>
      <w:marTop w:val="0"/>
      <w:marBottom w:val="0"/>
      <w:divBdr>
        <w:top w:val="none" w:sz="0" w:space="0" w:color="auto"/>
        <w:left w:val="none" w:sz="0" w:space="0" w:color="auto"/>
        <w:bottom w:val="none" w:sz="0" w:space="0" w:color="auto"/>
        <w:right w:val="none" w:sz="0" w:space="0" w:color="auto"/>
      </w:divBdr>
    </w:div>
    <w:div w:id="1038360766">
      <w:bodyDiv w:val="1"/>
      <w:marLeft w:val="0"/>
      <w:marRight w:val="0"/>
      <w:marTop w:val="0"/>
      <w:marBottom w:val="0"/>
      <w:divBdr>
        <w:top w:val="none" w:sz="0" w:space="0" w:color="auto"/>
        <w:left w:val="none" w:sz="0" w:space="0" w:color="auto"/>
        <w:bottom w:val="none" w:sz="0" w:space="0" w:color="auto"/>
        <w:right w:val="none" w:sz="0" w:space="0" w:color="auto"/>
      </w:divBdr>
    </w:div>
    <w:div w:id="1057587199">
      <w:bodyDiv w:val="1"/>
      <w:marLeft w:val="0"/>
      <w:marRight w:val="0"/>
      <w:marTop w:val="0"/>
      <w:marBottom w:val="0"/>
      <w:divBdr>
        <w:top w:val="none" w:sz="0" w:space="0" w:color="auto"/>
        <w:left w:val="none" w:sz="0" w:space="0" w:color="auto"/>
        <w:bottom w:val="none" w:sz="0" w:space="0" w:color="auto"/>
        <w:right w:val="none" w:sz="0" w:space="0" w:color="auto"/>
      </w:divBdr>
    </w:div>
    <w:div w:id="1100561989">
      <w:bodyDiv w:val="1"/>
      <w:marLeft w:val="0"/>
      <w:marRight w:val="0"/>
      <w:marTop w:val="0"/>
      <w:marBottom w:val="0"/>
      <w:divBdr>
        <w:top w:val="none" w:sz="0" w:space="0" w:color="auto"/>
        <w:left w:val="none" w:sz="0" w:space="0" w:color="auto"/>
        <w:bottom w:val="none" w:sz="0" w:space="0" w:color="auto"/>
        <w:right w:val="none" w:sz="0" w:space="0" w:color="auto"/>
      </w:divBdr>
    </w:div>
    <w:div w:id="1122967065">
      <w:bodyDiv w:val="1"/>
      <w:marLeft w:val="0"/>
      <w:marRight w:val="0"/>
      <w:marTop w:val="0"/>
      <w:marBottom w:val="0"/>
      <w:divBdr>
        <w:top w:val="none" w:sz="0" w:space="0" w:color="auto"/>
        <w:left w:val="none" w:sz="0" w:space="0" w:color="auto"/>
        <w:bottom w:val="none" w:sz="0" w:space="0" w:color="auto"/>
        <w:right w:val="none" w:sz="0" w:space="0" w:color="auto"/>
      </w:divBdr>
    </w:div>
    <w:div w:id="1168256321">
      <w:bodyDiv w:val="1"/>
      <w:marLeft w:val="0"/>
      <w:marRight w:val="0"/>
      <w:marTop w:val="0"/>
      <w:marBottom w:val="0"/>
      <w:divBdr>
        <w:top w:val="none" w:sz="0" w:space="0" w:color="auto"/>
        <w:left w:val="none" w:sz="0" w:space="0" w:color="auto"/>
        <w:bottom w:val="none" w:sz="0" w:space="0" w:color="auto"/>
        <w:right w:val="none" w:sz="0" w:space="0" w:color="auto"/>
      </w:divBdr>
    </w:div>
    <w:div w:id="1176918162">
      <w:bodyDiv w:val="1"/>
      <w:marLeft w:val="0"/>
      <w:marRight w:val="0"/>
      <w:marTop w:val="0"/>
      <w:marBottom w:val="0"/>
      <w:divBdr>
        <w:top w:val="none" w:sz="0" w:space="0" w:color="auto"/>
        <w:left w:val="none" w:sz="0" w:space="0" w:color="auto"/>
        <w:bottom w:val="none" w:sz="0" w:space="0" w:color="auto"/>
        <w:right w:val="none" w:sz="0" w:space="0" w:color="auto"/>
      </w:divBdr>
    </w:div>
    <w:div w:id="1179271531">
      <w:bodyDiv w:val="1"/>
      <w:marLeft w:val="0"/>
      <w:marRight w:val="0"/>
      <w:marTop w:val="0"/>
      <w:marBottom w:val="0"/>
      <w:divBdr>
        <w:top w:val="none" w:sz="0" w:space="0" w:color="auto"/>
        <w:left w:val="none" w:sz="0" w:space="0" w:color="auto"/>
        <w:bottom w:val="none" w:sz="0" w:space="0" w:color="auto"/>
        <w:right w:val="none" w:sz="0" w:space="0" w:color="auto"/>
      </w:divBdr>
    </w:div>
    <w:div w:id="1182623562">
      <w:bodyDiv w:val="1"/>
      <w:marLeft w:val="0"/>
      <w:marRight w:val="0"/>
      <w:marTop w:val="0"/>
      <w:marBottom w:val="0"/>
      <w:divBdr>
        <w:top w:val="none" w:sz="0" w:space="0" w:color="auto"/>
        <w:left w:val="none" w:sz="0" w:space="0" w:color="auto"/>
        <w:bottom w:val="none" w:sz="0" w:space="0" w:color="auto"/>
        <w:right w:val="none" w:sz="0" w:space="0" w:color="auto"/>
      </w:divBdr>
    </w:div>
    <w:div w:id="1244218089">
      <w:bodyDiv w:val="1"/>
      <w:marLeft w:val="0"/>
      <w:marRight w:val="0"/>
      <w:marTop w:val="0"/>
      <w:marBottom w:val="0"/>
      <w:divBdr>
        <w:top w:val="none" w:sz="0" w:space="0" w:color="auto"/>
        <w:left w:val="none" w:sz="0" w:space="0" w:color="auto"/>
        <w:bottom w:val="none" w:sz="0" w:space="0" w:color="auto"/>
        <w:right w:val="none" w:sz="0" w:space="0" w:color="auto"/>
      </w:divBdr>
    </w:div>
    <w:div w:id="1248266043">
      <w:bodyDiv w:val="1"/>
      <w:marLeft w:val="0"/>
      <w:marRight w:val="0"/>
      <w:marTop w:val="0"/>
      <w:marBottom w:val="0"/>
      <w:divBdr>
        <w:top w:val="none" w:sz="0" w:space="0" w:color="auto"/>
        <w:left w:val="none" w:sz="0" w:space="0" w:color="auto"/>
        <w:bottom w:val="none" w:sz="0" w:space="0" w:color="auto"/>
        <w:right w:val="none" w:sz="0" w:space="0" w:color="auto"/>
      </w:divBdr>
      <w:divsChild>
        <w:div w:id="1444686">
          <w:marLeft w:val="0"/>
          <w:marRight w:val="0"/>
          <w:marTop w:val="0"/>
          <w:marBottom w:val="0"/>
          <w:divBdr>
            <w:top w:val="none" w:sz="0" w:space="0" w:color="auto"/>
            <w:left w:val="none" w:sz="0" w:space="0" w:color="auto"/>
            <w:bottom w:val="none" w:sz="0" w:space="0" w:color="auto"/>
            <w:right w:val="none" w:sz="0" w:space="0" w:color="auto"/>
          </w:divBdr>
          <w:divsChild>
            <w:div w:id="1080172923">
              <w:marLeft w:val="0"/>
              <w:marRight w:val="0"/>
              <w:marTop w:val="0"/>
              <w:marBottom w:val="0"/>
              <w:divBdr>
                <w:top w:val="none" w:sz="0" w:space="0" w:color="auto"/>
                <w:left w:val="none" w:sz="0" w:space="0" w:color="auto"/>
                <w:bottom w:val="none" w:sz="0" w:space="0" w:color="auto"/>
                <w:right w:val="none" w:sz="0" w:space="0" w:color="auto"/>
              </w:divBdr>
              <w:divsChild>
                <w:div w:id="1646423489">
                  <w:marLeft w:val="0"/>
                  <w:marRight w:val="0"/>
                  <w:marTop w:val="0"/>
                  <w:marBottom w:val="0"/>
                  <w:divBdr>
                    <w:top w:val="none" w:sz="0" w:space="0" w:color="auto"/>
                    <w:left w:val="none" w:sz="0" w:space="0" w:color="auto"/>
                    <w:bottom w:val="none" w:sz="0" w:space="0" w:color="auto"/>
                    <w:right w:val="none" w:sz="0" w:space="0" w:color="auto"/>
                  </w:divBdr>
                  <w:divsChild>
                    <w:div w:id="476846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676503">
      <w:bodyDiv w:val="1"/>
      <w:marLeft w:val="0"/>
      <w:marRight w:val="0"/>
      <w:marTop w:val="0"/>
      <w:marBottom w:val="0"/>
      <w:divBdr>
        <w:top w:val="none" w:sz="0" w:space="0" w:color="auto"/>
        <w:left w:val="none" w:sz="0" w:space="0" w:color="auto"/>
        <w:bottom w:val="none" w:sz="0" w:space="0" w:color="auto"/>
        <w:right w:val="none" w:sz="0" w:space="0" w:color="auto"/>
      </w:divBdr>
    </w:div>
    <w:div w:id="1274895427">
      <w:bodyDiv w:val="1"/>
      <w:marLeft w:val="0"/>
      <w:marRight w:val="0"/>
      <w:marTop w:val="0"/>
      <w:marBottom w:val="0"/>
      <w:divBdr>
        <w:top w:val="none" w:sz="0" w:space="0" w:color="auto"/>
        <w:left w:val="none" w:sz="0" w:space="0" w:color="auto"/>
        <w:bottom w:val="none" w:sz="0" w:space="0" w:color="auto"/>
        <w:right w:val="none" w:sz="0" w:space="0" w:color="auto"/>
      </w:divBdr>
      <w:divsChild>
        <w:div w:id="1778862904">
          <w:marLeft w:val="0"/>
          <w:marRight w:val="0"/>
          <w:marTop w:val="0"/>
          <w:marBottom w:val="0"/>
          <w:divBdr>
            <w:top w:val="none" w:sz="0" w:space="0" w:color="auto"/>
            <w:left w:val="none" w:sz="0" w:space="0" w:color="auto"/>
            <w:bottom w:val="none" w:sz="0" w:space="0" w:color="auto"/>
            <w:right w:val="none" w:sz="0" w:space="0" w:color="auto"/>
          </w:divBdr>
          <w:divsChild>
            <w:div w:id="917783713">
              <w:marLeft w:val="0"/>
              <w:marRight w:val="0"/>
              <w:marTop w:val="0"/>
              <w:marBottom w:val="0"/>
              <w:divBdr>
                <w:top w:val="none" w:sz="0" w:space="0" w:color="auto"/>
                <w:left w:val="none" w:sz="0" w:space="0" w:color="auto"/>
                <w:bottom w:val="none" w:sz="0" w:space="0" w:color="auto"/>
                <w:right w:val="none" w:sz="0" w:space="0" w:color="auto"/>
              </w:divBdr>
              <w:divsChild>
                <w:div w:id="274678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212457">
      <w:bodyDiv w:val="1"/>
      <w:marLeft w:val="0"/>
      <w:marRight w:val="0"/>
      <w:marTop w:val="0"/>
      <w:marBottom w:val="0"/>
      <w:divBdr>
        <w:top w:val="none" w:sz="0" w:space="0" w:color="auto"/>
        <w:left w:val="none" w:sz="0" w:space="0" w:color="auto"/>
        <w:bottom w:val="none" w:sz="0" w:space="0" w:color="auto"/>
        <w:right w:val="none" w:sz="0" w:space="0" w:color="auto"/>
      </w:divBdr>
    </w:div>
    <w:div w:id="1308317039">
      <w:bodyDiv w:val="1"/>
      <w:marLeft w:val="0"/>
      <w:marRight w:val="0"/>
      <w:marTop w:val="0"/>
      <w:marBottom w:val="0"/>
      <w:divBdr>
        <w:top w:val="none" w:sz="0" w:space="0" w:color="auto"/>
        <w:left w:val="none" w:sz="0" w:space="0" w:color="auto"/>
        <w:bottom w:val="none" w:sz="0" w:space="0" w:color="auto"/>
        <w:right w:val="none" w:sz="0" w:space="0" w:color="auto"/>
      </w:divBdr>
      <w:divsChild>
        <w:div w:id="1668168053">
          <w:marLeft w:val="0"/>
          <w:marRight w:val="0"/>
          <w:marTop w:val="0"/>
          <w:marBottom w:val="0"/>
          <w:divBdr>
            <w:top w:val="none" w:sz="0" w:space="0" w:color="auto"/>
            <w:left w:val="none" w:sz="0" w:space="0" w:color="auto"/>
            <w:bottom w:val="none" w:sz="0" w:space="0" w:color="auto"/>
            <w:right w:val="none" w:sz="0" w:space="0" w:color="auto"/>
          </w:divBdr>
          <w:divsChild>
            <w:div w:id="604508781">
              <w:marLeft w:val="0"/>
              <w:marRight w:val="0"/>
              <w:marTop w:val="0"/>
              <w:marBottom w:val="0"/>
              <w:divBdr>
                <w:top w:val="none" w:sz="0" w:space="0" w:color="auto"/>
                <w:left w:val="none" w:sz="0" w:space="0" w:color="auto"/>
                <w:bottom w:val="none" w:sz="0" w:space="0" w:color="auto"/>
                <w:right w:val="none" w:sz="0" w:space="0" w:color="auto"/>
              </w:divBdr>
              <w:divsChild>
                <w:div w:id="188883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035479">
      <w:bodyDiv w:val="1"/>
      <w:marLeft w:val="0"/>
      <w:marRight w:val="0"/>
      <w:marTop w:val="0"/>
      <w:marBottom w:val="0"/>
      <w:divBdr>
        <w:top w:val="none" w:sz="0" w:space="0" w:color="auto"/>
        <w:left w:val="none" w:sz="0" w:space="0" w:color="auto"/>
        <w:bottom w:val="none" w:sz="0" w:space="0" w:color="auto"/>
        <w:right w:val="none" w:sz="0" w:space="0" w:color="auto"/>
      </w:divBdr>
    </w:div>
    <w:div w:id="1403597298">
      <w:bodyDiv w:val="1"/>
      <w:marLeft w:val="0"/>
      <w:marRight w:val="0"/>
      <w:marTop w:val="0"/>
      <w:marBottom w:val="0"/>
      <w:divBdr>
        <w:top w:val="none" w:sz="0" w:space="0" w:color="auto"/>
        <w:left w:val="none" w:sz="0" w:space="0" w:color="auto"/>
        <w:bottom w:val="none" w:sz="0" w:space="0" w:color="auto"/>
        <w:right w:val="none" w:sz="0" w:space="0" w:color="auto"/>
      </w:divBdr>
    </w:div>
    <w:div w:id="1473136513">
      <w:bodyDiv w:val="1"/>
      <w:marLeft w:val="0"/>
      <w:marRight w:val="0"/>
      <w:marTop w:val="0"/>
      <w:marBottom w:val="0"/>
      <w:divBdr>
        <w:top w:val="none" w:sz="0" w:space="0" w:color="auto"/>
        <w:left w:val="none" w:sz="0" w:space="0" w:color="auto"/>
        <w:bottom w:val="none" w:sz="0" w:space="0" w:color="auto"/>
        <w:right w:val="none" w:sz="0" w:space="0" w:color="auto"/>
      </w:divBdr>
    </w:div>
    <w:div w:id="1492527426">
      <w:bodyDiv w:val="1"/>
      <w:marLeft w:val="0"/>
      <w:marRight w:val="0"/>
      <w:marTop w:val="0"/>
      <w:marBottom w:val="0"/>
      <w:divBdr>
        <w:top w:val="none" w:sz="0" w:space="0" w:color="auto"/>
        <w:left w:val="none" w:sz="0" w:space="0" w:color="auto"/>
        <w:bottom w:val="none" w:sz="0" w:space="0" w:color="auto"/>
        <w:right w:val="none" w:sz="0" w:space="0" w:color="auto"/>
      </w:divBdr>
    </w:div>
    <w:div w:id="1537696587">
      <w:bodyDiv w:val="1"/>
      <w:marLeft w:val="0"/>
      <w:marRight w:val="0"/>
      <w:marTop w:val="0"/>
      <w:marBottom w:val="0"/>
      <w:divBdr>
        <w:top w:val="none" w:sz="0" w:space="0" w:color="auto"/>
        <w:left w:val="none" w:sz="0" w:space="0" w:color="auto"/>
        <w:bottom w:val="none" w:sz="0" w:space="0" w:color="auto"/>
        <w:right w:val="none" w:sz="0" w:space="0" w:color="auto"/>
      </w:divBdr>
    </w:div>
    <w:div w:id="1593780066">
      <w:bodyDiv w:val="1"/>
      <w:marLeft w:val="0"/>
      <w:marRight w:val="0"/>
      <w:marTop w:val="0"/>
      <w:marBottom w:val="0"/>
      <w:divBdr>
        <w:top w:val="none" w:sz="0" w:space="0" w:color="auto"/>
        <w:left w:val="none" w:sz="0" w:space="0" w:color="auto"/>
        <w:bottom w:val="none" w:sz="0" w:space="0" w:color="auto"/>
        <w:right w:val="none" w:sz="0" w:space="0" w:color="auto"/>
      </w:divBdr>
    </w:div>
    <w:div w:id="1614824776">
      <w:bodyDiv w:val="1"/>
      <w:marLeft w:val="0"/>
      <w:marRight w:val="0"/>
      <w:marTop w:val="0"/>
      <w:marBottom w:val="0"/>
      <w:divBdr>
        <w:top w:val="none" w:sz="0" w:space="0" w:color="auto"/>
        <w:left w:val="none" w:sz="0" w:space="0" w:color="auto"/>
        <w:bottom w:val="none" w:sz="0" w:space="0" w:color="auto"/>
        <w:right w:val="none" w:sz="0" w:space="0" w:color="auto"/>
      </w:divBdr>
    </w:div>
    <w:div w:id="1651714823">
      <w:bodyDiv w:val="1"/>
      <w:marLeft w:val="0"/>
      <w:marRight w:val="0"/>
      <w:marTop w:val="0"/>
      <w:marBottom w:val="0"/>
      <w:divBdr>
        <w:top w:val="none" w:sz="0" w:space="0" w:color="auto"/>
        <w:left w:val="none" w:sz="0" w:space="0" w:color="auto"/>
        <w:bottom w:val="none" w:sz="0" w:space="0" w:color="auto"/>
        <w:right w:val="none" w:sz="0" w:space="0" w:color="auto"/>
      </w:divBdr>
    </w:div>
    <w:div w:id="1685206490">
      <w:bodyDiv w:val="1"/>
      <w:marLeft w:val="0"/>
      <w:marRight w:val="0"/>
      <w:marTop w:val="0"/>
      <w:marBottom w:val="0"/>
      <w:divBdr>
        <w:top w:val="none" w:sz="0" w:space="0" w:color="auto"/>
        <w:left w:val="none" w:sz="0" w:space="0" w:color="auto"/>
        <w:bottom w:val="none" w:sz="0" w:space="0" w:color="auto"/>
        <w:right w:val="none" w:sz="0" w:space="0" w:color="auto"/>
      </w:divBdr>
      <w:divsChild>
        <w:div w:id="1750807468">
          <w:marLeft w:val="0"/>
          <w:marRight w:val="0"/>
          <w:marTop w:val="0"/>
          <w:marBottom w:val="0"/>
          <w:divBdr>
            <w:top w:val="none" w:sz="0" w:space="0" w:color="auto"/>
            <w:left w:val="none" w:sz="0" w:space="0" w:color="auto"/>
            <w:bottom w:val="none" w:sz="0" w:space="0" w:color="auto"/>
            <w:right w:val="none" w:sz="0" w:space="0" w:color="auto"/>
          </w:divBdr>
          <w:divsChild>
            <w:div w:id="1171683412">
              <w:marLeft w:val="0"/>
              <w:marRight w:val="0"/>
              <w:marTop w:val="0"/>
              <w:marBottom w:val="0"/>
              <w:divBdr>
                <w:top w:val="none" w:sz="0" w:space="0" w:color="auto"/>
                <w:left w:val="none" w:sz="0" w:space="0" w:color="auto"/>
                <w:bottom w:val="none" w:sz="0" w:space="0" w:color="auto"/>
                <w:right w:val="none" w:sz="0" w:space="0" w:color="auto"/>
              </w:divBdr>
              <w:divsChild>
                <w:div w:id="42627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452372">
      <w:bodyDiv w:val="1"/>
      <w:marLeft w:val="0"/>
      <w:marRight w:val="0"/>
      <w:marTop w:val="0"/>
      <w:marBottom w:val="0"/>
      <w:divBdr>
        <w:top w:val="none" w:sz="0" w:space="0" w:color="auto"/>
        <w:left w:val="none" w:sz="0" w:space="0" w:color="auto"/>
        <w:bottom w:val="none" w:sz="0" w:space="0" w:color="auto"/>
        <w:right w:val="none" w:sz="0" w:space="0" w:color="auto"/>
      </w:divBdr>
    </w:div>
    <w:div w:id="1753891209">
      <w:bodyDiv w:val="1"/>
      <w:marLeft w:val="0"/>
      <w:marRight w:val="0"/>
      <w:marTop w:val="0"/>
      <w:marBottom w:val="0"/>
      <w:divBdr>
        <w:top w:val="none" w:sz="0" w:space="0" w:color="auto"/>
        <w:left w:val="none" w:sz="0" w:space="0" w:color="auto"/>
        <w:bottom w:val="none" w:sz="0" w:space="0" w:color="auto"/>
        <w:right w:val="none" w:sz="0" w:space="0" w:color="auto"/>
      </w:divBdr>
      <w:divsChild>
        <w:div w:id="1895969888">
          <w:marLeft w:val="0"/>
          <w:marRight w:val="0"/>
          <w:marTop w:val="0"/>
          <w:marBottom w:val="0"/>
          <w:divBdr>
            <w:top w:val="none" w:sz="0" w:space="0" w:color="auto"/>
            <w:left w:val="none" w:sz="0" w:space="0" w:color="auto"/>
            <w:bottom w:val="none" w:sz="0" w:space="0" w:color="auto"/>
            <w:right w:val="none" w:sz="0" w:space="0" w:color="auto"/>
          </w:divBdr>
          <w:divsChild>
            <w:div w:id="2079788249">
              <w:marLeft w:val="0"/>
              <w:marRight w:val="0"/>
              <w:marTop w:val="0"/>
              <w:marBottom w:val="0"/>
              <w:divBdr>
                <w:top w:val="none" w:sz="0" w:space="0" w:color="auto"/>
                <w:left w:val="none" w:sz="0" w:space="0" w:color="auto"/>
                <w:bottom w:val="none" w:sz="0" w:space="0" w:color="auto"/>
                <w:right w:val="none" w:sz="0" w:space="0" w:color="auto"/>
              </w:divBdr>
              <w:divsChild>
                <w:div w:id="128361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071158">
      <w:bodyDiv w:val="1"/>
      <w:marLeft w:val="0"/>
      <w:marRight w:val="0"/>
      <w:marTop w:val="0"/>
      <w:marBottom w:val="0"/>
      <w:divBdr>
        <w:top w:val="none" w:sz="0" w:space="0" w:color="auto"/>
        <w:left w:val="none" w:sz="0" w:space="0" w:color="auto"/>
        <w:bottom w:val="none" w:sz="0" w:space="0" w:color="auto"/>
        <w:right w:val="none" w:sz="0" w:space="0" w:color="auto"/>
      </w:divBdr>
    </w:div>
    <w:div w:id="1801143088">
      <w:bodyDiv w:val="1"/>
      <w:marLeft w:val="0"/>
      <w:marRight w:val="0"/>
      <w:marTop w:val="0"/>
      <w:marBottom w:val="0"/>
      <w:divBdr>
        <w:top w:val="none" w:sz="0" w:space="0" w:color="auto"/>
        <w:left w:val="none" w:sz="0" w:space="0" w:color="auto"/>
        <w:bottom w:val="none" w:sz="0" w:space="0" w:color="auto"/>
        <w:right w:val="none" w:sz="0" w:space="0" w:color="auto"/>
      </w:divBdr>
    </w:div>
    <w:div w:id="1815675647">
      <w:bodyDiv w:val="1"/>
      <w:marLeft w:val="0"/>
      <w:marRight w:val="0"/>
      <w:marTop w:val="0"/>
      <w:marBottom w:val="0"/>
      <w:divBdr>
        <w:top w:val="none" w:sz="0" w:space="0" w:color="auto"/>
        <w:left w:val="none" w:sz="0" w:space="0" w:color="auto"/>
        <w:bottom w:val="none" w:sz="0" w:space="0" w:color="auto"/>
        <w:right w:val="none" w:sz="0" w:space="0" w:color="auto"/>
      </w:divBdr>
      <w:divsChild>
        <w:div w:id="1349060935">
          <w:marLeft w:val="0"/>
          <w:marRight w:val="0"/>
          <w:marTop w:val="0"/>
          <w:marBottom w:val="0"/>
          <w:divBdr>
            <w:top w:val="none" w:sz="0" w:space="0" w:color="auto"/>
            <w:left w:val="none" w:sz="0" w:space="0" w:color="auto"/>
            <w:bottom w:val="none" w:sz="0" w:space="0" w:color="auto"/>
            <w:right w:val="none" w:sz="0" w:space="0" w:color="auto"/>
          </w:divBdr>
          <w:divsChild>
            <w:div w:id="337079275">
              <w:marLeft w:val="0"/>
              <w:marRight w:val="0"/>
              <w:marTop w:val="0"/>
              <w:marBottom w:val="0"/>
              <w:divBdr>
                <w:top w:val="none" w:sz="0" w:space="0" w:color="auto"/>
                <w:left w:val="none" w:sz="0" w:space="0" w:color="auto"/>
                <w:bottom w:val="none" w:sz="0" w:space="0" w:color="auto"/>
                <w:right w:val="none" w:sz="0" w:space="0" w:color="auto"/>
              </w:divBdr>
              <w:divsChild>
                <w:div w:id="537622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650541">
      <w:bodyDiv w:val="1"/>
      <w:marLeft w:val="0"/>
      <w:marRight w:val="0"/>
      <w:marTop w:val="0"/>
      <w:marBottom w:val="0"/>
      <w:divBdr>
        <w:top w:val="none" w:sz="0" w:space="0" w:color="auto"/>
        <w:left w:val="none" w:sz="0" w:space="0" w:color="auto"/>
        <w:bottom w:val="none" w:sz="0" w:space="0" w:color="auto"/>
        <w:right w:val="none" w:sz="0" w:space="0" w:color="auto"/>
      </w:divBdr>
      <w:divsChild>
        <w:div w:id="465046718">
          <w:marLeft w:val="0"/>
          <w:marRight w:val="0"/>
          <w:marTop w:val="0"/>
          <w:marBottom w:val="0"/>
          <w:divBdr>
            <w:top w:val="none" w:sz="0" w:space="0" w:color="auto"/>
            <w:left w:val="none" w:sz="0" w:space="0" w:color="auto"/>
            <w:bottom w:val="none" w:sz="0" w:space="0" w:color="auto"/>
            <w:right w:val="none" w:sz="0" w:space="0" w:color="auto"/>
          </w:divBdr>
          <w:divsChild>
            <w:div w:id="1453134233">
              <w:marLeft w:val="0"/>
              <w:marRight w:val="0"/>
              <w:marTop w:val="0"/>
              <w:marBottom w:val="0"/>
              <w:divBdr>
                <w:top w:val="none" w:sz="0" w:space="0" w:color="auto"/>
                <w:left w:val="none" w:sz="0" w:space="0" w:color="auto"/>
                <w:bottom w:val="none" w:sz="0" w:space="0" w:color="auto"/>
                <w:right w:val="none" w:sz="0" w:space="0" w:color="auto"/>
              </w:divBdr>
              <w:divsChild>
                <w:div w:id="1965383712">
                  <w:marLeft w:val="0"/>
                  <w:marRight w:val="0"/>
                  <w:marTop w:val="0"/>
                  <w:marBottom w:val="0"/>
                  <w:divBdr>
                    <w:top w:val="none" w:sz="0" w:space="0" w:color="auto"/>
                    <w:left w:val="none" w:sz="0" w:space="0" w:color="auto"/>
                    <w:bottom w:val="none" w:sz="0" w:space="0" w:color="auto"/>
                    <w:right w:val="none" w:sz="0" w:space="0" w:color="auto"/>
                  </w:divBdr>
                  <w:divsChild>
                    <w:div w:id="196962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3351939">
      <w:bodyDiv w:val="1"/>
      <w:marLeft w:val="0"/>
      <w:marRight w:val="0"/>
      <w:marTop w:val="0"/>
      <w:marBottom w:val="0"/>
      <w:divBdr>
        <w:top w:val="none" w:sz="0" w:space="0" w:color="auto"/>
        <w:left w:val="none" w:sz="0" w:space="0" w:color="auto"/>
        <w:bottom w:val="none" w:sz="0" w:space="0" w:color="auto"/>
        <w:right w:val="none" w:sz="0" w:space="0" w:color="auto"/>
      </w:divBdr>
      <w:divsChild>
        <w:div w:id="1967929599">
          <w:marLeft w:val="0"/>
          <w:marRight w:val="0"/>
          <w:marTop w:val="0"/>
          <w:marBottom w:val="0"/>
          <w:divBdr>
            <w:top w:val="none" w:sz="0" w:space="0" w:color="auto"/>
            <w:left w:val="none" w:sz="0" w:space="0" w:color="auto"/>
            <w:bottom w:val="none" w:sz="0" w:space="0" w:color="auto"/>
            <w:right w:val="none" w:sz="0" w:space="0" w:color="auto"/>
          </w:divBdr>
        </w:div>
      </w:divsChild>
    </w:div>
    <w:div w:id="1914898231">
      <w:bodyDiv w:val="1"/>
      <w:marLeft w:val="0"/>
      <w:marRight w:val="0"/>
      <w:marTop w:val="0"/>
      <w:marBottom w:val="0"/>
      <w:divBdr>
        <w:top w:val="none" w:sz="0" w:space="0" w:color="auto"/>
        <w:left w:val="none" w:sz="0" w:space="0" w:color="auto"/>
        <w:bottom w:val="none" w:sz="0" w:space="0" w:color="auto"/>
        <w:right w:val="none" w:sz="0" w:space="0" w:color="auto"/>
      </w:divBdr>
    </w:div>
    <w:div w:id="1996688098">
      <w:bodyDiv w:val="1"/>
      <w:marLeft w:val="0"/>
      <w:marRight w:val="0"/>
      <w:marTop w:val="0"/>
      <w:marBottom w:val="0"/>
      <w:divBdr>
        <w:top w:val="none" w:sz="0" w:space="0" w:color="auto"/>
        <w:left w:val="none" w:sz="0" w:space="0" w:color="auto"/>
        <w:bottom w:val="none" w:sz="0" w:space="0" w:color="auto"/>
        <w:right w:val="none" w:sz="0" w:space="0" w:color="auto"/>
      </w:divBdr>
    </w:div>
    <w:div w:id="2027901334">
      <w:bodyDiv w:val="1"/>
      <w:marLeft w:val="0"/>
      <w:marRight w:val="0"/>
      <w:marTop w:val="0"/>
      <w:marBottom w:val="0"/>
      <w:divBdr>
        <w:top w:val="none" w:sz="0" w:space="0" w:color="auto"/>
        <w:left w:val="none" w:sz="0" w:space="0" w:color="auto"/>
        <w:bottom w:val="none" w:sz="0" w:space="0" w:color="auto"/>
        <w:right w:val="none" w:sz="0" w:space="0" w:color="auto"/>
      </w:divBdr>
    </w:div>
    <w:div w:id="2135784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diagramColors" Target="diagrams/colors1.xml"/><Relationship Id="rId47" Type="http://schemas.microsoft.com/office/2007/relationships/diagramDrawing" Target="diagrams/drawing1.xml"/><Relationship Id="rId48" Type="http://schemas.openxmlformats.org/officeDocument/2006/relationships/fontTable" Target="fontTable.xml"/><Relationship Id="rId49"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chart" Target="charts/chart1.xml"/><Relationship Id="rId27" Type="http://schemas.openxmlformats.org/officeDocument/2006/relationships/chart" Target="charts/chart2.xml"/><Relationship Id="rId28" Type="http://schemas.openxmlformats.org/officeDocument/2006/relationships/chart" Target="charts/chart3.xml"/><Relationship Id="rId29" Type="http://schemas.openxmlformats.org/officeDocument/2006/relationships/chart" Target="charts/chart4.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1.png"/><Relationship Id="rId34" Type="http://schemas.openxmlformats.org/officeDocument/2006/relationships/chart" Target="charts/chart5.xml"/><Relationship Id="rId35" Type="http://schemas.openxmlformats.org/officeDocument/2006/relationships/chart" Target="charts/chart6.xml"/><Relationship Id="rId36" Type="http://schemas.openxmlformats.org/officeDocument/2006/relationships/chart" Target="charts/chart7.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7" Type="http://schemas.openxmlformats.org/officeDocument/2006/relationships/header" Target="header1.xml"/><Relationship Id="rId38" Type="http://schemas.openxmlformats.org/officeDocument/2006/relationships/header" Target="header2.xml"/><Relationship Id="rId39" Type="http://schemas.openxmlformats.org/officeDocument/2006/relationships/footer" Target="footer1.xml"/><Relationship Id="rId40" Type="http://schemas.openxmlformats.org/officeDocument/2006/relationships/footer" Target="footer2.xml"/><Relationship Id="rId41" Type="http://schemas.openxmlformats.org/officeDocument/2006/relationships/header" Target="header3.xml"/><Relationship Id="rId42" Type="http://schemas.openxmlformats.org/officeDocument/2006/relationships/footer" Target="footer3.xml"/><Relationship Id="rId43" Type="http://schemas.openxmlformats.org/officeDocument/2006/relationships/diagramData" Target="diagrams/data1.xml"/><Relationship Id="rId44" Type="http://schemas.openxmlformats.org/officeDocument/2006/relationships/diagramLayout" Target="diagrams/layout1.xml"/><Relationship Id="rId45" Type="http://schemas.openxmlformats.org/officeDocument/2006/relationships/diagramQuickStyle" Target="diagrams/quickStyle1.xml"/></Relationships>
</file>

<file path=word/_rels/footnotes.xml.rels><?xml version="1.0" encoding="UTF-8" standalone="yes"?>
<Relationships xmlns="http://schemas.openxmlformats.org/package/2006/relationships"><Relationship Id="rId1" Type="http://schemas.openxmlformats.org/officeDocument/2006/relationships/hyperlink" Target="https://razvoj.gov.hr/UserDocsImages/Istaknute%20teme/Kartom%20siroma&#353;tva/Izvje&#353;&#263;e%20o%20ocjeni%20siroma&#353;tva%20za%20mala%20podru&#269;ja%20temeljem%20potro&#353;nje%20(karte%20siroma&#353;tva)%20u%20RH.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HD:Users:mirtavukelic:Documents:SRUP%20Karlovac:05drafts&amp;parts:Soc-ekonomska-tablic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D:Users:mirtavukelic:Documents:SRUP%20Karlovac:05drafts&amp;parts:Soc-ekonomska-tablic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D:Users:mirtavukelic:Documents:SRUP%20Karlovac:05drafts&amp;parts:Soc-ekonomska-tablice.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D:Users:mirtavukelic:Documents:SRUP%20Karlovac:05drafts&amp;parts:Soc-ekonomska-tablic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D:Users:mirtavukelic:Documents:SRUP%20Karlovac:DBase-master.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D:Users:mirtavukelic:Documents:SRUP%20Karlovac:DBase-master.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HD:Users:mirtavukelic:Documents:SRUP%20Karlovac:DBase-mast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plotArea>
      <c:layout/>
      <c:barChart>
        <c:barDir val="col"/>
        <c:grouping val="stacked"/>
        <c:varyColors val="0"/>
        <c:ser>
          <c:idx val="0"/>
          <c:order val="0"/>
          <c:tx>
            <c:strRef>
              <c:f>Društvo!$A$3</c:f>
              <c:strCache>
                <c:ptCount val="1"/>
                <c:pt idx="0">
                  <c:v>Karlovac</c:v>
                </c:pt>
              </c:strCache>
            </c:strRef>
          </c:tx>
          <c:invertIfNegative val="0"/>
          <c:cat>
            <c:numRef>
              <c:f>Društvo!$B$2:$F$2</c:f>
              <c:numCache>
                <c:formatCode>General</c:formatCode>
                <c:ptCount val="5"/>
                <c:pt idx="0">
                  <c:v>1971.0</c:v>
                </c:pt>
                <c:pt idx="1">
                  <c:v>1981.0</c:v>
                </c:pt>
                <c:pt idx="2">
                  <c:v>1991.0</c:v>
                </c:pt>
                <c:pt idx="3">
                  <c:v>2001.0</c:v>
                </c:pt>
                <c:pt idx="4">
                  <c:v>2011.0</c:v>
                </c:pt>
              </c:numCache>
            </c:numRef>
          </c:cat>
          <c:val>
            <c:numRef>
              <c:f>Društvo!$B$3:$F$3</c:f>
              <c:numCache>
                <c:formatCode>#,##0</c:formatCode>
                <c:ptCount val="5"/>
                <c:pt idx="0">
                  <c:v>63887.0</c:v>
                </c:pt>
                <c:pt idx="1">
                  <c:v>69622.0</c:v>
                </c:pt>
                <c:pt idx="2">
                  <c:v>73426.0</c:v>
                </c:pt>
                <c:pt idx="3">
                  <c:v>59395.0</c:v>
                </c:pt>
                <c:pt idx="4">
                  <c:v>55705.0</c:v>
                </c:pt>
              </c:numCache>
            </c:numRef>
          </c:val>
        </c:ser>
        <c:ser>
          <c:idx val="1"/>
          <c:order val="1"/>
          <c:tx>
            <c:strRef>
              <c:f>Društvo!$A$4</c:f>
              <c:strCache>
                <c:ptCount val="1"/>
                <c:pt idx="0">
                  <c:v>Duga Resa</c:v>
                </c:pt>
              </c:strCache>
            </c:strRef>
          </c:tx>
          <c:invertIfNegative val="0"/>
          <c:cat>
            <c:numRef>
              <c:f>Društvo!$B$2:$F$2</c:f>
              <c:numCache>
                <c:formatCode>General</c:formatCode>
                <c:ptCount val="5"/>
                <c:pt idx="0">
                  <c:v>1971.0</c:v>
                </c:pt>
                <c:pt idx="1">
                  <c:v>1981.0</c:v>
                </c:pt>
                <c:pt idx="2">
                  <c:v>1991.0</c:v>
                </c:pt>
                <c:pt idx="3">
                  <c:v>2001.0</c:v>
                </c:pt>
                <c:pt idx="4">
                  <c:v>2011.0</c:v>
                </c:pt>
              </c:numCache>
            </c:numRef>
          </c:cat>
          <c:val>
            <c:numRef>
              <c:f>Društvo!$B$4:$F$4</c:f>
              <c:numCache>
                <c:formatCode>#,##0</c:formatCode>
                <c:ptCount val="5"/>
                <c:pt idx="0">
                  <c:v>11709.0</c:v>
                </c:pt>
                <c:pt idx="1">
                  <c:v>13102.0</c:v>
                </c:pt>
                <c:pt idx="2">
                  <c:v>14088.0</c:v>
                </c:pt>
                <c:pt idx="3">
                  <c:v>12114.0</c:v>
                </c:pt>
                <c:pt idx="4">
                  <c:v>11180.0</c:v>
                </c:pt>
              </c:numCache>
            </c:numRef>
          </c:val>
        </c:ser>
        <c:ser>
          <c:idx val="2"/>
          <c:order val="2"/>
          <c:tx>
            <c:strRef>
              <c:f>Društvo!$A$5</c:f>
              <c:strCache>
                <c:ptCount val="1"/>
                <c:pt idx="0">
                  <c:v>Ozalj</c:v>
                </c:pt>
              </c:strCache>
            </c:strRef>
          </c:tx>
          <c:invertIfNegative val="0"/>
          <c:cat>
            <c:numRef>
              <c:f>Društvo!$B$2:$F$2</c:f>
              <c:numCache>
                <c:formatCode>General</c:formatCode>
                <c:ptCount val="5"/>
                <c:pt idx="0">
                  <c:v>1971.0</c:v>
                </c:pt>
                <c:pt idx="1">
                  <c:v>1981.0</c:v>
                </c:pt>
                <c:pt idx="2">
                  <c:v>1991.0</c:v>
                </c:pt>
                <c:pt idx="3">
                  <c:v>2001.0</c:v>
                </c:pt>
                <c:pt idx="4">
                  <c:v>2011.0</c:v>
                </c:pt>
              </c:numCache>
            </c:numRef>
          </c:cat>
          <c:val>
            <c:numRef>
              <c:f>Društvo!$B$5:$F$5</c:f>
              <c:numCache>
                <c:formatCode>#,##0</c:formatCode>
                <c:ptCount val="5"/>
                <c:pt idx="0">
                  <c:v>11634.0</c:v>
                </c:pt>
                <c:pt idx="1">
                  <c:v>9744.0</c:v>
                </c:pt>
                <c:pt idx="2">
                  <c:v>9988.0</c:v>
                </c:pt>
                <c:pt idx="3">
                  <c:v>7932.0</c:v>
                </c:pt>
                <c:pt idx="4">
                  <c:v>6817.0</c:v>
                </c:pt>
              </c:numCache>
            </c:numRef>
          </c:val>
        </c:ser>
        <c:dLbls>
          <c:showLegendKey val="0"/>
          <c:showVal val="0"/>
          <c:showCatName val="0"/>
          <c:showSerName val="0"/>
          <c:showPercent val="0"/>
          <c:showBubbleSize val="0"/>
        </c:dLbls>
        <c:gapWidth val="150"/>
        <c:overlap val="100"/>
        <c:axId val="2066330072"/>
        <c:axId val="2064423976"/>
      </c:barChart>
      <c:catAx>
        <c:axId val="2066330072"/>
        <c:scaling>
          <c:orientation val="minMax"/>
        </c:scaling>
        <c:delete val="0"/>
        <c:axPos val="b"/>
        <c:title>
          <c:tx>
            <c:rich>
              <a:bodyPr/>
              <a:lstStyle/>
              <a:p>
                <a:pPr>
                  <a:defRPr/>
                </a:pPr>
                <a:r>
                  <a:rPr lang="ta-IN"/>
                  <a:t>Godina</a:t>
                </a:r>
                <a:endParaRPr lang="en-US"/>
              </a:p>
            </c:rich>
          </c:tx>
          <c:layout/>
          <c:overlay val="0"/>
        </c:title>
        <c:numFmt formatCode="General" sourceLinked="1"/>
        <c:majorTickMark val="out"/>
        <c:minorTickMark val="none"/>
        <c:tickLblPos val="nextTo"/>
        <c:txPr>
          <a:bodyPr/>
          <a:lstStyle/>
          <a:p>
            <a:pPr>
              <a:defRPr b="0" i="0">
                <a:latin typeface="Calibri Light"/>
                <a:cs typeface="Calibri Light"/>
              </a:defRPr>
            </a:pPr>
            <a:endParaRPr lang="en-US"/>
          </a:p>
        </c:txPr>
        <c:crossAx val="2064423976"/>
        <c:crosses val="autoZero"/>
        <c:auto val="1"/>
        <c:lblAlgn val="ctr"/>
        <c:lblOffset val="100"/>
        <c:noMultiLvlLbl val="0"/>
      </c:catAx>
      <c:valAx>
        <c:axId val="2064423976"/>
        <c:scaling>
          <c:orientation val="minMax"/>
        </c:scaling>
        <c:delete val="0"/>
        <c:axPos val="l"/>
        <c:majorGridlines/>
        <c:title>
          <c:tx>
            <c:rich>
              <a:bodyPr rot="-5400000" vert="horz"/>
              <a:lstStyle/>
              <a:p>
                <a:pPr>
                  <a:defRPr/>
                </a:pPr>
                <a:r>
                  <a:rPr lang="ta-IN"/>
                  <a:t>Br. stanovnika</a:t>
                </a:r>
                <a:endParaRPr lang="en-US"/>
              </a:p>
            </c:rich>
          </c:tx>
          <c:layout/>
          <c:overlay val="0"/>
        </c:title>
        <c:numFmt formatCode="#,##0" sourceLinked="1"/>
        <c:majorTickMark val="out"/>
        <c:minorTickMark val="none"/>
        <c:tickLblPos val="nextTo"/>
        <c:txPr>
          <a:bodyPr/>
          <a:lstStyle/>
          <a:p>
            <a:pPr>
              <a:defRPr b="0" i="0">
                <a:latin typeface="Calibri Light"/>
                <a:cs typeface="Calibri Light"/>
              </a:defRPr>
            </a:pPr>
            <a:endParaRPr lang="en-US"/>
          </a:p>
        </c:txPr>
        <c:crossAx val="2066330072"/>
        <c:crosses val="autoZero"/>
        <c:crossBetween val="between"/>
      </c:valAx>
    </c:plotArea>
    <c:legend>
      <c:legendPos val="r"/>
      <c:layout/>
      <c:overlay val="0"/>
      <c:txPr>
        <a:bodyPr/>
        <a:lstStyle/>
        <a:p>
          <a:pPr>
            <a:defRPr b="0" i="0">
              <a:latin typeface="Calibri Light"/>
              <a:cs typeface="Calibri Light"/>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plotArea>
      <c:layout/>
      <c:areaChart>
        <c:grouping val="stacked"/>
        <c:varyColors val="0"/>
        <c:ser>
          <c:idx val="0"/>
          <c:order val="0"/>
          <c:tx>
            <c:strRef>
              <c:f>Društvo!$B$23</c:f>
              <c:strCache>
                <c:ptCount val="1"/>
                <c:pt idx="0">
                  <c:v>Prirodni pad</c:v>
                </c:pt>
              </c:strCache>
            </c:strRef>
          </c:tx>
          <c:cat>
            <c:numRef>
              <c:f>Društvo!$A$24:$A$28</c:f>
              <c:numCache>
                <c:formatCode>General</c:formatCode>
                <c:ptCount val="5"/>
                <c:pt idx="0">
                  <c:v>2013.0</c:v>
                </c:pt>
                <c:pt idx="1">
                  <c:v>2014.0</c:v>
                </c:pt>
                <c:pt idx="2">
                  <c:v>2015.0</c:v>
                </c:pt>
                <c:pt idx="3">
                  <c:v>2016.0</c:v>
                </c:pt>
                <c:pt idx="4">
                  <c:v>2017.0</c:v>
                </c:pt>
              </c:numCache>
            </c:numRef>
          </c:cat>
          <c:val>
            <c:numRef>
              <c:f>Društvo!$B$24:$B$28</c:f>
              <c:numCache>
                <c:formatCode>General</c:formatCode>
                <c:ptCount val="5"/>
                <c:pt idx="0">
                  <c:v>-360.0</c:v>
                </c:pt>
                <c:pt idx="1">
                  <c:v>-452.0</c:v>
                </c:pt>
                <c:pt idx="2">
                  <c:v>-539.0</c:v>
                </c:pt>
                <c:pt idx="3">
                  <c:v>-405.0</c:v>
                </c:pt>
                <c:pt idx="4">
                  <c:v>-415.0</c:v>
                </c:pt>
              </c:numCache>
            </c:numRef>
          </c:val>
        </c:ser>
        <c:ser>
          <c:idx val="1"/>
          <c:order val="1"/>
          <c:tx>
            <c:strRef>
              <c:f>Društvo!$C$23</c:f>
              <c:strCache>
                <c:ptCount val="1"/>
                <c:pt idx="0">
                  <c:v>Migracije</c:v>
                </c:pt>
              </c:strCache>
            </c:strRef>
          </c:tx>
          <c:cat>
            <c:numRef>
              <c:f>Društvo!$A$24:$A$28</c:f>
              <c:numCache>
                <c:formatCode>General</c:formatCode>
                <c:ptCount val="5"/>
                <c:pt idx="0">
                  <c:v>2013.0</c:v>
                </c:pt>
                <c:pt idx="1">
                  <c:v>2014.0</c:v>
                </c:pt>
                <c:pt idx="2">
                  <c:v>2015.0</c:v>
                </c:pt>
                <c:pt idx="3">
                  <c:v>2016.0</c:v>
                </c:pt>
                <c:pt idx="4">
                  <c:v>2017.0</c:v>
                </c:pt>
              </c:numCache>
            </c:numRef>
          </c:cat>
          <c:val>
            <c:numRef>
              <c:f>Društvo!$C$24:$C$28</c:f>
              <c:numCache>
                <c:formatCode>General</c:formatCode>
                <c:ptCount val="5"/>
                <c:pt idx="0">
                  <c:v>-254.0</c:v>
                </c:pt>
                <c:pt idx="1">
                  <c:v>-257.0</c:v>
                </c:pt>
                <c:pt idx="2">
                  <c:v>-307.0</c:v>
                </c:pt>
                <c:pt idx="3">
                  <c:v>-449.0</c:v>
                </c:pt>
                <c:pt idx="4">
                  <c:v>-384.0</c:v>
                </c:pt>
              </c:numCache>
            </c:numRef>
          </c:val>
        </c:ser>
        <c:dLbls>
          <c:showLegendKey val="0"/>
          <c:showVal val="0"/>
          <c:showCatName val="0"/>
          <c:showSerName val="0"/>
          <c:showPercent val="0"/>
          <c:showBubbleSize val="0"/>
        </c:dLbls>
        <c:axId val="2066378376"/>
        <c:axId val="2066384056"/>
      </c:areaChart>
      <c:catAx>
        <c:axId val="2066378376"/>
        <c:scaling>
          <c:orientation val="minMax"/>
        </c:scaling>
        <c:delete val="0"/>
        <c:axPos val="b"/>
        <c:title>
          <c:tx>
            <c:rich>
              <a:bodyPr/>
              <a:lstStyle/>
              <a:p>
                <a:pPr>
                  <a:defRPr/>
                </a:pPr>
                <a:r>
                  <a:rPr lang="ta-IN"/>
                  <a:t>Godina</a:t>
                </a:r>
                <a:endParaRPr lang="en-US"/>
              </a:p>
            </c:rich>
          </c:tx>
          <c:overlay val="0"/>
        </c:title>
        <c:numFmt formatCode="General" sourceLinked="1"/>
        <c:majorTickMark val="out"/>
        <c:minorTickMark val="none"/>
        <c:tickLblPos val="nextTo"/>
        <c:txPr>
          <a:bodyPr/>
          <a:lstStyle/>
          <a:p>
            <a:pPr>
              <a:defRPr b="0" i="0">
                <a:latin typeface="Calibri Light"/>
                <a:cs typeface="Calibri Light"/>
              </a:defRPr>
            </a:pPr>
            <a:endParaRPr lang="en-US"/>
          </a:p>
        </c:txPr>
        <c:crossAx val="2066384056"/>
        <c:crosses val="autoZero"/>
        <c:auto val="1"/>
        <c:lblAlgn val="ctr"/>
        <c:lblOffset val="100"/>
        <c:noMultiLvlLbl val="0"/>
      </c:catAx>
      <c:valAx>
        <c:axId val="2066384056"/>
        <c:scaling>
          <c:orientation val="minMax"/>
        </c:scaling>
        <c:delete val="0"/>
        <c:axPos val="l"/>
        <c:majorGridlines/>
        <c:title>
          <c:tx>
            <c:rich>
              <a:bodyPr rot="-5400000" vert="horz"/>
              <a:lstStyle/>
              <a:p>
                <a:pPr>
                  <a:defRPr/>
                </a:pPr>
                <a:r>
                  <a:rPr lang="ta-IN"/>
                  <a:t>Saldo</a:t>
                </a:r>
                <a:r>
                  <a:rPr lang="ta-IN" baseline="0"/>
                  <a:t> broja stanovnika</a:t>
                </a:r>
                <a:endParaRPr lang="en-US"/>
              </a:p>
            </c:rich>
          </c:tx>
          <c:overlay val="0"/>
        </c:title>
        <c:numFmt formatCode="General" sourceLinked="1"/>
        <c:majorTickMark val="out"/>
        <c:minorTickMark val="none"/>
        <c:tickLblPos val="nextTo"/>
        <c:txPr>
          <a:bodyPr/>
          <a:lstStyle/>
          <a:p>
            <a:pPr>
              <a:defRPr b="0" i="0">
                <a:latin typeface="Calibri Light"/>
                <a:cs typeface="Calibri Light"/>
              </a:defRPr>
            </a:pPr>
            <a:endParaRPr lang="en-US"/>
          </a:p>
        </c:txPr>
        <c:crossAx val="2066378376"/>
        <c:crosses val="autoZero"/>
        <c:crossBetween val="midCat"/>
      </c:valAx>
    </c:plotArea>
    <c:legend>
      <c:legendPos val="r"/>
      <c:overlay val="0"/>
      <c:txPr>
        <a:bodyPr/>
        <a:lstStyle/>
        <a:p>
          <a:pPr>
            <a:defRPr b="0" i="0">
              <a:latin typeface="Calibri Light"/>
              <a:cs typeface="Calibri Light"/>
            </a:defRPr>
          </a:pPr>
          <a:endParaRPr lang="en-US"/>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plotArea>
      <c:layout/>
      <c:barChart>
        <c:barDir val="col"/>
        <c:grouping val="stacked"/>
        <c:varyColors val="0"/>
        <c:ser>
          <c:idx val="0"/>
          <c:order val="0"/>
          <c:tx>
            <c:strRef>
              <c:f>Gospodarstvo!$A$3</c:f>
              <c:strCache>
                <c:ptCount val="1"/>
                <c:pt idx="0">
                  <c:v>DUGA RESA</c:v>
                </c:pt>
              </c:strCache>
            </c:strRef>
          </c:tx>
          <c:invertIfNegative val="0"/>
          <c:cat>
            <c:numRef>
              <c:f>Gospodarstvo!$B$2:$L$2</c:f>
              <c:numCache>
                <c:formatCode>General</c:formatCode>
                <c:ptCount val="11"/>
                <c:pt idx="0">
                  <c:v>2008.0</c:v>
                </c:pt>
                <c:pt idx="1">
                  <c:v>2009.0</c:v>
                </c:pt>
                <c:pt idx="2">
                  <c:v>2010.0</c:v>
                </c:pt>
                <c:pt idx="3">
                  <c:v>2011.0</c:v>
                </c:pt>
                <c:pt idx="4">
                  <c:v>2012.0</c:v>
                </c:pt>
                <c:pt idx="5">
                  <c:v>2013.0</c:v>
                </c:pt>
                <c:pt idx="6">
                  <c:v>2014.0</c:v>
                </c:pt>
                <c:pt idx="7">
                  <c:v>2015.0</c:v>
                </c:pt>
                <c:pt idx="8">
                  <c:v>2016.0</c:v>
                </c:pt>
                <c:pt idx="9">
                  <c:v>2017.0</c:v>
                </c:pt>
                <c:pt idx="10">
                  <c:v>2018.0</c:v>
                </c:pt>
              </c:numCache>
            </c:numRef>
          </c:cat>
          <c:val>
            <c:numRef>
              <c:f>Gospodarstvo!$B$3:$L$3</c:f>
              <c:numCache>
                <c:formatCode>General</c:formatCode>
                <c:ptCount val="11"/>
                <c:pt idx="0">
                  <c:v>1471.0</c:v>
                </c:pt>
                <c:pt idx="1">
                  <c:v>1669.0</c:v>
                </c:pt>
                <c:pt idx="2">
                  <c:v>1677.0</c:v>
                </c:pt>
                <c:pt idx="3">
                  <c:v>1505.0</c:v>
                </c:pt>
                <c:pt idx="4">
                  <c:v>1322.0</c:v>
                </c:pt>
                <c:pt idx="5">
                  <c:v>1241.0</c:v>
                </c:pt>
                <c:pt idx="6">
                  <c:v>1118.0</c:v>
                </c:pt>
                <c:pt idx="7">
                  <c:v>971.0</c:v>
                </c:pt>
                <c:pt idx="8">
                  <c:v>779.0</c:v>
                </c:pt>
                <c:pt idx="9">
                  <c:v>553.0</c:v>
                </c:pt>
                <c:pt idx="10">
                  <c:v>376.0</c:v>
                </c:pt>
              </c:numCache>
            </c:numRef>
          </c:val>
        </c:ser>
        <c:ser>
          <c:idx val="1"/>
          <c:order val="1"/>
          <c:tx>
            <c:strRef>
              <c:f>Gospodarstvo!$A$6</c:f>
              <c:strCache>
                <c:ptCount val="1"/>
                <c:pt idx="0">
                  <c:v>KARLOVAC</c:v>
                </c:pt>
              </c:strCache>
            </c:strRef>
          </c:tx>
          <c:invertIfNegative val="0"/>
          <c:cat>
            <c:numRef>
              <c:f>Gospodarstvo!$B$2:$L$2</c:f>
              <c:numCache>
                <c:formatCode>General</c:formatCode>
                <c:ptCount val="11"/>
                <c:pt idx="0">
                  <c:v>2008.0</c:v>
                </c:pt>
                <c:pt idx="1">
                  <c:v>2009.0</c:v>
                </c:pt>
                <c:pt idx="2">
                  <c:v>2010.0</c:v>
                </c:pt>
                <c:pt idx="3">
                  <c:v>2011.0</c:v>
                </c:pt>
                <c:pt idx="4">
                  <c:v>2012.0</c:v>
                </c:pt>
                <c:pt idx="5">
                  <c:v>2013.0</c:v>
                </c:pt>
                <c:pt idx="6">
                  <c:v>2014.0</c:v>
                </c:pt>
                <c:pt idx="7">
                  <c:v>2015.0</c:v>
                </c:pt>
                <c:pt idx="8">
                  <c:v>2016.0</c:v>
                </c:pt>
                <c:pt idx="9">
                  <c:v>2017.0</c:v>
                </c:pt>
                <c:pt idx="10">
                  <c:v>2018.0</c:v>
                </c:pt>
              </c:numCache>
            </c:numRef>
          </c:cat>
          <c:val>
            <c:numRef>
              <c:f>Gospodarstvo!$B$6:$L$6</c:f>
              <c:numCache>
                <c:formatCode>General</c:formatCode>
                <c:ptCount val="11"/>
                <c:pt idx="0">
                  <c:v>4157.0</c:v>
                </c:pt>
                <c:pt idx="1">
                  <c:v>4163.0</c:v>
                </c:pt>
                <c:pt idx="2">
                  <c:v>4223.0</c:v>
                </c:pt>
                <c:pt idx="3">
                  <c:v>4026.0</c:v>
                </c:pt>
                <c:pt idx="4">
                  <c:v>4124.0</c:v>
                </c:pt>
                <c:pt idx="5">
                  <c:v>4234.0</c:v>
                </c:pt>
                <c:pt idx="6">
                  <c:v>3968.0</c:v>
                </c:pt>
                <c:pt idx="7">
                  <c:v>3494.0</c:v>
                </c:pt>
                <c:pt idx="8">
                  <c:v>2805.0</c:v>
                </c:pt>
                <c:pt idx="9">
                  <c:v>2048.0</c:v>
                </c:pt>
                <c:pt idx="10">
                  <c:v>1546.0</c:v>
                </c:pt>
              </c:numCache>
            </c:numRef>
          </c:val>
        </c:ser>
        <c:ser>
          <c:idx val="2"/>
          <c:order val="2"/>
          <c:tx>
            <c:strRef>
              <c:f>Gospodarstvo!$A$9</c:f>
              <c:strCache>
                <c:ptCount val="1"/>
                <c:pt idx="0">
                  <c:v>OZALJ</c:v>
                </c:pt>
              </c:strCache>
            </c:strRef>
          </c:tx>
          <c:invertIfNegative val="0"/>
          <c:cat>
            <c:numRef>
              <c:f>Gospodarstvo!$B$2:$L$2</c:f>
              <c:numCache>
                <c:formatCode>General</c:formatCode>
                <c:ptCount val="11"/>
                <c:pt idx="0">
                  <c:v>2008.0</c:v>
                </c:pt>
                <c:pt idx="1">
                  <c:v>2009.0</c:v>
                </c:pt>
                <c:pt idx="2">
                  <c:v>2010.0</c:v>
                </c:pt>
                <c:pt idx="3">
                  <c:v>2011.0</c:v>
                </c:pt>
                <c:pt idx="4">
                  <c:v>2012.0</c:v>
                </c:pt>
                <c:pt idx="5">
                  <c:v>2013.0</c:v>
                </c:pt>
                <c:pt idx="6">
                  <c:v>2014.0</c:v>
                </c:pt>
                <c:pt idx="7">
                  <c:v>2015.0</c:v>
                </c:pt>
                <c:pt idx="8">
                  <c:v>2016.0</c:v>
                </c:pt>
                <c:pt idx="9">
                  <c:v>2017.0</c:v>
                </c:pt>
                <c:pt idx="10">
                  <c:v>2018.0</c:v>
                </c:pt>
              </c:numCache>
            </c:numRef>
          </c:cat>
          <c:val>
            <c:numRef>
              <c:f>Gospodarstvo!$B$9:$L$9</c:f>
              <c:numCache>
                <c:formatCode>General</c:formatCode>
                <c:ptCount val="11"/>
                <c:pt idx="0">
                  <c:v>545.0</c:v>
                </c:pt>
                <c:pt idx="1">
                  <c:v>603.0</c:v>
                </c:pt>
                <c:pt idx="2">
                  <c:v>678.0</c:v>
                </c:pt>
                <c:pt idx="3">
                  <c:v>631.0</c:v>
                </c:pt>
                <c:pt idx="4">
                  <c:v>624.0</c:v>
                </c:pt>
                <c:pt idx="5">
                  <c:v>581.0</c:v>
                </c:pt>
                <c:pt idx="6">
                  <c:v>471.0</c:v>
                </c:pt>
                <c:pt idx="7">
                  <c:v>394.0</c:v>
                </c:pt>
                <c:pt idx="8">
                  <c:v>276.0</c:v>
                </c:pt>
                <c:pt idx="9">
                  <c:v>195.0</c:v>
                </c:pt>
                <c:pt idx="10">
                  <c:v>130.0</c:v>
                </c:pt>
              </c:numCache>
            </c:numRef>
          </c:val>
        </c:ser>
        <c:dLbls>
          <c:showLegendKey val="0"/>
          <c:showVal val="0"/>
          <c:showCatName val="0"/>
          <c:showSerName val="0"/>
          <c:showPercent val="0"/>
          <c:showBubbleSize val="0"/>
        </c:dLbls>
        <c:gapWidth val="150"/>
        <c:overlap val="100"/>
        <c:axId val="2066464904"/>
        <c:axId val="2066470536"/>
      </c:barChart>
      <c:catAx>
        <c:axId val="2066464904"/>
        <c:scaling>
          <c:orientation val="minMax"/>
        </c:scaling>
        <c:delete val="0"/>
        <c:axPos val="b"/>
        <c:title>
          <c:tx>
            <c:rich>
              <a:bodyPr/>
              <a:lstStyle/>
              <a:p>
                <a:pPr>
                  <a:defRPr/>
                </a:pPr>
                <a:r>
                  <a:rPr lang="ta-IN"/>
                  <a:t>Godina</a:t>
                </a:r>
                <a:endParaRPr lang="en-US"/>
              </a:p>
            </c:rich>
          </c:tx>
          <c:overlay val="0"/>
        </c:title>
        <c:numFmt formatCode="General" sourceLinked="1"/>
        <c:majorTickMark val="out"/>
        <c:minorTickMark val="none"/>
        <c:tickLblPos val="nextTo"/>
        <c:txPr>
          <a:bodyPr rot="-2700000"/>
          <a:lstStyle/>
          <a:p>
            <a:pPr>
              <a:defRPr b="0" i="0">
                <a:latin typeface="Calibri Light"/>
                <a:cs typeface="Calibri Light"/>
              </a:defRPr>
            </a:pPr>
            <a:endParaRPr lang="en-US"/>
          </a:p>
        </c:txPr>
        <c:crossAx val="2066470536"/>
        <c:crosses val="autoZero"/>
        <c:auto val="1"/>
        <c:lblAlgn val="ctr"/>
        <c:lblOffset val="100"/>
        <c:tickMarkSkip val="100"/>
        <c:noMultiLvlLbl val="0"/>
      </c:catAx>
      <c:valAx>
        <c:axId val="2066470536"/>
        <c:scaling>
          <c:orientation val="minMax"/>
        </c:scaling>
        <c:delete val="0"/>
        <c:axPos val="l"/>
        <c:majorGridlines/>
        <c:title>
          <c:tx>
            <c:rich>
              <a:bodyPr rot="-5400000" vert="horz"/>
              <a:lstStyle/>
              <a:p>
                <a:pPr>
                  <a:defRPr/>
                </a:pPr>
                <a:r>
                  <a:rPr lang="ta-IN"/>
                  <a:t>Broj nezaposlenih</a:t>
                </a:r>
                <a:endParaRPr lang="en-US"/>
              </a:p>
            </c:rich>
          </c:tx>
          <c:overlay val="0"/>
        </c:title>
        <c:numFmt formatCode="General" sourceLinked="1"/>
        <c:majorTickMark val="out"/>
        <c:minorTickMark val="none"/>
        <c:tickLblPos val="nextTo"/>
        <c:txPr>
          <a:bodyPr/>
          <a:lstStyle/>
          <a:p>
            <a:pPr>
              <a:defRPr b="0" i="0">
                <a:latin typeface="Calibri Light"/>
                <a:cs typeface="Calibri Light"/>
              </a:defRPr>
            </a:pPr>
            <a:endParaRPr lang="en-US"/>
          </a:p>
        </c:txPr>
        <c:crossAx val="2066464904"/>
        <c:crosses val="autoZero"/>
        <c:crossBetween val="between"/>
      </c:valAx>
    </c:plotArea>
    <c:legend>
      <c:legendPos val="r"/>
      <c:overlay val="0"/>
      <c:txPr>
        <a:bodyPr/>
        <a:lstStyle/>
        <a:p>
          <a:pPr>
            <a:defRPr b="0" i="0">
              <a:latin typeface="Calibri Light"/>
              <a:cs typeface="Calibri Light"/>
            </a:defRPr>
          </a:pPr>
          <a:endParaRPr lang="en-US"/>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plotArea>
      <c:layout/>
      <c:barChart>
        <c:barDir val="col"/>
        <c:grouping val="stacked"/>
        <c:varyColors val="0"/>
        <c:ser>
          <c:idx val="0"/>
          <c:order val="0"/>
          <c:tx>
            <c:strRef>
              <c:f>Gospodarstvo!$A$22</c:f>
              <c:strCache>
                <c:ptCount val="1"/>
                <c:pt idx="0">
                  <c:v>DUGA RESA</c:v>
                </c:pt>
              </c:strCache>
            </c:strRef>
          </c:tx>
          <c:invertIfNegative val="0"/>
          <c:cat>
            <c:numRef>
              <c:f>Gospodarstvo!$B$21:$J$21</c:f>
              <c:numCache>
                <c:formatCode>General</c:formatCode>
                <c:ptCount val="9"/>
                <c:pt idx="0">
                  <c:v>2009.0</c:v>
                </c:pt>
                <c:pt idx="1">
                  <c:v>2010.0</c:v>
                </c:pt>
                <c:pt idx="2">
                  <c:v>2011.0</c:v>
                </c:pt>
                <c:pt idx="3">
                  <c:v>2012.0</c:v>
                </c:pt>
                <c:pt idx="4">
                  <c:v>2013.0</c:v>
                </c:pt>
                <c:pt idx="5">
                  <c:v>2014.0</c:v>
                </c:pt>
                <c:pt idx="6">
                  <c:v>2015.0</c:v>
                </c:pt>
                <c:pt idx="7">
                  <c:v>2016.0</c:v>
                </c:pt>
                <c:pt idx="8">
                  <c:v>2017.0</c:v>
                </c:pt>
              </c:numCache>
            </c:numRef>
          </c:cat>
          <c:val>
            <c:numRef>
              <c:f>Gospodarstvo!$B$22:$J$22</c:f>
              <c:numCache>
                <c:formatCode>General</c:formatCode>
                <c:ptCount val="9"/>
                <c:pt idx="0">
                  <c:v>1779.0</c:v>
                </c:pt>
                <c:pt idx="1">
                  <c:v>1808.0</c:v>
                </c:pt>
                <c:pt idx="2">
                  <c:v>1861.0</c:v>
                </c:pt>
                <c:pt idx="3">
                  <c:v>1830.0</c:v>
                </c:pt>
                <c:pt idx="4">
                  <c:v>1784.0</c:v>
                </c:pt>
                <c:pt idx="5">
                  <c:v>1734.0</c:v>
                </c:pt>
                <c:pt idx="6">
                  <c:v>1807.0</c:v>
                </c:pt>
                <c:pt idx="7">
                  <c:v>1707.0</c:v>
                </c:pt>
                <c:pt idx="8">
                  <c:v>1810.0</c:v>
                </c:pt>
              </c:numCache>
            </c:numRef>
          </c:val>
        </c:ser>
        <c:ser>
          <c:idx val="1"/>
          <c:order val="1"/>
          <c:tx>
            <c:strRef>
              <c:f>Gospodarstvo!$A$23</c:f>
              <c:strCache>
                <c:ptCount val="1"/>
                <c:pt idx="0">
                  <c:v>KARLOVAC</c:v>
                </c:pt>
              </c:strCache>
            </c:strRef>
          </c:tx>
          <c:invertIfNegative val="0"/>
          <c:cat>
            <c:numRef>
              <c:f>Gospodarstvo!$B$21:$J$21</c:f>
              <c:numCache>
                <c:formatCode>General</c:formatCode>
                <c:ptCount val="9"/>
                <c:pt idx="0">
                  <c:v>2009.0</c:v>
                </c:pt>
                <c:pt idx="1">
                  <c:v>2010.0</c:v>
                </c:pt>
                <c:pt idx="2">
                  <c:v>2011.0</c:v>
                </c:pt>
                <c:pt idx="3">
                  <c:v>2012.0</c:v>
                </c:pt>
                <c:pt idx="4">
                  <c:v>2013.0</c:v>
                </c:pt>
                <c:pt idx="5">
                  <c:v>2014.0</c:v>
                </c:pt>
                <c:pt idx="6">
                  <c:v>2015.0</c:v>
                </c:pt>
                <c:pt idx="7">
                  <c:v>2016.0</c:v>
                </c:pt>
                <c:pt idx="8">
                  <c:v>2017.0</c:v>
                </c:pt>
              </c:numCache>
            </c:numRef>
          </c:cat>
          <c:val>
            <c:numRef>
              <c:f>Gospodarstvo!$B$23:$J$23</c:f>
              <c:numCache>
                <c:formatCode>General</c:formatCode>
                <c:ptCount val="9"/>
                <c:pt idx="0">
                  <c:v>18700.0</c:v>
                </c:pt>
                <c:pt idx="1">
                  <c:v>17910.0</c:v>
                </c:pt>
                <c:pt idx="2">
                  <c:v>17605.0</c:v>
                </c:pt>
                <c:pt idx="3">
                  <c:v>17629.0</c:v>
                </c:pt>
                <c:pt idx="4">
                  <c:v>18076.0</c:v>
                </c:pt>
                <c:pt idx="5">
                  <c:v>17559.0</c:v>
                </c:pt>
                <c:pt idx="6">
                  <c:v>16331.0</c:v>
                </c:pt>
                <c:pt idx="7">
                  <c:v>16808.0</c:v>
                </c:pt>
                <c:pt idx="8">
                  <c:v>17051.0</c:v>
                </c:pt>
              </c:numCache>
            </c:numRef>
          </c:val>
        </c:ser>
        <c:ser>
          <c:idx val="2"/>
          <c:order val="2"/>
          <c:tx>
            <c:strRef>
              <c:f>Gospodarstvo!$A$24</c:f>
              <c:strCache>
                <c:ptCount val="1"/>
                <c:pt idx="0">
                  <c:v>OZALJ</c:v>
                </c:pt>
              </c:strCache>
            </c:strRef>
          </c:tx>
          <c:invertIfNegative val="0"/>
          <c:cat>
            <c:numRef>
              <c:f>Gospodarstvo!$B$21:$J$21</c:f>
              <c:numCache>
                <c:formatCode>General</c:formatCode>
                <c:ptCount val="9"/>
                <c:pt idx="0">
                  <c:v>2009.0</c:v>
                </c:pt>
                <c:pt idx="1">
                  <c:v>2010.0</c:v>
                </c:pt>
                <c:pt idx="2">
                  <c:v>2011.0</c:v>
                </c:pt>
                <c:pt idx="3">
                  <c:v>2012.0</c:v>
                </c:pt>
                <c:pt idx="4">
                  <c:v>2013.0</c:v>
                </c:pt>
                <c:pt idx="5">
                  <c:v>2014.0</c:v>
                </c:pt>
                <c:pt idx="6">
                  <c:v>2015.0</c:v>
                </c:pt>
                <c:pt idx="7">
                  <c:v>2016.0</c:v>
                </c:pt>
                <c:pt idx="8">
                  <c:v>2017.0</c:v>
                </c:pt>
              </c:numCache>
            </c:numRef>
          </c:cat>
          <c:val>
            <c:numRef>
              <c:f>Gospodarstvo!$B$24:$J$24</c:f>
              <c:numCache>
                <c:formatCode>General</c:formatCode>
                <c:ptCount val="9"/>
                <c:pt idx="0">
                  <c:v>1314.0</c:v>
                </c:pt>
                <c:pt idx="1">
                  <c:v>1305.0</c:v>
                </c:pt>
                <c:pt idx="2">
                  <c:v>1479.0</c:v>
                </c:pt>
                <c:pt idx="3">
                  <c:v>1141.0</c:v>
                </c:pt>
                <c:pt idx="4">
                  <c:v>930.0</c:v>
                </c:pt>
                <c:pt idx="5">
                  <c:v>1145.0</c:v>
                </c:pt>
                <c:pt idx="6">
                  <c:v>1161.0</c:v>
                </c:pt>
                <c:pt idx="7">
                  <c:v>1277.0</c:v>
                </c:pt>
                <c:pt idx="8">
                  <c:v>1221.0</c:v>
                </c:pt>
              </c:numCache>
            </c:numRef>
          </c:val>
        </c:ser>
        <c:dLbls>
          <c:showLegendKey val="0"/>
          <c:showVal val="0"/>
          <c:showCatName val="0"/>
          <c:showSerName val="0"/>
          <c:showPercent val="0"/>
          <c:showBubbleSize val="0"/>
        </c:dLbls>
        <c:gapWidth val="150"/>
        <c:overlap val="100"/>
        <c:axId val="2066501880"/>
        <c:axId val="2066507544"/>
      </c:barChart>
      <c:catAx>
        <c:axId val="2066501880"/>
        <c:scaling>
          <c:orientation val="minMax"/>
        </c:scaling>
        <c:delete val="0"/>
        <c:axPos val="b"/>
        <c:title>
          <c:tx>
            <c:rich>
              <a:bodyPr/>
              <a:lstStyle/>
              <a:p>
                <a:pPr>
                  <a:defRPr/>
                </a:pPr>
                <a:r>
                  <a:rPr lang="ta-IN"/>
                  <a:t>Godina</a:t>
                </a:r>
                <a:endParaRPr lang="en-US"/>
              </a:p>
            </c:rich>
          </c:tx>
          <c:overlay val="0"/>
        </c:title>
        <c:numFmt formatCode="General" sourceLinked="1"/>
        <c:majorTickMark val="out"/>
        <c:minorTickMark val="none"/>
        <c:tickLblPos val="nextTo"/>
        <c:txPr>
          <a:bodyPr rot="-2700000"/>
          <a:lstStyle/>
          <a:p>
            <a:pPr>
              <a:defRPr b="0" i="0">
                <a:latin typeface="Calibri Light"/>
                <a:cs typeface="Calibri Light"/>
              </a:defRPr>
            </a:pPr>
            <a:endParaRPr lang="en-US"/>
          </a:p>
        </c:txPr>
        <c:crossAx val="2066507544"/>
        <c:crosses val="autoZero"/>
        <c:auto val="1"/>
        <c:lblAlgn val="ctr"/>
        <c:lblOffset val="100"/>
        <c:noMultiLvlLbl val="0"/>
      </c:catAx>
      <c:valAx>
        <c:axId val="2066507544"/>
        <c:scaling>
          <c:orientation val="minMax"/>
        </c:scaling>
        <c:delete val="0"/>
        <c:axPos val="l"/>
        <c:majorGridlines/>
        <c:title>
          <c:tx>
            <c:rich>
              <a:bodyPr rot="-5400000" vert="horz"/>
              <a:lstStyle/>
              <a:p>
                <a:pPr>
                  <a:defRPr/>
                </a:pPr>
                <a:r>
                  <a:rPr lang="ta-IN"/>
                  <a:t>Broj zaposlenih</a:t>
                </a:r>
                <a:endParaRPr lang="en-US"/>
              </a:p>
            </c:rich>
          </c:tx>
          <c:overlay val="0"/>
        </c:title>
        <c:numFmt formatCode="General" sourceLinked="1"/>
        <c:majorTickMark val="out"/>
        <c:minorTickMark val="none"/>
        <c:tickLblPos val="nextTo"/>
        <c:txPr>
          <a:bodyPr/>
          <a:lstStyle/>
          <a:p>
            <a:pPr>
              <a:defRPr b="0" i="0">
                <a:latin typeface="Calibri Light"/>
                <a:cs typeface="Calibri Light"/>
              </a:defRPr>
            </a:pPr>
            <a:endParaRPr lang="en-US"/>
          </a:p>
        </c:txPr>
        <c:crossAx val="2066501880"/>
        <c:crosses val="autoZero"/>
        <c:crossBetween val="between"/>
      </c:valAx>
    </c:plotArea>
    <c:legend>
      <c:legendPos val="r"/>
      <c:overlay val="0"/>
      <c:txPr>
        <a:bodyPr/>
        <a:lstStyle/>
        <a:p>
          <a:pPr>
            <a:defRPr b="0" i="0">
              <a:latin typeface="Calibri Light"/>
              <a:cs typeface="Calibri Light"/>
            </a:defRPr>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0943423738699"/>
          <c:y val="0.114780600461894"/>
          <c:w val="0.368518518518518"/>
          <c:h val="0.735334872979215"/>
        </c:manualLayout>
      </c:layout>
      <c:radarChart>
        <c:radarStyle val="marker"/>
        <c:varyColors val="0"/>
        <c:ser>
          <c:idx val="1"/>
          <c:order val="0"/>
          <c:tx>
            <c:strRef>
              <c:f>Charts!$C$49</c:f>
              <c:strCache>
                <c:ptCount val="1"/>
                <c:pt idx="0">
                  <c:v>KA</c:v>
                </c:pt>
              </c:strCache>
            </c:strRef>
          </c:tx>
          <c:cat>
            <c:strRef>
              <c:f>Charts!$A$50:$A$57</c:f>
              <c:strCache>
                <c:ptCount val="8"/>
                <c:pt idx="0">
                  <c:v>Kultura, turizam i sport</c:v>
                </c:pt>
                <c:pt idx="1">
                  <c:v>Energija, okoliš i priroda</c:v>
                </c:pt>
                <c:pt idx="2">
                  <c:v>Zdravlje, socijalna sigurnost i kvalitet života</c:v>
                </c:pt>
                <c:pt idx="3">
                  <c:v>Mobilnost, pristupačnost i promet</c:v>
                </c:pt>
                <c:pt idx="4">
                  <c:v>Industrija, poduzetništvo i obrtništvo</c:v>
                </c:pt>
                <c:pt idx="5">
                  <c:v>Poljoprivreda i ruralni razvoj</c:v>
                </c:pt>
                <c:pt idx="6">
                  <c:v>Obrazovanje, znanost i ljudski potencijali</c:v>
                </c:pt>
                <c:pt idx="7">
                  <c:v>Sigurnost</c:v>
                </c:pt>
              </c:strCache>
            </c:strRef>
          </c:cat>
          <c:val>
            <c:numRef>
              <c:f>Charts!$C$50:$C$57</c:f>
              <c:numCache>
                <c:formatCode>General</c:formatCode>
                <c:ptCount val="8"/>
                <c:pt idx="0">
                  <c:v>15.0</c:v>
                </c:pt>
                <c:pt idx="1">
                  <c:v>7.0</c:v>
                </c:pt>
                <c:pt idx="2">
                  <c:v>10.0</c:v>
                </c:pt>
                <c:pt idx="3">
                  <c:v>9.0</c:v>
                </c:pt>
                <c:pt idx="4">
                  <c:v>2.0</c:v>
                </c:pt>
                <c:pt idx="5">
                  <c:v>3.0</c:v>
                </c:pt>
                <c:pt idx="6">
                  <c:v>9.0</c:v>
                </c:pt>
                <c:pt idx="7">
                  <c:v>1.0</c:v>
                </c:pt>
              </c:numCache>
            </c:numRef>
          </c:val>
        </c:ser>
        <c:ser>
          <c:idx val="2"/>
          <c:order val="1"/>
          <c:tx>
            <c:strRef>
              <c:f>Charts!$D$49</c:f>
              <c:strCache>
                <c:ptCount val="1"/>
                <c:pt idx="0">
                  <c:v>OZ</c:v>
                </c:pt>
              </c:strCache>
            </c:strRef>
          </c:tx>
          <c:cat>
            <c:strRef>
              <c:f>Charts!$A$50:$A$57</c:f>
              <c:strCache>
                <c:ptCount val="8"/>
                <c:pt idx="0">
                  <c:v>Kultura, turizam i sport</c:v>
                </c:pt>
                <c:pt idx="1">
                  <c:v>Energija, okoliš i priroda</c:v>
                </c:pt>
                <c:pt idx="2">
                  <c:v>Zdravlje, socijalna sigurnost i kvalitet života</c:v>
                </c:pt>
                <c:pt idx="3">
                  <c:v>Mobilnost, pristupačnost i promet</c:v>
                </c:pt>
                <c:pt idx="4">
                  <c:v>Industrija, poduzetništvo i obrtništvo</c:v>
                </c:pt>
                <c:pt idx="5">
                  <c:v>Poljoprivreda i ruralni razvoj</c:v>
                </c:pt>
                <c:pt idx="6">
                  <c:v>Obrazovanje, znanost i ljudski potencijali</c:v>
                </c:pt>
                <c:pt idx="7">
                  <c:v>Sigurnost</c:v>
                </c:pt>
              </c:strCache>
            </c:strRef>
          </c:cat>
          <c:val>
            <c:numRef>
              <c:f>Charts!$D$50:$D$57</c:f>
              <c:numCache>
                <c:formatCode>General</c:formatCode>
                <c:ptCount val="8"/>
                <c:pt idx="0">
                  <c:v>12.0</c:v>
                </c:pt>
                <c:pt idx="1">
                  <c:v>17.0</c:v>
                </c:pt>
                <c:pt idx="2">
                  <c:v>4.0</c:v>
                </c:pt>
                <c:pt idx="3">
                  <c:v>17.0</c:v>
                </c:pt>
                <c:pt idx="4">
                  <c:v>3.0</c:v>
                </c:pt>
                <c:pt idx="5">
                  <c:v>0.0</c:v>
                </c:pt>
                <c:pt idx="6">
                  <c:v>2.0</c:v>
                </c:pt>
                <c:pt idx="7">
                  <c:v>3.0</c:v>
                </c:pt>
              </c:numCache>
            </c:numRef>
          </c:val>
        </c:ser>
        <c:ser>
          <c:idx val="3"/>
          <c:order val="2"/>
          <c:tx>
            <c:strRef>
              <c:f>Charts!$E$49</c:f>
              <c:strCache>
                <c:ptCount val="1"/>
                <c:pt idx="0">
                  <c:v>DR</c:v>
                </c:pt>
              </c:strCache>
            </c:strRef>
          </c:tx>
          <c:cat>
            <c:strRef>
              <c:f>Charts!$A$50:$A$57</c:f>
              <c:strCache>
                <c:ptCount val="8"/>
                <c:pt idx="0">
                  <c:v>Kultura, turizam i sport</c:v>
                </c:pt>
                <c:pt idx="1">
                  <c:v>Energija, okoliš i priroda</c:v>
                </c:pt>
                <c:pt idx="2">
                  <c:v>Zdravlje, socijalna sigurnost i kvalitet života</c:v>
                </c:pt>
                <c:pt idx="3">
                  <c:v>Mobilnost, pristupačnost i promet</c:v>
                </c:pt>
                <c:pt idx="4">
                  <c:v>Industrija, poduzetništvo i obrtništvo</c:v>
                </c:pt>
                <c:pt idx="5">
                  <c:v>Poljoprivreda i ruralni razvoj</c:v>
                </c:pt>
                <c:pt idx="6">
                  <c:v>Obrazovanje, znanost i ljudski potencijali</c:v>
                </c:pt>
                <c:pt idx="7">
                  <c:v>Sigurnost</c:v>
                </c:pt>
              </c:strCache>
            </c:strRef>
          </c:cat>
          <c:val>
            <c:numRef>
              <c:f>Charts!$E$50:$E$57</c:f>
              <c:numCache>
                <c:formatCode>General</c:formatCode>
                <c:ptCount val="8"/>
                <c:pt idx="0">
                  <c:v>15.0</c:v>
                </c:pt>
                <c:pt idx="1">
                  <c:v>14.0</c:v>
                </c:pt>
                <c:pt idx="2">
                  <c:v>11.0</c:v>
                </c:pt>
                <c:pt idx="3">
                  <c:v>8.0</c:v>
                </c:pt>
                <c:pt idx="4">
                  <c:v>6.0</c:v>
                </c:pt>
                <c:pt idx="5">
                  <c:v>3.0</c:v>
                </c:pt>
                <c:pt idx="6">
                  <c:v>7.0</c:v>
                </c:pt>
                <c:pt idx="7">
                  <c:v>0.0</c:v>
                </c:pt>
              </c:numCache>
            </c:numRef>
          </c:val>
        </c:ser>
        <c:dLbls>
          <c:showLegendKey val="0"/>
          <c:showVal val="0"/>
          <c:showCatName val="0"/>
          <c:showSerName val="0"/>
          <c:showPercent val="0"/>
          <c:showBubbleSize val="0"/>
        </c:dLbls>
        <c:axId val="2064505944"/>
        <c:axId val="2064509048"/>
      </c:radarChart>
      <c:catAx>
        <c:axId val="2064505944"/>
        <c:scaling>
          <c:orientation val="minMax"/>
        </c:scaling>
        <c:delete val="0"/>
        <c:axPos val="b"/>
        <c:majorGridlines/>
        <c:majorTickMark val="out"/>
        <c:minorTickMark val="none"/>
        <c:tickLblPos val="nextTo"/>
        <c:txPr>
          <a:bodyPr/>
          <a:lstStyle/>
          <a:p>
            <a:pPr>
              <a:defRPr sz="900" b="0" i="0">
                <a:latin typeface="Calibri Light"/>
                <a:cs typeface="Calibri Light"/>
              </a:defRPr>
            </a:pPr>
            <a:endParaRPr lang="en-US"/>
          </a:p>
        </c:txPr>
        <c:crossAx val="2064509048"/>
        <c:crosses val="autoZero"/>
        <c:auto val="1"/>
        <c:lblAlgn val="ctr"/>
        <c:lblOffset val="100"/>
        <c:noMultiLvlLbl val="0"/>
      </c:catAx>
      <c:valAx>
        <c:axId val="2064509048"/>
        <c:scaling>
          <c:orientation val="minMax"/>
        </c:scaling>
        <c:delete val="0"/>
        <c:axPos val="l"/>
        <c:minorGridlines/>
        <c:numFmt formatCode="General" sourceLinked="1"/>
        <c:majorTickMark val="cross"/>
        <c:minorTickMark val="none"/>
        <c:tickLblPos val="nextTo"/>
        <c:txPr>
          <a:bodyPr/>
          <a:lstStyle/>
          <a:p>
            <a:pPr>
              <a:defRPr sz="900" b="0" i="0">
                <a:latin typeface="Calibri Light"/>
                <a:cs typeface="Calibri Light"/>
              </a:defRPr>
            </a:pPr>
            <a:endParaRPr lang="en-US"/>
          </a:p>
        </c:txPr>
        <c:crossAx val="2064505944"/>
        <c:crosses val="autoZero"/>
        <c:crossBetween val="between"/>
      </c:valAx>
    </c:plotArea>
    <c:legend>
      <c:legendPos val="r"/>
      <c:overlay val="0"/>
      <c:txPr>
        <a:bodyPr/>
        <a:lstStyle/>
        <a:p>
          <a:pPr>
            <a:defRPr b="0" i="0">
              <a:latin typeface="Calibri Light"/>
              <a:cs typeface="Calibri Light"/>
            </a:defRPr>
          </a:pPr>
          <a:endParaRPr lang="en-U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b="1" i="0">
                <a:latin typeface="Calibri Light"/>
                <a:cs typeface="Calibri Light"/>
              </a:defRPr>
            </a:pPr>
            <a:r>
              <a:rPr lang="ta-IN" sz="1200" b="1" i="0">
                <a:latin typeface="Calibri Light"/>
                <a:cs typeface="Calibri Light"/>
              </a:rPr>
              <a:t>Projekti po veličini</a:t>
            </a:r>
            <a:endParaRPr lang="en-US" sz="1200" b="1" i="0">
              <a:latin typeface="Calibri Light"/>
              <a:cs typeface="Calibri Light"/>
            </a:endParaRPr>
          </a:p>
        </c:rich>
      </c:tx>
      <c:overlay val="0"/>
    </c:title>
    <c:autoTitleDeleted val="0"/>
    <c:plotArea>
      <c:layout/>
      <c:barChart>
        <c:barDir val="col"/>
        <c:grouping val="clustered"/>
        <c:varyColors val="0"/>
        <c:ser>
          <c:idx val="0"/>
          <c:order val="0"/>
          <c:tx>
            <c:strRef>
              <c:f>Charts!$A$11</c:f>
              <c:strCache>
                <c:ptCount val="1"/>
                <c:pt idx="0">
                  <c:v>Mali (do 1 mil. EUR)</c:v>
                </c:pt>
              </c:strCache>
            </c:strRef>
          </c:tx>
          <c:invertIfNegative val="0"/>
          <c:dLbls>
            <c:txPr>
              <a:bodyPr/>
              <a:lstStyle/>
              <a:p>
                <a:pPr>
                  <a:defRPr b="0" i="0">
                    <a:latin typeface="Calibri Light"/>
                    <a:cs typeface="Calibri Light"/>
                  </a:defRPr>
                </a:pPr>
                <a:endParaRPr lang="en-US"/>
              </a:p>
            </c:txPr>
            <c:showLegendKey val="0"/>
            <c:showVal val="1"/>
            <c:showCatName val="0"/>
            <c:showSerName val="0"/>
            <c:showPercent val="0"/>
            <c:showBubbleSize val="0"/>
            <c:showLeaderLines val="0"/>
          </c:dLbls>
          <c:cat>
            <c:strRef>
              <c:f>Charts!$B$10:$D$10</c:f>
              <c:strCache>
                <c:ptCount val="3"/>
                <c:pt idx="0">
                  <c:v>Karlovac</c:v>
                </c:pt>
                <c:pt idx="1">
                  <c:v>Ozalj</c:v>
                </c:pt>
                <c:pt idx="2">
                  <c:v>Duga Resa</c:v>
                </c:pt>
              </c:strCache>
            </c:strRef>
          </c:cat>
          <c:val>
            <c:numRef>
              <c:f>Charts!$B$11:$D$11</c:f>
              <c:numCache>
                <c:formatCode>General</c:formatCode>
                <c:ptCount val="3"/>
                <c:pt idx="0">
                  <c:v>17.0</c:v>
                </c:pt>
                <c:pt idx="1">
                  <c:v>50.0</c:v>
                </c:pt>
                <c:pt idx="2">
                  <c:v>51.0</c:v>
                </c:pt>
              </c:numCache>
            </c:numRef>
          </c:val>
        </c:ser>
        <c:ser>
          <c:idx val="1"/>
          <c:order val="1"/>
          <c:tx>
            <c:strRef>
              <c:f>Charts!$A$12</c:f>
              <c:strCache>
                <c:ptCount val="1"/>
                <c:pt idx="0">
                  <c:v>Srednji (1-5 mil. EUR)</c:v>
                </c:pt>
              </c:strCache>
            </c:strRef>
          </c:tx>
          <c:invertIfNegative val="0"/>
          <c:dLbls>
            <c:txPr>
              <a:bodyPr/>
              <a:lstStyle/>
              <a:p>
                <a:pPr>
                  <a:defRPr b="0" i="0">
                    <a:latin typeface="Calibri Light"/>
                    <a:cs typeface="Calibri Light"/>
                  </a:defRPr>
                </a:pPr>
                <a:endParaRPr lang="en-US"/>
              </a:p>
            </c:txPr>
            <c:showLegendKey val="0"/>
            <c:showVal val="1"/>
            <c:showCatName val="0"/>
            <c:showSerName val="0"/>
            <c:showPercent val="0"/>
            <c:showBubbleSize val="0"/>
            <c:showLeaderLines val="0"/>
          </c:dLbls>
          <c:cat>
            <c:strRef>
              <c:f>Charts!$B$10:$D$10</c:f>
              <c:strCache>
                <c:ptCount val="3"/>
                <c:pt idx="0">
                  <c:v>Karlovac</c:v>
                </c:pt>
                <c:pt idx="1">
                  <c:v>Ozalj</c:v>
                </c:pt>
                <c:pt idx="2">
                  <c:v>Duga Resa</c:v>
                </c:pt>
              </c:strCache>
            </c:strRef>
          </c:cat>
          <c:val>
            <c:numRef>
              <c:f>Charts!$B$12:$D$12</c:f>
              <c:numCache>
                <c:formatCode>General</c:formatCode>
                <c:ptCount val="3"/>
                <c:pt idx="0">
                  <c:v>22.0</c:v>
                </c:pt>
                <c:pt idx="1">
                  <c:v>6.0</c:v>
                </c:pt>
                <c:pt idx="2">
                  <c:v>11.0</c:v>
                </c:pt>
              </c:numCache>
            </c:numRef>
          </c:val>
        </c:ser>
        <c:ser>
          <c:idx val="2"/>
          <c:order val="2"/>
          <c:tx>
            <c:strRef>
              <c:f>Charts!$A$13</c:f>
              <c:strCache>
                <c:ptCount val="1"/>
                <c:pt idx="0">
                  <c:v>Veliki (preko 5 mil. EUR)</c:v>
                </c:pt>
              </c:strCache>
            </c:strRef>
          </c:tx>
          <c:invertIfNegative val="0"/>
          <c:dLbls>
            <c:txPr>
              <a:bodyPr/>
              <a:lstStyle/>
              <a:p>
                <a:pPr>
                  <a:defRPr b="0" i="0">
                    <a:latin typeface="Calibri Light"/>
                    <a:cs typeface="Calibri Light"/>
                  </a:defRPr>
                </a:pPr>
                <a:endParaRPr lang="en-US"/>
              </a:p>
            </c:txPr>
            <c:showLegendKey val="0"/>
            <c:showVal val="1"/>
            <c:showCatName val="0"/>
            <c:showSerName val="0"/>
            <c:showPercent val="0"/>
            <c:showBubbleSize val="0"/>
            <c:showLeaderLines val="0"/>
          </c:dLbls>
          <c:cat>
            <c:strRef>
              <c:f>Charts!$B$10:$D$10</c:f>
              <c:strCache>
                <c:ptCount val="3"/>
                <c:pt idx="0">
                  <c:v>Karlovac</c:v>
                </c:pt>
                <c:pt idx="1">
                  <c:v>Ozalj</c:v>
                </c:pt>
                <c:pt idx="2">
                  <c:v>Duga Resa</c:v>
                </c:pt>
              </c:strCache>
            </c:strRef>
          </c:cat>
          <c:val>
            <c:numRef>
              <c:f>Charts!$B$13:$D$13</c:f>
              <c:numCache>
                <c:formatCode>General</c:formatCode>
                <c:ptCount val="3"/>
                <c:pt idx="0">
                  <c:v>10.0</c:v>
                </c:pt>
                <c:pt idx="1">
                  <c:v>2.0</c:v>
                </c:pt>
                <c:pt idx="2">
                  <c:v>2.0</c:v>
                </c:pt>
              </c:numCache>
            </c:numRef>
          </c:val>
        </c:ser>
        <c:dLbls>
          <c:showLegendKey val="0"/>
          <c:showVal val="0"/>
          <c:showCatName val="0"/>
          <c:showSerName val="0"/>
          <c:showPercent val="0"/>
          <c:showBubbleSize val="0"/>
        </c:dLbls>
        <c:gapWidth val="150"/>
        <c:axId val="2064572440"/>
        <c:axId val="2064575576"/>
      </c:barChart>
      <c:catAx>
        <c:axId val="2064572440"/>
        <c:scaling>
          <c:orientation val="minMax"/>
        </c:scaling>
        <c:delete val="0"/>
        <c:axPos val="b"/>
        <c:majorTickMark val="out"/>
        <c:minorTickMark val="none"/>
        <c:tickLblPos val="nextTo"/>
        <c:txPr>
          <a:bodyPr/>
          <a:lstStyle/>
          <a:p>
            <a:pPr>
              <a:defRPr b="0" i="0">
                <a:latin typeface="Calibri Light"/>
                <a:cs typeface="Calibri Light"/>
              </a:defRPr>
            </a:pPr>
            <a:endParaRPr lang="en-US"/>
          </a:p>
        </c:txPr>
        <c:crossAx val="2064575576"/>
        <c:crosses val="autoZero"/>
        <c:auto val="1"/>
        <c:lblAlgn val="ctr"/>
        <c:lblOffset val="100"/>
        <c:noMultiLvlLbl val="0"/>
      </c:catAx>
      <c:valAx>
        <c:axId val="2064575576"/>
        <c:scaling>
          <c:orientation val="minMax"/>
        </c:scaling>
        <c:delete val="0"/>
        <c:axPos val="l"/>
        <c:majorGridlines/>
        <c:numFmt formatCode="General" sourceLinked="1"/>
        <c:majorTickMark val="out"/>
        <c:minorTickMark val="none"/>
        <c:tickLblPos val="nextTo"/>
        <c:txPr>
          <a:bodyPr/>
          <a:lstStyle/>
          <a:p>
            <a:pPr>
              <a:defRPr b="0" i="0">
                <a:latin typeface="Calibri Light"/>
                <a:cs typeface="Calibri Light"/>
              </a:defRPr>
            </a:pPr>
            <a:endParaRPr lang="en-US"/>
          </a:p>
        </c:txPr>
        <c:crossAx val="2064572440"/>
        <c:crosses val="autoZero"/>
        <c:crossBetween val="between"/>
      </c:valAx>
      <c:spPr>
        <a:solidFill>
          <a:schemeClr val="bg1">
            <a:lumMod val="95000"/>
          </a:schemeClr>
        </a:solidFill>
      </c:spPr>
    </c:plotArea>
    <c:legend>
      <c:legendPos val="r"/>
      <c:overlay val="0"/>
      <c:txPr>
        <a:bodyPr/>
        <a:lstStyle/>
        <a:p>
          <a:pPr>
            <a:defRPr b="0" i="0">
              <a:latin typeface="Calibri Light"/>
              <a:cs typeface="Calibri Light"/>
            </a:defRPr>
          </a:pPr>
          <a:endParaRPr lang="en-U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200" b="1" i="0">
                <a:latin typeface="Calibri Light"/>
                <a:cs typeface="Calibri Light"/>
              </a:defRPr>
            </a:pPr>
            <a:r>
              <a:rPr lang="ta-IN" sz="1200" b="1" i="0">
                <a:latin typeface="Calibri Light"/>
                <a:cs typeface="Calibri Light"/>
              </a:rPr>
              <a:t>Projekti po zrelosti</a:t>
            </a:r>
            <a:endParaRPr lang="en-US" sz="1200" b="1" i="0">
              <a:latin typeface="Calibri Light"/>
              <a:cs typeface="Calibri Light"/>
            </a:endParaRPr>
          </a:p>
        </c:rich>
      </c:tx>
      <c:layout/>
      <c:overlay val="0"/>
    </c:title>
    <c:autoTitleDeleted val="0"/>
    <c:plotArea>
      <c:layout/>
      <c:barChart>
        <c:barDir val="col"/>
        <c:grouping val="clustered"/>
        <c:varyColors val="0"/>
        <c:ser>
          <c:idx val="0"/>
          <c:order val="0"/>
          <c:tx>
            <c:strRef>
              <c:f>Charts!$A$3</c:f>
              <c:strCache>
                <c:ptCount val="1"/>
                <c:pt idx="0">
                  <c:v>I Kategorija</c:v>
                </c:pt>
              </c:strCache>
            </c:strRef>
          </c:tx>
          <c:invertIfNegative val="0"/>
          <c:dLbls>
            <c:txPr>
              <a:bodyPr/>
              <a:lstStyle/>
              <a:p>
                <a:pPr>
                  <a:defRPr b="0" i="0">
                    <a:latin typeface="Calibri Light"/>
                    <a:cs typeface="Calibri Light"/>
                  </a:defRPr>
                </a:pPr>
                <a:endParaRPr lang="en-US"/>
              </a:p>
            </c:txPr>
            <c:showLegendKey val="0"/>
            <c:showVal val="1"/>
            <c:showCatName val="0"/>
            <c:showSerName val="0"/>
            <c:showPercent val="0"/>
            <c:showBubbleSize val="0"/>
            <c:showLeaderLines val="0"/>
          </c:dLbls>
          <c:cat>
            <c:strRef>
              <c:f>Charts!$B$2:$D$2</c:f>
              <c:strCache>
                <c:ptCount val="3"/>
                <c:pt idx="0">
                  <c:v>Karlovac</c:v>
                </c:pt>
                <c:pt idx="1">
                  <c:v>Ozalj</c:v>
                </c:pt>
                <c:pt idx="2">
                  <c:v>Duga Resa</c:v>
                </c:pt>
              </c:strCache>
            </c:strRef>
          </c:cat>
          <c:val>
            <c:numRef>
              <c:f>Charts!$B$3:$D$3</c:f>
              <c:numCache>
                <c:formatCode>General</c:formatCode>
                <c:ptCount val="3"/>
                <c:pt idx="0">
                  <c:v>21.0</c:v>
                </c:pt>
                <c:pt idx="1">
                  <c:v>23.0</c:v>
                </c:pt>
                <c:pt idx="2">
                  <c:v>20.0</c:v>
                </c:pt>
              </c:numCache>
            </c:numRef>
          </c:val>
        </c:ser>
        <c:ser>
          <c:idx val="1"/>
          <c:order val="1"/>
          <c:tx>
            <c:strRef>
              <c:f>Charts!$A$4</c:f>
              <c:strCache>
                <c:ptCount val="1"/>
                <c:pt idx="0">
                  <c:v>II Kategorija</c:v>
                </c:pt>
              </c:strCache>
            </c:strRef>
          </c:tx>
          <c:invertIfNegative val="0"/>
          <c:dLbls>
            <c:txPr>
              <a:bodyPr/>
              <a:lstStyle/>
              <a:p>
                <a:pPr>
                  <a:defRPr b="0" i="0">
                    <a:latin typeface="Calibri Light"/>
                    <a:cs typeface="Calibri Light"/>
                  </a:defRPr>
                </a:pPr>
                <a:endParaRPr lang="en-US"/>
              </a:p>
            </c:txPr>
            <c:showLegendKey val="0"/>
            <c:showVal val="1"/>
            <c:showCatName val="0"/>
            <c:showSerName val="0"/>
            <c:showPercent val="0"/>
            <c:showBubbleSize val="0"/>
            <c:showLeaderLines val="0"/>
          </c:dLbls>
          <c:cat>
            <c:strRef>
              <c:f>Charts!$B$2:$D$2</c:f>
              <c:strCache>
                <c:ptCount val="3"/>
                <c:pt idx="0">
                  <c:v>Karlovac</c:v>
                </c:pt>
                <c:pt idx="1">
                  <c:v>Ozalj</c:v>
                </c:pt>
                <c:pt idx="2">
                  <c:v>Duga Resa</c:v>
                </c:pt>
              </c:strCache>
            </c:strRef>
          </c:cat>
          <c:val>
            <c:numRef>
              <c:f>Charts!$B$4:$D$4</c:f>
              <c:numCache>
                <c:formatCode>General</c:formatCode>
                <c:ptCount val="3"/>
                <c:pt idx="0">
                  <c:v>13.0</c:v>
                </c:pt>
                <c:pt idx="1">
                  <c:v>12.0</c:v>
                </c:pt>
                <c:pt idx="2">
                  <c:v>20.0</c:v>
                </c:pt>
              </c:numCache>
            </c:numRef>
          </c:val>
        </c:ser>
        <c:ser>
          <c:idx val="2"/>
          <c:order val="2"/>
          <c:tx>
            <c:strRef>
              <c:f>Charts!$A$5</c:f>
              <c:strCache>
                <c:ptCount val="1"/>
                <c:pt idx="0">
                  <c:v>III Kategorija</c:v>
                </c:pt>
              </c:strCache>
            </c:strRef>
          </c:tx>
          <c:invertIfNegative val="0"/>
          <c:dLbls>
            <c:txPr>
              <a:bodyPr/>
              <a:lstStyle/>
              <a:p>
                <a:pPr>
                  <a:defRPr b="0" i="0">
                    <a:latin typeface="Calibri Light"/>
                    <a:cs typeface="Calibri Light"/>
                  </a:defRPr>
                </a:pPr>
                <a:endParaRPr lang="en-US"/>
              </a:p>
            </c:txPr>
            <c:showLegendKey val="0"/>
            <c:showVal val="1"/>
            <c:showCatName val="0"/>
            <c:showSerName val="0"/>
            <c:showPercent val="0"/>
            <c:showBubbleSize val="0"/>
            <c:showLeaderLines val="0"/>
          </c:dLbls>
          <c:cat>
            <c:strRef>
              <c:f>Charts!$B$2:$D$2</c:f>
              <c:strCache>
                <c:ptCount val="3"/>
                <c:pt idx="0">
                  <c:v>Karlovac</c:v>
                </c:pt>
                <c:pt idx="1">
                  <c:v>Ozalj</c:v>
                </c:pt>
                <c:pt idx="2">
                  <c:v>Duga Resa</c:v>
                </c:pt>
              </c:strCache>
            </c:strRef>
          </c:cat>
          <c:val>
            <c:numRef>
              <c:f>Charts!$B$5:$D$5</c:f>
              <c:numCache>
                <c:formatCode>General</c:formatCode>
                <c:ptCount val="3"/>
                <c:pt idx="0">
                  <c:v>22.0</c:v>
                </c:pt>
                <c:pt idx="1">
                  <c:v>23.0</c:v>
                </c:pt>
                <c:pt idx="2">
                  <c:v>11.0</c:v>
                </c:pt>
              </c:numCache>
            </c:numRef>
          </c:val>
        </c:ser>
        <c:dLbls>
          <c:showLegendKey val="0"/>
          <c:showVal val="0"/>
          <c:showCatName val="0"/>
          <c:showSerName val="0"/>
          <c:showPercent val="0"/>
          <c:showBubbleSize val="0"/>
        </c:dLbls>
        <c:gapWidth val="150"/>
        <c:axId val="2064615800"/>
        <c:axId val="2064618936"/>
      </c:barChart>
      <c:catAx>
        <c:axId val="2064615800"/>
        <c:scaling>
          <c:orientation val="minMax"/>
        </c:scaling>
        <c:delete val="0"/>
        <c:axPos val="b"/>
        <c:majorTickMark val="out"/>
        <c:minorTickMark val="none"/>
        <c:tickLblPos val="nextTo"/>
        <c:txPr>
          <a:bodyPr/>
          <a:lstStyle/>
          <a:p>
            <a:pPr>
              <a:defRPr b="0" i="0">
                <a:latin typeface="Calibri Light"/>
                <a:cs typeface="Calibri Light"/>
              </a:defRPr>
            </a:pPr>
            <a:endParaRPr lang="en-US"/>
          </a:p>
        </c:txPr>
        <c:crossAx val="2064618936"/>
        <c:crosses val="autoZero"/>
        <c:auto val="1"/>
        <c:lblAlgn val="ctr"/>
        <c:lblOffset val="100"/>
        <c:noMultiLvlLbl val="0"/>
      </c:catAx>
      <c:valAx>
        <c:axId val="2064618936"/>
        <c:scaling>
          <c:orientation val="minMax"/>
        </c:scaling>
        <c:delete val="0"/>
        <c:axPos val="l"/>
        <c:majorGridlines/>
        <c:numFmt formatCode="General" sourceLinked="1"/>
        <c:majorTickMark val="out"/>
        <c:minorTickMark val="none"/>
        <c:tickLblPos val="nextTo"/>
        <c:txPr>
          <a:bodyPr/>
          <a:lstStyle/>
          <a:p>
            <a:pPr>
              <a:defRPr b="0" i="0">
                <a:latin typeface="Calibri Light"/>
                <a:cs typeface="Calibri Light"/>
              </a:defRPr>
            </a:pPr>
            <a:endParaRPr lang="en-US"/>
          </a:p>
        </c:txPr>
        <c:crossAx val="2064615800"/>
        <c:crosses val="autoZero"/>
        <c:crossBetween val="between"/>
      </c:valAx>
      <c:spPr>
        <a:solidFill>
          <a:srgbClr val="F2F2F2"/>
        </a:solidFill>
      </c:spPr>
    </c:plotArea>
    <c:legend>
      <c:legendPos val="r"/>
      <c:layout/>
      <c:overlay val="0"/>
      <c:txPr>
        <a:bodyPr/>
        <a:lstStyle/>
        <a:p>
          <a:pPr>
            <a:defRPr b="0" i="0">
              <a:latin typeface="Calibri Light"/>
              <a:cs typeface="Calibri Light"/>
            </a:defRPr>
          </a:pPr>
          <a:endParaRPr lang="en-US"/>
        </a:p>
      </c:txPr>
    </c:legend>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C03AA5-0FB9-3946-8D41-788F92E61529}" type="doc">
      <dgm:prSet loTypeId="urn:microsoft.com/office/officeart/2005/8/layout/orgChart1" loCatId="" qsTypeId="urn:microsoft.com/office/officeart/2005/8/quickstyle/simple4" qsCatId="simple" csTypeId="urn:microsoft.com/office/officeart/2005/8/colors/accent1_2" csCatId="accent1" phldr="1"/>
      <dgm:spPr/>
      <dgm:t>
        <a:bodyPr/>
        <a:lstStyle/>
        <a:p>
          <a:endParaRPr lang="en-US"/>
        </a:p>
      </dgm:t>
    </dgm:pt>
    <dgm:pt modelId="{EF6E7128-3167-DC4D-B749-00C44B0290D7}">
      <dgm:prSet phldrT="[Text]" custT="1">
        <dgm:style>
          <a:lnRef idx="2">
            <a:schemeClr val="accent4">
              <a:shade val="50000"/>
            </a:schemeClr>
          </a:lnRef>
          <a:fillRef idx="1">
            <a:schemeClr val="accent4"/>
          </a:fillRef>
          <a:effectRef idx="0">
            <a:schemeClr val="accent4"/>
          </a:effectRef>
          <a:fontRef idx="minor">
            <a:schemeClr val="lt1"/>
          </a:fontRef>
        </dgm:style>
      </dgm:prSet>
      <dgm:spPr/>
      <dgm:t>
        <a:bodyPr/>
        <a:lstStyle/>
        <a:p>
          <a:r>
            <a:rPr lang="hr-HR" sz="1100" b="1" i="0">
              <a:latin typeface="Calibri Light"/>
              <a:cs typeface="Calibri Light"/>
            </a:rPr>
            <a:t>Strateški cilj 1. Revitalizane urbane cjeline VUPKA</a:t>
          </a:r>
          <a:endParaRPr lang="en-US" sz="1100" b="1" i="0">
            <a:latin typeface="Calibri Light"/>
            <a:cs typeface="Calibri Light"/>
          </a:endParaRPr>
        </a:p>
      </dgm:t>
    </dgm:pt>
    <dgm:pt modelId="{B6F2E70F-74B2-A144-8CBE-F2DC1E19F3BF}" type="parTrans" cxnId="{8F53917B-DC2B-8D4B-B069-4591F9653067}">
      <dgm:prSet/>
      <dgm:spPr/>
      <dgm:t>
        <a:bodyPr/>
        <a:lstStyle/>
        <a:p>
          <a:endParaRPr lang="en-US" sz="1600" b="0" i="0">
            <a:latin typeface="Calibri Light"/>
            <a:cs typeface="Calibri Light"/>
          </a:endParaRPr>
        </a:p>
      </dgm:t>
    </dgm:pt>
    <dgm:pt modelId="{14823EB6-57AE-994D-9554-9CF401DD328E}" type="sibTrans" cxnId="{8F53917B-DC2B-8D4B-B069-4591F9653067}">
      <dgm:prSet/>
      <dgm:spPr/>
      <dgm:t>
        <a:bodyPr/>
        <a:lstStyle/>
        <a:p>
          <a:endParaRPr lang="en-US" sz="1600" b="0" i="0">
            <a:latin typeface="Calibri Light"/>
            <a:cs typeface="Calibri Light"/>
          </a:endParaRPr>
        </a:p>
      </dgm:t>
    </dgm:pt>
    <dgm:pt modelId="{FE9144A1-6C5D-784B-8B8E-F34B3E57CB75}">
      <dgm:prSet phldrT="[Text]" custT="1">
        <dgm:style>
          <a:lnRef idx="2">
            <a:schemeClr val="accent5"/>
          </a:lnRef>
          <a:fillRef idx="1">
            <a:schemeClr val="lt1"/>
          </a:fillRef>
          <a:effectRef idx="0">
            <a:schemeClr val="accent5"/>
          </a:effectRef>
          <a:fontRef idx="minor">
            <a:schemeClr val="dk1"/>
          </a:fontRef>
        </dgm:style>
      </dgm:prSet>
      <dgm:spPr/>
      <dgm:t>
        <a:bodyPr/>
        <a:lstStyle/>
        <a:p>
          <a:r>
            <a:rPr lang="ta-IN" sz="1000" b="0" i="0">
              <a:latin typeface="Calibri Light"/>
              <a:cs typeface="Calibri Light"/>
            </a:rPr>
            <a:t>SC3.</a:t>
          </a:r>
          <a:r>
            <a:rPr lang="hr-HR" sz="1000" b="0" i="0">
              <a:latin typeface="Calibri Light"/>
              <a:cs typeface="Calibri Light"/>
            </a:rPr>
            <a:t>P1 </a:t>
          </a:r>
          <a:r>
            <a:rPr lang="ta-IN" sz="1000" b="0" i="0">
              <a:latin typeface="Calibri Light"/>
              <a:cs typeface="Calibri Light"/>
            </a:rPr>
            <a:t>Podrška malom i srednjem poduzetništvu</a:t>
          </a:r>
          <a:endParaRPr lang="en-US" sz="1000" b="0" i="0">
            <a:latin typeface="Calibri Light"/>
            <a:cs typeface="Calibri Light"/>
          </a:endParaRPr>
        </a:p>
      </dgm:t>
    </dgm:pt>
    <dgm:pt modelId="{DC21892E-FC9D-2544-B7BD-741ADB9ACC64}" type="parTrans" cxnId="{0C43F8FA-87BC-9447-8A3C-FD1EF6BE1788}">
      <dgm:prSet/>
      <dgm:spPr>
        <a:ln>
          <a:solidFill>
            <a:srgbClr val="403152"/>
          </a:solidFill>
        </a:ln>
      </dgm:spPr>
      <dgm:t>
        <a:bodyPr/>
        <a:lstStyle/>
        <a:p>
          <a:endParaRPr lang="en-US" sz="1600" b="0" i="0">
            <a:latin typeface="Calibri Light"/>
            <a:cs typeface="Calibri Light"/>
          </a:endParaRPr>
        </a:p>
      </dgm:t>
    </dgm:pt>
    <dgm:pt modelId="{33569879-757B-6747-9B06-EBCE4E988F99}" type="sibTrans" cxnId="{0C43F8FA-87BC-9447-8A3C-FD1EF6BE1788}">
      <dgm:prSet/>
      <dgm:spPr/>
      <dgm:t>
        <a:bodyPr/>
        <a:lstStyle/>
        <a:p>
          <a:endParaRPr lang="en-US" sz="1600" b="0" i="0">
            <a:latin typeface="Calibri Light"/>
            <a:cs typeface="Calibri Light"/>
          </a:endParaRPr>
        </a:p>
      </dgm:t>
    </dgm:pt>
    <dgm:pt modelId="{A5266370-2C11-A744-A727-C7AEF9571BF1}">
      <dgm:prSet phldrT="[Text]" custT="1">
        <dgm:style>
          <a:lnRef idx="2">
            <a:schemeClr val="accent5"/>
          </a:lnRef>
          <a:fillRef idx="1">
            <a:schemeClr val="lt1"/>
          </a:fillRef>
          <a:effectRef idx="0">
            <a:schemeClr val="accent5"/>
          </a:effectRef>
          <a:fontRef idx="minor">
            <a:schemeClr val="dk1"/>
          </a:fontRef>
        </dgm:style>
      </dgm:prSet>
      <dgm:spPr/>
      <dgm:t>
        <a:bodyPr/>
        <a:lstStyle/>
        <a:p>
          <a:r>
            <a:rPr lang="ta-IN" sz="1000" b="0" i="0">
              <a:latin typeface="Calibri Light"/>
              <a:cs typeface="Calibri Light"/>
            </a:rPr>
            <a:t>SC3.</a:t>
          </a:r>
          <a:r>
            <a:rPr lang="hr-HR" sz="1000" b="0" i="0">
              <a:latin typeface="Calibri Light"/>
              <a:cs typeface="Calibri Light"/>
            </a:rPr>
            <a:t>P2 </a:t>
          </a:r>
          <a:r>
            <a:rPr lang="ta-IN" sz="1000" b="0" i="0">
              <a:latin typeface="Calibri Light"/>
              <a:cs typeface="Calibri Light"/>
            </a:rPr>
            <a:t>Razvoj vještina, znanja i kapaciteta za moderno gospodarstvo</a:t>
          </a:r>
          <a:endParaRPr lang="en-US" sz="1000" b="0" i="0">
            <a:latin typeface="Calibri Light"/>
            <a:cs typeface="Calibri Light"/>
          </a:endParaRPr>
        </a:p>
      </dgm:t>
    </dgm:pt>
    <dgm:pt modelId="{111AB15A-0A0F-2442-8392-250166A6338E}" type="parTrans" cxnId="{F77A2ABC-A810-894B-B990-7A158DD8A21F}">
      <dgm:prSet/>
      <dgm:spPr>
        <a:ln>
          <a:solidFill>
            <a:srgbClr val="403152"/>
          </a:solidFill>
        </a:ln>
      </dgm:spPr>
      <dgm:t>
        <a:bodyPr/>
        <a:lstStyle/>
        <a:p>
          <a:endParaRPr lang="en-US" sz="1600" b="0" i="0">
            <a:latin typeface="Calibri Light"/>
            <a:cs typeface="Calibri Light"/>
          </a:endParaRPr>
        </a:p>
      </dgm:t>
    </dgm:pt>
    <dgm:pt modelId="{694D8A5F-F4D0-6645-9B0A-F91DE7C02AB7}" type="sibTrans" cxnId="{F77A2ABC-A810-894B-B990-7A158DD8A21F}">
      <dgm:prSet/>
      <dgm:spPr/>
      <dgm:t>
        <a:bodyPr/>
        <a:lstStyle/>
        <a:p>
          <a:endParaRPr lang="en-US" sz="1600" b="0" i="0">
            <a:latin typeface="Calibri Light"/>
            <a:cs typeface="Calibri Light"/>
          </a:endParaRPr>
        </a:p>
      </dgm:t>
    </dgm:pt>
    <dgm:pt modelId="{C3A26D8A-E880-2642-9109-447A2C6D553D}">
      <dgm:prSet phldrT="[Text]" custT="1">
        <dgm:style>
          <a:lnRef idx="2">
            <a:schemeClr val="accent2">
              <a:shade val="50000"/>
            </a:schemeClr>
          </a:lnRef>
          <a:fillRef idx="1">
            <a:schemeClr val="accent2"/>
          </a:fillRef>
          <a:effectRef idx="0">
            <a:schemeClr val="accent2"/>
          </a:effectRef>
          <a:fontRef idx="minor">
            <a:schemeClr val="lt1"/>
          </a:fontRef>
        </dgm:style>
      </dgm:prSet>
      <dgm:spPr/>
      <dgm:t>
        <a:bodyPr/>
        <a:lstStyle/>
        <a:p>
          <a:r>
            <a:rPr lang="hr-HR" sz="1100" b="1" i="0">
              <a:latin typeface="Calibri Light"/>
              <a:cs typeface="Calibri Light"/>
            </a:rPr>
            <a:t>Strateški cilj 2. Velika infrastruktura za </a:t>
          </a:r>
          <a:r>
            <a:rPr lang="ta-IN" sz="1100" b="1" i="0">
              <a:latin typeface="Calibri Light"/>
              <a:cs typeface="Calibri Light"/>
            </a:rPr>
            <a:t>održivi </a:t>
          </a:r>
          <a:r>
            <a:rPr lang="hr-HR" sz="1100" b="1" i="0">
              <a:latin typeface="Calibri Light"/>
              <a:cs typeface="Calibri Light"/>
            </a:rPr>
            <a:t>razvoj</a:t>
          </a:r>
          <a:endParaRPr lang="en-US" sz="1100" b="1" i="0">
            <a:latin typeface="Calibri Light"/>
            <a:cs typeface="Calibri Light"/>
          </a:endParaRPr>
        </a:p>
      </dgm:t>
    </dgm:pt>
    <dgm:pt modelId="{1CF626C3-3645-6F42-AE85-67F0ADB52B21}" type="parTrans" cxnId="{5F1BFAA6-B39E-3244-A10C-198AD6CA1175}">
      <dgm:prSet/>
      <dgm:spPr/>
      <dgm:t>
        <a:bodyPr/>
        <a:lstStyle/>
        <a:p>
          <a:endParaRPr lang="en-US"/>
        </a:p>
      </dgm:t>
    </dgm:pt>
    <dgm:pt modelId="{B314F44B-43E6-0F4A-8E9F-C0B98D8A5692}" type="sibTrans" cxnId="{5F1BFAA6-B39E-3244-A10C-198AD6CA1175}">
      <dgm:prSet/>
      <dgm:spPr/>
      <dgm:t>
        <a:bodyPr/>
        <a:lstStyle/>
        <a:p>
          <a:endParaRPr lang="en-US"/>
        </a:p>
      </dgm:t>
    </dgm:pt>
    <dgm:pt modelId="{1A654E76-FD8F-AA4F-B131-65C5D86D7486}">
      <dgm:prSet phldrT="[Text]" custT="1">
        <dgm:style>
          <a:lnRef idx="2">
            <a:schemeClr val="accent5">
              <a:shade val="50000"/>
            </a:schemeClr>
          </a:lnRef>
          <a:fillRef idx="1">
            <a:schemeClr val="accent5"/>
          </a:fillRef>
          <a:effectRef idx="0">
            <a:schemeClr val="accent5"/>
          </a:effectRef>
          <a:fontRef idx="minor">
            <a:schemeClr val="lt1"/>
          </a:fontRef>
        </dgm:style>
      </dgm:prSet>
      <dgm:spPr/>
      <dgm:t>
        <a:bodyPr/>
        <a:lstStyle/>
        <a:p>
          <a:r>
            <a:rPr lang="ta-IN" sz="1100" b="1" i="0">
              <a:latin typeface="Calibri Light"/>
              <a:cs typeface="Calibri Light"/>
            </a:rPr>
            <a:t>Strateški cilj 3. Konkurentno i moderno gospodarstvo VUPKA</a:t>
          </a:r>
          <a:endParaRPr lang="en-US" sz="1100" b="1" i="0">
            <a:latin typeface="Calibri Light"/>
            <a:cs typeface="Calibri Light"/>
          </a:endParaRPr>
        </a:p>
      </dgm:t>
    </dgm:pt>
    <dgm:pt modelId="{B320909A-0C02-A14E-960B-E2FC62518B9C}" type="parTrans" cxnId="{EDDBE887-8609-7F47-9435-5B8DD0210E79}">
      <dgm:prSet/>
      <dgm:spPr/>
      <dgm:t>
        <a:bodyPr/>
        <a:lstStyle/>
        <a:p>
          <a:endParaRPr lang="en-US"/>
        </a:p>
      </dgm:t>
    </dgm:pt>
    <dgm:pt modelId="{D40546F7-342E-E94F-A248-2F6942893791}" type="sibTrans" cxnId="{EDDBE887-8609-7F47-9435-5B8DD0210E79}">
      <dgm:prSet/>
      <dgm:spPr/>
      <dgm:t>
        <a:bodyPr/>
        <a:lstStyle/>
        <a:p>
          <a:endParaRPr lang="en-US"/>
        </a:p>
      </dgm:t>
    </dgm:pt>
    <dgm:pt modelId="{B4840396-EAEA-2D4B-BF25-890DCCD155BA}">
      <dgm:prSet phldrT="[Text]" custT="1">
        <dgm:style>
          <a:lnRef idx="2">
            <a:schemeClr val="accent4"/>
          </a:lnRef>
          <a:fillRef idx="1">
            <a:schemeClr val="lt1"/>
          </a:fillRef>
          <a:effectRef idx="0">
            <a:schemeClr val="accent4"/>
          </a:effectRef>
          <a:fontRef idx="minor">
            <a:schemeClr val="dk1"/>
          </a:fontRef>
        </dgm:style>
      </dgm:prSet>
      <dgm:spPr/>
      <dgm:t>
        <a:bodyPr/>
        <a:lstStyle/>
        <a:p>
          <a:r>
            <a:rPr lang="ta-IN" sz="1000" b="0" i="0">
              <a:latin typeface="Calibri Light"/>
              <a:cs typeface="Calibri Light"/>
            </a:rPr>
            <a:t>SC1.</a:t>
          </a:r>
          <a:r>
            <a:rPr lang="hr-HR" sz="1000" b="0" i="0">
              <a:latin typeface="Calibri Light"/>
              <a:cs typeface="Calibri Light"/>
            </a:rPr>
            <a:t>P1 </a:t>
          </a:r>
          <a:r>
            <a:rPr lang="ta-IN" sz="1000" b="0" i="0">
              <a:latin typeface="Calibri Light"/>
              <a:cs typeface="Calibri Light"/>
            </a:rPr>
            <a:t>Obnova urbanih gradskih jezgri</a:t>
          </a:r>
          <a:endParaRPr lang="en-US" sz="1000" b="0" i="0">
            <a:latin typeface="Calibri Light"/>
            <a:cs typeface="Calibri Light"/>
          </a:endParaRPr>
        </a:p>
      </dgm:t>
    </dgm:pt>
    <dgm:pt modelId="{B04014A3-D142-DC49-8E2D-B2E8081C3C67}" type="parTrans" cxnId="{1CB5139D-8C3F-4747-8B10-2709CD949DA6}">
      <dgm:prSet/>
      <dgm:spPr/>
      <dgm:t>
        <a:bodyPr/>
        <a:lstStyle/>
        <a:p>
          <a:endParaRPr lang="en-US"/>
        </a:p>
      </dgm:t>
    </dgm:pt>
    <dgm:pt modelId="{3513C6C5-E9FC-1249-A1CE-688658FBC096}" type="sibTrans" cxnId="{1CB5139D-8C3F-4747-8B10-2709CD949DA6}">
      <dgm:prSet/>
      <dgm:spPr/>
      <dgm:t>
        <a:bodyPr/>
        <a:lstStyle/>
        <a:p>
          <a:endParaRPr lang="en-US"/>
        </a:p>
      </dgm:t>
    </dgm:pt>
    <dgm:pt modelId="{512D7DE5-9F3B-B747-900E-F81E23AD26A0}">
      <dgm:prSet phldrT="[Text]" custT="1">
        <dgm:style>
          <a:lnRef idx="2">
            <a:schemeClr val="accent4"/>
          </a:lnRef>
          <a:fillRef idx="1">
            <a:schemeClr val="lt1"/>
          </a:fillRef>
          <a:effectRef idx="0">
            <a:schemeClr val="accent4"/>
          </a:effectRef>
          <a:fontRef idx="minor">
            <a:schemeClr val="dk1"/>
          </a:fontRef>
        </dgm:style>
      </dgm:prSet>
      <dgm:spPr/>
      <dgm:t>
        <a:bodyPr/>
        <a:lstStyle/>
        <a:p>
          <a:r>
            <a:rPr lang="ta-IN" sz="1000" b="0" i="0">
              <a:latin typeface="Calibri Light"/>
              <a:cs typeface="Calibri Light"/>
            </a:rPr>
            <a:t>SC1.</a:t>
          </a:r>
          <a:r>
            <a:rPr lang="hr-HR" sz="1000" b="0" i="0">
              <a:latin typeface="Calibri Light"/>
              <a:cs typeface="Calibri Light"/>
            </a:rPr>
            <a:t>P2 Razvoj sadržaja za revitalizaciju gospodarskog i društvenog života</a:t>
          </a:r>
          <a:endParaRPr lang="en-US" sz="1000" b="0" i="0">
            <a:latin typeface="Calibri Light"/>
            <a:cs typeface="Calibri Light"/>
          </a:endParaRPr>
        </a:p>
      </dgm:t>
    </dgm:pt>
    <dgm:pt modelId="{E4E09ED6-C0DC-F943-8909-188BF0A87EF1}" type="parTrans" cxnId="{D1A6DF44-D73B-8D42-A732-E215CE395401}">
      <dgm:prSet/>
      <dgm:spPr/>
      <dgm:t>
        <a:bodyPr/>
        <a:lstStyle/>
        <a:p>
          <a:endParaRPr lang="en-US"/>
        </a:p>
      </dgm:t>
    </dgm:pt>
    <dgm:pt modelId="{9994E59C-B9A1-8E44-9AD0-C316AE3FC33D}" type="sibTrans" cxnId="{D1A6DF44-D73B-8D42-A732-E215CE395401}">
      <dgm:prSet/>
      <dgm:spPr/>
      <dgm:t>
        <a:bodyPr/>
        <a:lstStyle/>
        <a:p>
          <a:endParaRPr lang="en-US"/>
        </a:p>
      </dgm:t>
    </dgm:pt>
    <dgm:pt modelId="{4652FCCA-8750-0D40-933C-6137A0AF0E99}">
      <dgm:prSet phldrT="[Text]" custT="1">
        <dgm:style>
          <a:lnRef idx="2">
            <a:schemeClr val="accent2"/>
          </a:lnRef>
          <a:fillRef idx="1">
            <a:schemeClr val="lt1"/>
          </a:fillRef>
          <a:effectRef idx="0">
            <a:schemeClr val="accent2"/>
          </a:effectRef>
          <a:fontRef idx="minor">
            <a:schemeClr val="dk1"/>
          </a:fontRef>
        </dgm:style>
      </dgm:prSet>
      <dgm:spPr/>
      <dgm:t>
        <a:bodyPr/>
        <a:lstStyle/>
        <a:p>
          <a:r>
            <a:rPr lang="ta-IN" sz="1000" b="0" i="0">
              <a:latin typeface="Calibri Light"/>
              <a:cs typeface="Calibri Light"/>
            </a:rPr>
            <a:t>SC2.P1 Unaprijeđenje energetske infrastrukture</a:t>
          </a:r>
          <a:endParaRPr lang="en-US" sz="1000" b="0" i="0">
            <a:latin typeface="Calibri Light"/>
            <a:cs typeface="Calibri Light"/>
          </a:endParaRPr>
        </a:p>
      </dgm:t>
    </dgm:pt>
    <dgm:pt modelId="{BE6C7E55-A580-8547-AF0D-868416D49D53}" type="parTrans" cxnId="{42E6FC04-8B99-5742-9564-5E1B03C36145}">
      <dgm:prSet/>
      <dgm:spPr/>
      <dgm:t>
        <a:bodyPr/>
        <a:lstStyle/>
        <a:p>
          <a:endParaRPr lang="en-US"/>
        </a:p>
      </dgm:t>
    </dgm:pt>
    <dgm:pt modelId="{F6622E2A-8CE3-1D48-9933-7DBF71E285D0}" type="sibTrans" cxnId="{42E6FC04-8B99-5742-9564-5E1B03C36145}">
      <dgm:prSet/>
      <dgm:spPr/>
      <dgm:t>
        <a:bodyPr/>
        <a:lstStyle/>
        <a:p>
          <a:endParaRPr lang="en-US"/>
        </a:p>
      </dgm:t>
    </dgm:pt>
    <dgm:pt modelId="{C7B71EF1-6C71-924B-B194-AC035107C156}">
      <dgm:prSet phldrT="[Text]" custT="1">
        <dgm:style>
          <a:lnRef idx="2">
            <a:schemeClr val="accent2"/>
          </a:lnRef>
          <a:fillRef idx="1">
            <a:schemeClr val="lt1"/>
          </a:fillRef>
          <a:effectRef idx="0">
            <a:schemeClr val="accent2"/>
          </a:effectRef>
          <a:fontRef idx="minor">
            <a:schemeClr val="dk1"/>
          </a:fontRef>
        </dgm:style>
      </dgm:prSet>
      <dgm:spPr/>
      <dgm:t>
        <a:bodyPr/>
        <a:lstStyle/>
        <a:p>
          <a:r>
            <a:rPr lang="ta-IN" sz="1000" b="0" i="0">
              <a:latin typeface="Calibri Light"/>
              <a:cs typeface="Calibri Light"/>
            </a:rPr>
            <a:t>SC2.P2 Poboljšanje mobilnosti i pristupačnosti</a:t>
          </a:r>
          <a:endParaRPr lang="en-US" sz="1000" b="0" i="0">
            <a:latin typeface="Calibri Light"/>
            <a:cs typeface="Calibri Light"/>
          </a:endParaRPr>
        </a:p>
      </dgm:t>
    </dgm:pt>
    <dgm:pt modelId="{24121343-A23E-D046-A39C-DEC0EEC41F64}" type="parTrans" cxnId="{31EA717C-EABB-3F46-BBA1-7B45461A5A4F}">
      <dgm:prSet/>
      <dgm:spPr/>
      <dgm:t>
        <a:bodyPr/>
        <a:lstStyle/>
        <a:p>
          <a:endParaRPr lang="en-US"/>
        </a:p>
      </dgm:t>
    </dgm:pt>
    <dgm:pt modelId="{F4D5D79E-709C-BD48-BB59-594C2AE23D49}" type="sibTrans" cxnId="{31EA717C-EABB-3F46-BBA1-7B45461A5A4F}">
      <dgm:prSet/>
      <dgm:spPr/>
      <dgm:t>
        <a:bodyPr/>
        <a:lstStyle/>
        <a:p>
          <a:endParaRPr lang="en-US"/>
        </a:p>
      </dgm:t>
    </dgm:pt>
    <dgm:pt modelId="{83256D5A-47B7-344B-83FA-76BC7A825F48}">
      <dgm:prSet phldrT="[Text]" custT="1">
        <dgm:style>
          <a:lnRef idx="2">
            <a:schemeClr val="accent2"/>
          </a:lnRef>
          <a:fillRef idx="1">
            <a:schemeClr val="lt1"/>
          </a:fillRef>
          <a:effectRef idx="0">
            <a:schemeClr val="accent2"/>
          </a:effectRef>
          <a:fontRef idx="minor">
            <a:schemeClr val="dk1"/>
          </a:fontRef>
        </dgm:style>
      </dgm:prSet>
      <dgm:spPr/>
      <dgm:t>
        <a:bodyPr/>
        <a:lstStyle/>
        <a:p>
          <a:r>
            <a:rPr lang="ta-IN" sz="1000" b="0" i="0">
              <a:latin typeface="Calibri Light"/>
              <a:cs typeface="Calibri Light"/>
            </a:rPr>
            <a:t>SC2.P3 Vodna i komunalna infrastruktura</a:t>
          </a:r>
          <a:endParaRPr lang="en-US" sz="1000" b="0" i="0">
            <a:latin typeface="Calibri Light"/>
            <a:cs typeface="Calibri Light"/>
          </a:endParaRPr>
        </a:p>
      </dgm:t>
    </dgm:pt>
    <dgm:pt modelId="{46D547A0-125B-E24A-95D3-18A97DD94D0F}" type="parTrans" cxnId="{2FB5B0FB-9C7B-3542-A839-161180B9C1C1}">
      <dgm:prSet/>
      <dgm:spPr/>
      <dgm:t>
        <a:bodyPr/>
        <a:lstStyle/>
        <a:p>
          <a:endParaRPr lang="en-US"/>
        </a:p>
      </dgm:t>
    </dgm:pt>
    <dgm:pt modelId="{E9FC3285-8499-4F4C-9AE4-DFB89297FD2B}" type="sibTrans" cxnId="{2FB5B0FB-9C7B-3542-A839-161180B9C1C1}">
      <dgm:prSet/>
      <dgm:spPr/>
      <dgm:t>
        <a:bodyPr/>
        <a:lstStyle/>
        <a:p>
          <a:endParaRPr lang="en-US"/>
        </a:p>
      </dgm:t>
    </dgm:pt>
    <dgm:pt modelId="{6D5BD3B7-A8EC-1E41-A15A-DF35F88230FB}">
      <dgm:prSet phldrT="[Text]" custT="1">
        <dgm:style>
          <a:lnRef idx="2">
            <a:schemeClr val="accent5"/>
          </a:lnRef>
          <a:fillRef idx="1">
            <a:schemeClr val="lt1"/>
          </a:fillRef>
          <a:effectRef idx="0">
            <a:schemeClr val="accent5"/>
          </a:effectRef>
          <a:fontRef idx="minor">
            <a:schemeClr val="dk1"/>
          </a:fontRef>
        </dgm:style>
      </dgm:prSet>
      <dgm:spPr/>
      <dgm:t>
        <a:bodyPr/>
        <a:lstStyle/>
        <a:p>
          <a:r>
            <a:rPr lang="ta-IN" sz="1000" b="0" i="0">
              <a:latin typeface="Calibri Light"/>
              <a:cs typeface="Calibri Light"/>
            </a:rPr>
            <a:t>SC3.P3 Razvoj održive bio-ekonomije</a:t>
          </a:r>
          <a:endParaRPr lang="en-US" sz="1000" b="0" i="0">
            <a:latin typeface="Calibri Light"/>
            <a:cs typeface="Calibri Light"/>
          </a:endParaRPr>
        </a:p>
      </dgm:t>
    </dgm:pt>
    <dgm:pt modelId="{C89C527C-4A15-A540-8416-CD85E97F5DC6}" type="parTrans" cxnId="{859669B7-DD63-564A-8522-B6DC44D15EFA}">
      <dgm:prSet/>
      <dgm:spPr/>
      <dgm:t>
        <a:bodyPr/>
        <a:lstStyle/>
        <a:p>
          <a:endParaRPr lang="en-US"/>
        </a:p>
      </dgm:t>
    </dgm:pt>
    <dgm:pt modelId="{698C39DB-DB32-8A4A-B769-E2A1CD1C34B6}" type="sibTrans" cxnId="{859669B7-DD63-564A-8522-B6DC44D15EFA}">
      <dgm:prSet/>
      <dgm:spPr/>
      <dgm:t>
        <a:bodyPr/>
        <a:lstStyle/>
        <a:p>
          <a:endParaRPr lang="en-US"/>
        </a:p>
      </dgm:t>
    </dgm:pt>
    <dgm:pt modelId="{97E42E62-79AF-B14C-9420-ADF7A4A292A5}">
      <dgm:prSet phldrT="[Text]" custT="1">
        <dgm:style>
          <a:lnRef idx="1">
            <a:schemeClr val="accent4"/>
          </a:lnRef>
          <a:fillRef idx="2">
            <a:schemeClr val="accent4"/>
          </a:fillRef>
          <a:effectRef idx="1">
            <a:schemeClr val="accent4"/>
          </a:effectRef>
          <a:fontRef idx="minor">
            <a:schemeClr val="dk1"/>
          </a:fontRef>
        </dgm:style>
      </dgm:prSet>
      <dgm:spPr/>
      <dgm:t>
        <a:bodyPr/>
        <a:lstStyle/>
        <a:p>
          <a:r>
            <a:rPr lang="ta-IN" sz="900" b="0" i="0">
              <a:latin typeface="Calibri Light"/>
              <a:cs typeface="Calibri Light"/>
            </a:rPr>
            <a:t>1.1 Uređenje javnih prostora i komunalna infrastruktura</a:t>
          </a:r>
          <a:endParaRPr lang="en-US" sz="900" b="0" i="0">
            <a:latin typeface="Calibri Light"/>
            <a:cs typeface="Calibri Light"/>
          </a:endParaRPr>
        </a:p>
      </dgm:t>
    </dgm:pt>
    <dgm:pt modelId="{F5410B70-6E98-7E4E-8E9A-DFBB1897B319}" type="parTrans" cxnId="{442E7726-3F83-B440-8AD9-7F3F1F19ED2C}">
      <dgm:prSet/>
      <dgm:spPr>
        <a:ln>
          <a:solidFill>
            <a:schemeClr val="bg1">
              <a:lumMod val="65000"/>
            </a:schemeClr>
          </a:solidFill>
        </a:ln>
      </dgm:spPr>
      <dgm:t>
        <a:bodyPr/>
        <a:lstStyle/>
        <a:p>
          <a:endParaRPr lang="en-US"/>
        </a:p>
      </dgm:t>
    </dgm:pt>
    <dgm:pt modelId="{813437C3-0E08-A243-AB24-AEE9FADCE21B}" type="sibTrans" cxnId="{442E7726-3F83-B440-8AD9-7F3F1F19ED2C}">
      <dgm:prSet/>
      <dgm:spPr/>
      <dgm:t>
        <a:bodyPr/>
        <a:lstStyle/>
        <a:p>
          <a:endParaRPr lang="en-US"/>
        </a:p>
      </dgm:t>
    </dgm:pt>
    <dgm:pt modelId="{08954C12-7159-C841-B10A-37A058CEDDE0}">
      <dgm:prSet phldrT="[Text]" custT="1">
        <dgm:style>
          <a:lnRef idx="1">
            <a:schemeClr val="accent4"/>
          </a:lnRef>
          <a:fillRef idx="2">
            <a:schemeClr val="accent4"/>
          </a:fillRef>
          <a:effectRef idx="1">
            <a:schemeClr val="accent4"/>
          </a:effectRef>
          <a:fontRef idx="minor">
            <a:schemeClr val="dk1"/>
          </a:fontRef>
        </dgm:style>
      </dgm:prSet>
      <dgm:spPr/>
      <dgm:t>
        <a:bodyPr/>
        <a:lstStyle/>
        <a:p>
          <a:r>
            <a:rPr lang="hr-HR" sz="900" b="0" i="0">
              <a:latin typeface="Calibri Light"/>
              <a:cs typeface="Calibri Light"/>
            </a:rPr>
            <a:t>2.1 Kulturna baština kao resurs za razvoj turizma i društvenog života</a:t>
          </a:r>
          <a:endParaRPr lang="en-US" sz="900" b="0" i="0">
            <a:latin typeface="Calibri Light"/>
            <a:cs typeface="Calibri Light"/>
          </a:endParaRPr>
        </a:p>
      </dgm:t>
    </dgm:pt>
    <dgm:pt modelId="{372A032F-43F6-D54B-BD6C-6EAD503E6A78}" type="parTrans" cxnId="{DAD76CB7-C149-8340-A373-2ABDC140A7C3}">
      <dgm:prSet/>
      <dgm:spPr>
        <a:ln>
          <a:solidFill>
            <a:srgbClr val="A6A6A6"/>
          </a:solidFill>
        </a:ln>
      </dgm:spPr>
      <dgm:t>
        <a:bodyPr/>
        <a:lstStyle/>
        <a:p>
          <a:endParaRPr lang="en-US"/>
        </a:p>
      </dgm:t>
    </dgm:pt>
    <dgm:pt modelId="{FE2D6741-2A8D-7747-AC25-746C3EE09011}" type="sibTrans" cxnId="{DAD76CB7-C149-8340-A373-2ABDC140A7C3}">
      <dgm:prSet/>
      <dgm:spPr/>
      <dgm:t>
        <a:bodyPr/>
        <a:lstStyle/>
        <a:p>
          <a:endParaRPr lang="en-US"/>
        </a:p>
      </dgm:t>
    </dgm:pt>
    <dgm:pt modelId="{6E7B8AE1-34DA-9A4B-BE13-2961A33F6489}">
      <dgm:prSet phldrT="[Text]" custT="1">
        <dgm:style>
          <a:lnRef idx="1">
            <a:schemeClr val="accent4"/>
          </a:lnRef>
          <a:fillRef idx="2">
            <a:schemeClr val="accent4"/>
          </a:fillRef>
          <a:effectRef idx="1">
            <a:schemeClr val="accent4"/>
          </a:effectRef>
          <a:fontRef idx="minor">
            <a:schemeClr val="dk1"/>
          </a:fontRef>
        </dgm:style>
      </dgm:prSet>
      <dgm:spPr/>
      <dgm:t>
        <a:bodyPr/>
        <a:lstStyle/>
        <a:p>
          <a:r>
            <a:rPr lang="ta-IN" sz="900" b="0" i="0">
              <a:latin typeface="Calibri Light"/>
              <a:cs typeface="Calibri Light"/>
            </a:rPr>
            <a:t>2.2 </a:t>
          </a:r>
          <a:r>
            <a:rPr lang="hr-HR" sz="900" b="0" i="0">
              <a:latin typeface="Calibri Light"/>
              <a:cs typeface="Calibri Light"/>
            </a:rPr>
            <a:t>Programi društvenog razvoja </a:t>
          </a:r>
          <a:endParaRPr lang="en-US" sz="900" b="0" i="0">
            <a:latin typeface="Calibri Light"/>
            <a:cs typeface="Calibri Light"/>
          </a:endParaRPr>
        </a:p>
      </dgm:t>
    </dgm:pt>
    <dgm:pt modelId="{3C0D9D3A-E01A-7C48-AEC6-421528CC4FE9}" type="parTrans" cxnId="{065E2360-D9D9-BE4B-92A1-1391DB50E5A9}">
      <dgm:prSet/>
      <dgm:spPr>
        <a:ln>
          <a:solidFill>
            <a:srgbClr val="A6A6A6"/>
          </a:solidFill>
        </a:ln>
      </dgm:spPr>
      <dgm:t>
        <a:bodyPr/>
        <a:lstStyle/>
        <a:p>
          <a:endParaRPr lang="en-US"/>
        </a:p>
      </dgm:t>
    </dgm:pt>
    <dgm:pt modelId="{108228F3-38B7-F442-8036-0B2545D1369D}" type="sibTrans" cxnId="{065E2360-D9D9-BE4B-92A1-1391DB50E5A9}">
      <dgm:prSet/>
      <dgm:spPr/>
      <dgm:t>
        <a:bodyPr/>
        <a:lstStyle/>
        <a:p>
          <a:endParaRPr lang="en-US"/>
        </a:p>
      </dgm:t>
    </dgm:pt>
    <dgm:pt modelId="{F10B4A8D-11D6-8447-9C42-608DD812778A}">
      <dgm:prSet phldrT="[Text]" custT="1">
        <dgm:style>
          <a:lnRef idx="1">
            <a:schemeClr val="accent4"/>
          </a:lnRef>
          <a:fillRef idx="2">
            <a:schemeClr val="accent4"/>
          </a:fillRef>
          <a:effectRef idx="1">
            <a:schemeClr val="accent4"/>
          </a:effectRef>
          <a:fontRef idx="minor">
            <a:schemeClr val="dk1"/>
          </a:fontRef>
        </dgm:style>
      </dgm:prSet>
      <dgm:spPr/>
      <dgm:t>
        <a:bodyPr/>
        <a:lstStyle/>
        <a:p>
          <a:r>
            <a:rPr lang="ta-IN" sz="900" b="0" i="0">
              <a:latin typeface="Calibri Light"/>
              <a:cs typeface="Calibri Light"/>
            </a:rPr>
            <a:t>2.3 </a:t>
          </a:r>
          <a:r>
            <a:rPr lang="hr-HR" sz="900" b="0" i="0">
              <a:latin typeface="Calibri Light"/>
              <a:cs typeface="Calibri Light"/>
            </a:rPr>
            <a:t>Programi društvene kohezije</a:t>
          </a:r>
          <a:endParaRPr lang="en-US" sz="900" b="0" i="0">
            <a:latin typeface="Calibri Light"/>
            <a:cs typeface="Calibri Light"/>
          </a:endParaRPr>
        </a:p>
      </dgm:t>
    </dgm:pt>
    <dgm:pt modelId="{D935D60E-4001-DF4D-B59C-F575B642C4E3}" type="parTrans" cxnId="{E63DBC86-6199-7445-9BF3-336722C28CB1}">
      <dgm:prSet/>
      <dgm:spPr>
        <a:ln>
          <a:solidFill>
            <a:srgbClr val="A6A6A6"/>
          </a:solidFill>
        </a:ln>
      </dgm:spPr>
      <dgm:t>
        <a:bodyPr/>
        <a:lstStyle/>
        <a:p>
          <a:endParaRPr lang="en-US"/>
        </a:p>
      </dgm:t>
    </dgm:pt>
    <dgm:pt modelId="{08414DB7-6741-AD4B-9BD4-DFED2A26CD7E}" type="sibTrans" cxnId="{E63DBC86-6199-7445-9BF3-336722C28CB1}">
      <dgm:prSet/>
      <dgm:spPr/>
      <dgm:t>
        <a:bodyPr/>
        <a:lstStyle/>
        <a:p>
          <a:endParaRPr lang="en-US"/>
        </a:p>
      </dgm:t>
    </dgm:pt>
    <dgm:pt modelId="{855EDA69-4BFC-BF44-9362-EC289AE66D13}">
      <dgm:prSet phldrT="[Text]" custT="1">
        <dgm:style>
          <a:lnRef idx="1">
            <a:schemeClr val="accent2"/>
          </a:lnRef>
          <a:fillRef idx="2">
            <a:schemeClr val="accent2"/>
          </a:fillRef>
          <a:effectRef idx="1">
            <a:schemeClr val="accent2"/>
          </a:effectRef>
          <a:fontRef idx="minor">
            <a:schemeClr val="dk1"/>
          </a:fontRef>
        </dgm:style>
      </dgm:prSet>
      <dgm:spPr/>
      <dgm:t>
        <a:bodyPr/>
        <a:lstStyle/>
        <a:p>
          <a:r>
            <a:rPr lang="ta-IN" sz="900" b="0" i="0">
              <a:latin typeface="Calibri Light"/>
              <a:cs typeface="Calibri Light"/>
            </a:rPr>
            <a:t>1.1 Veliki projekti</a:t>
          </a:r>
          <a:endParaRPr lang="en-US" sz="900" b="0" i="0">
            <a:latin typeface="Calibri Light"/>
            <a:cs typeface="Calibri Light"/>
          </a:endParaRPr>
        </a:p>
      </dgm:t>
    </dgm:pt>
    <dgm:pt modelId="{E103B77F-8D25-3945-A198-9138954FB581}" type="parTrans" cxnId="{DF4A5767-9796-A04E-BB50-3505B2CE31F8}">
      <dgm:prSet/>
      <dgm:spPr>
        <a:ln>
          <a:solidFill>
            <a:srgbClr val="A6A6A6"/>
          </a:solidFill>
        </a:ln>
      </dgm:spPr>
      <dgm:t>
        <a:bodyPr/>
        <a:lstStyle/>
        <a:p>
          <a:endParaRPr lang="en-US"/>
        </a:p>
      </dgm:t>
    </dgm:pt>
    <dgm:pt modelId="{DDEE470C-1334-E641-BC15-7D72E5B9008C}" type="sibTrans" cxnId="{DF4A5767-9796-A04E-BB50-3505B2CE31F8}">
      <dgm:prSet/>
      <dgm:spPr/>
      <dgm:t>
        <a:bodyPr/>
        <a:lstStyle/>
        <a:p>
          <a:endParaRPr lang="en-US"/>
        </a:p>
      </dgm:t>
    </dgm:pt>
    <dgm:pt modelId="{D1611675-5D9C-7847-B7DC-B385AB2679D2}">
      <dgm:prSet phldrT="[Text]" custT="1">
        <dgm:style>
          <a:lnRef idx="1">
            <a:schemeClr val="accent2"/>
          </a:lnRef>
          <a:fillRef idx="2">
            <a:schemeClr val="accent2"/>
          </a:fillRef>
          <a:effectRef idx="1">
            <a:schemeClr val="accent2"/>
          </a:effectRef>
          <a:fontRef idx="minor">
            <a:schemeClr val="dk1"/>
          </a:fontRef>
        </dgm:style>
      </dgm:prSet>
      <dgm:spPr/>
      <dgm:t>
        <a:bodyPr/>
        <a:lstStyle/>
        <a:p>
          <a:r>
            <a:rPr lang="ta-IN" sz="900" b="0" i="0">
              <a:latin typeface="Calibri Light"/>
              <a:cs typeface="Calibri Light"/>
            </a:rPr>
            <a:t>1.2 Mjere za povećanje energetske učinkovitosti</a:t>
          </a:r>
          <a:endParaRPr lang="en-US" sz="900" b="0" i="0">
            <a:latin typeface="Calibri Light"/>
            <a:cs typeface="Calibri Light"/>
          </a:endParaRPr>
        </a:p>
      </dgm:t>
    </dgm:pt>
    <dgm:pt modelId="{A0E08C26-C505-BA40-8FE4-7DE673499493}" type="parTrans" cxnId="{6B1C70CE-69F9-A64A-A5D3-4197AB86F84B}">
      <dgm:prSet/>
      <dgm:spPr>
        <a:ln>
          <a:solidFill>
            <a:srgbClr val="A6A6A6"/>
          </a:solidFill>
        </a:ln>
      </dgm:spPr>
      <dgm:t>
        <a:bodyPr/>
        <a:lstStyle/>
        <a:p>
          <a:endParaRPr lang="en-US"/>
        </a:p>
      </dgm:t>
    </dgm:pt>
    <dgm:pt modelId="{A500B5AC-E1EE-E94C-AC86-9271FE09A5D4}" type="sibTrans" cxnId="{6B1C70CE-69F9-A64A-A5D3-4197AB86F84B}">
      <dgm:prSet/>
      <dgm:spPr/>
      <dgm:t>
        <a:bodyPr/>
        <a:lstStyle/>
        <a:p>
          <a:endParaRPr lang="en-US"/>
        </a:p>
      </dgm:t>
    </dgm:pt>
    <dgm:pt modelId="{D3E44573-50D4-7540-9C76-62074D179706}">
      <dgm:prSet phldrT="[Text]" custT="1">
        <dgm:style>
          <a:lnRef idx="1">
            <a:schemeClr val="accent2"/>
          </a:lnRef>
          <a:fillRef idx="2">
            <a:schemeClr val="accent2"/>
          </a:fillRef>
          <a:effectRef idx="1">
            <a:schemeClr val="accent2"/>
          </a:effectRef>
          <a:fontRef idx="minor">
            <a:schemeClr val="dk1"/>
          </a:fontRef>
        </dgm:style>
      </dgm:prSet>
      <dgm:spPr/>
      <dgm:t>
        <a:bodyPr/>
        <a:lstStyle/>
        <a:p>
          <a:r>
            <a:rPr lang="ta-IN" sz="900" b="0" i="0">
              <a:latin typeface="Calibri Light"/>
              <a:cs typeface="Calibri Light"/>
            </a:rPr>
            <a:t>2.1 Veliki projekti</a:t>
          </a:r>
          <a:endParaRPr lang="en-US" sz="900" b="0" i="0">
            <a:latin typeface="Calibri Light"/>
            <a:cs typeface="Calibri Light"/>
          </a:endParaRPr>
        </a:p>
      </dgm:t>
    </dgm:pt>
    <dgm:pt modelId="{CEFAEB40-59AD-4546-A443-00EE085BD50F}" type="parTrans" cxnId="{7BA9BE13-C621-564C-B6B0-F7DDAF9437C7}">
      <dgm:prSet/>
      <dgm:spPr>
        <a:ln>
          <a:solidFill>
            <a:srgbClr val="A6A6A6"/>
          </a:solidFill>
        </a:ln>
      </dgm:spPr>
      <dgm:t>
        <a:bodyPr/>
        <a:lstStyle/>
        <a:p>
          <a:endParaRPr lang="en-US"/>
        </a:p>
      </dgm:t>
    </dgm:pt>
    <dgm:pt modelId="{5A780709-A4EF-1F4E-B3A0-1217E25C8004}" type="sibTrans" cxnId="{7BA9BE13-C621-564C-B6B0-F7DDAF9437C7}">
      <dgm:prSet/>
      <dgm:spPr/>
      <dgm:t>
        <a:bodyPr/>
        <a:lstStyle/>
        <a:p>
          <a:endParaRPr lang="en-US"/>
        </a:p>
      </dgm:t>
    </dgm:pt>
    <dgm:pt modelId="{47386434-B6C4-0847-9A78-C06A20F7E392}">
      <dgm:prSet phldrT="[Text]" custT="1">
        <dgm:style>
          <a:lnRef idx="1">
            <a:schemeClr val="accent2"/>
          </a:lnRef>
          <a:fillRef idx="2">
            <a:schemeClr val="accent2"/>
          </a:fillRef>
          <a:effectRef idx="1">
            <a:schemeClr val="accent2"/>
          </a:effectRef>
          <a:fontRef idx="minor">
            <a:schemeClr val="dk1"/>
          </a:fontRef>
        </dgm:style>
      </dgm:prSet>
      <dgm:spPr/>
      <dgm:t>
        <a:bodyPr/>
        <a:lstStyle/>
        <a:p>
          <a:r>
            <a:rPr lang="ta-IN" sz="900" b="0" i="0">
              <a:latin typeface="Calibri Light"/>
              <a:cs typeface="Calibri Light"/>
            </a:rPr>
            <a:t>2.2 Mjere za poboljšanje mobilnosti i pristupačnosti</a:t>
          </a:r>
          <a:endParaRPr lang="en-US" sz="900" b="0" i="0">
            <a:latin typeface="Calibri Light"/>
            <a:cs typeface="Calibri Light"/>
          </a:endParaRPr>
        </a:p>
      </dgm:t>
    </dgm:pt>
    <dgm:pt modelId="{164ADEA6-9E74-9C42-AA0A-F638D02051FF}" type="parTrans" cxnId="{9935A125-E57E-8D40-9EEE-361240BE72F6}">
      <dgm:prSet/>
      <dgm:spPr>
        <a:ln>
          <a:solidFill>
            <a:srgbClr val="A6A6A6"/>
          </a:solidFill>
        </a:ln>
      </dgm:spPr>
      <dgm:t>
        <a:bodyPr/>
        <a:lstStyle/>
        <a:p>
          <a:endParaRPr lang="en-US"/>
        </a:p>
      </dgm:t>
    </dgm:pt>
    <dgm:pt modelId="{48F4AE6A-678C-EA4B-B884-E16CE19B8D19}" type="sibTrans" cxnId="{9935A125-E57E-8D40-9EEE-361240BE72F6}">
      <dgm:prSet/>
      <dgm:spPr/>
      <dgm:t>
        <a:bodyPr/>
        <a:lstStyle/>
        <a:p>
          <a:endParaRPr lang="en-US"/>
        </a:p>
      </dgm:t>
    </dgm:pt>
    <dgm:pt modelId="{12242F41-05C7-B74C-9968-FCC9BE99D200}">
      <dgm:prSet phldrT="[Text]" custT="1">
        <dgm:style>
          <a:lnRef idx="1">
            <a:schemeClr val="accent2"/>
          </a:lnRef>
          <a:fillRef idx="2">
            <a:schemeClr val="accent2"/>
          </a:fillRef>
          <a:effectRef idx="1">
            <a:schemeClr val="accent2"/>
          </a:effectRef>
          <a:fontRef idx="minor">
            <a:schemeClr val="dk1"/>
          </a:fontRef>
        </dgm:style>
      </dgm:prSet>
      <dgm:spPr/>
      <dgm:t>
        <a:bodyPr/>
        <a:lstStyle/>
        <a:p>
          <a:r>
            <a:rPr lang="ta-IN" sz="900" b="0" i="0">
              <a:latin typeface="Calibri Light"/>
              <a:cs typeface="Calibri Light"/>
            </a:rPr>
            <a:t>3.1 Veliki projekti</a:t>
          </a:r>
          <a:endParaRPr lang="en-US" sz="900" b="0" i="0">
            <a:latin typeface="Calibri Light"/>
            <a:cs typeface="Calibri Light"/>
          </a:endParaRPr>
        </a:p>
      </dgm:t>
    </dgm:pt>
    <dgm:pt modelId="{05EA7C1E-4DEB-9C49-8CFF-EE117DF6C671}" type="parTrans" cxnId="{9A904D84-5921-F645-9D05-DE0D8AD0527C}">
      <dgm:prSet/>
      <dgm:spPr>
        <a:ln>
          <a:solidFill>
            <a:srgbClr val="A6A6A6"/>
          </a:solidFill>
        </a:ln>
      </dgm:spPr>
      <dgm:t>
        <a:bodyPr/>
        <a:lstStyle/>
        <a:p>
          <a:endParaRPr lang="en-US"/>
        </a:p>
      </dgm:t>
    </dgm:pt>
    <dgm:pt modelId="{3D122E32-A3CA-D24C-A995-05DDA2E80D86}" type="sibTrans" cxnId="{9A904D84-5921-F645-9D05-DE0D8AD0527C}">
      <dgm:prSet/>
      <dgm:spPr/>
      <dgm:t>
        <a:bodyPr/>
        <a:lstStyle/>
        <a:p>
          <a:endParaRPr lang="en-US"/>
        </a:p>
      </dgm:t>
    </dgm:pt>
    <dgm:pt modelId="{99C7CD03-22FB-E648-9558-9956DA4E6E2C}">
      <dgm:prSet phldrT="[Text]" custT="1">
        <dgm:style>
          <a:lnRef idx="1">
            <a:schemeClr val="accent2"/>
          </a:lnRef>
          <a:fillRef idx="2">
            <a:schemeClr val="accent2"/>
          </a:fillRef>
          <a:effectRef idx="1">
            <a:schemeClr val="accent2"/>
          </a:effectRef>
          <a:fontRef idx="minor">
            <a:schemeClr val="dk1"/>
          </a:fontRef>
        </dgm:style>
      </dgm:prSet>
      <dgm:spPr/>
      <dgm:t>
        <a:bodyPr/>
        <a:lstStyle/>
        <a:p>
          <a:r>
            <a:rPr lang="ta-IN" sz="900" b="0" i="0">
              <a:latin typeface="Calibri Light"/>
              <a:cs typeface="Calibri Light"/>
            </a:rPr>
            <a:t>3.2 Vodno gspodarstvo i upravljanje vodnim resursima</a:t>
          </a:r>
          <a:endParaRPr lang="en-US" sz="900" b="0" i="0">
            <a:latin typeface="Calibri Light"/>
            <a:cs typeface="Calibri Light"/>
          </a:endParaRPr>
        </a:p>
      </dgm:t>
    </dgm:pt>
    <dgm:pt modelId="{F217ABD8-196B-6C4A-9A92-332B2BDA8F4D}" type="parTrans" cxnId="{24D80A5C-6F2D-5D4C-8706-72F8AA58ECC5}">
      <dgm:prSet/>
      <dgm:spPr>
        <a:ln>
          <a:solidFill>
            <a:srgbClr val="A6A6A6"/>
          </a:solidFill>
        </a:ln>
      </dgm:spPr>
      <dgm:t>
        <a:bodyPr/>
        <a:lstStyle/>
        <a:p>
          <a:endParaRPr lang="en-US"/>
        </a:p>
      </dgm:t>
    </dgm:pt>
    <dgm:pt modelId="{7C347E66-C09F-6B47-99D5-7ABD4026BE20}" type="sibTrans" cxnId="{24D80A5C-6F2D-5D4C-8706-72F8AA58ECC5}">
      <dgm:prSet/>
      <dgm:spPr/>
      <dgm:t>
        <a:bodyPr/>
        <a:lstStyle/>
        <a:p>
          <a:endParaRPr lang="en-US"/>
        </a:p>
      </dgm:t>
    </dgm:pt>
    <dgm:pt modelId="{6D19AB04-78D7-1043-BA80-8CF8D53D7FC3}">
      <dgm:prSet phldrT="[Text]" custT="1">
        <dgm:style>
          <a:lnRef idx="1">
            <a:schemeClr val="accent5"/>
          </a:lnRef>
          <a:fillRef idx="2">
            <a:schemeClr val="accent5"/>
          </a:fillRef>
          <a:effectRef idx="1">
            <a:schemeClr val="accent5"/>
          </a:effectRef>
          <a:fontRef idx="minor">
            <a:schemeClr val="dk1"/>
          </a:fontRef>
        </dgm:style>
      </dgm:prSet>
      <dgm:spPr/>
      <dgm:t>
        <a:bodyPr/>
        <a:lstStyle/>
        <a:p>
          <a:r>
            <a:rPr lang="ta-IN" sz="900" b="0" i="0">
              <a:latin typeface="Calibri Light"/>
              <a:cs typeface="Calibri Light"/>
            </a:rPr>
            <a:t>1.1 Ulaganja u infrastrukturu i kapacitete za potporu poduzetništvu</a:t>
          </a:r>
          <a:endParaRPr lang="en-US" sz="900" b="0" i="0">
            <a:latin typeface="Calibri Light"/>
            <a:cs typeface="Calibri Light"/>
          </a:endParaRPr>
        </a:p>
      </dgm:t>
    </dgm:pt>
    <dgm:pt modelId="{6555C297-46E5-224E-A5BE-E18D7CB91E8B}" type="parTrans" cxnId="{0901CC62-04DD-5648-8281-518CC843ACAC}">
      <dgm:prSet/>
      <dgm:spPr>
        <a:ln>
          <a:solidFill>
            <a:srgbClr val="A6A6A6"/>
          </a:solidFill>
        </a:ln>
      </dgm:spPr>
      <dgm:t>
        <a:bodyPr/>
        <a:lstStyle/>
        <a:p>
          <a:endParaRPr lang="en-US"/>
        </a:p>
      </dgm:t>
    </dgm:pt>
    <dgm:pt modelId="{0E9B4D76-C179-5149-8A92-091F7208B70C}" type="sibTrans" cxnId="{0901CC62-04DD-5648-8281-518CC843ACAC}">
      <dgm:prSet/>
      <dgm:spPr/>
      <dgm:t>
        <a:bodyPr/>
        <a:lstStyle/>
        <a:p>
          <a:endParaRPr lang="en-US"/>
        </a:p>
      </dgm:t>
    </dgm:pt>
    <dgm:pt modelId="{B79C010E-C8C3-7746-85D1-3AB1C9EC2354}">
      <dgm:prSet phldrT="[Text]" custT="1">
        <dgm:style>
          <a:lnRef idx="1">
            <a:schemeClr val="accent5"/>
          </a:lnRef>
          <a:fillRef idx="2">
            <a:schemeClr val="accent5"/>
          </a:fillRef>
          <a:effectRef idx="1">
            <a:schemeClr val="accent5"/>
          </a:effectRef>
          <a:fontRef idx="minor">
            <a:schemeClr val="dk1"/>
          </a:fontRef>
        </dgm:style>
      </dgm:prSet>
      <dgm:spPr/>
      <dgm:t>
        <a:bodyPr/>
        <a:lstStyle/>
        <a:p>
          <a:r>
            <a:rPr lang="ta-IN" sz="900" b="0" i="0">
              <a:latin typeface="Calibri Light"/>
              <a:cs typeface="Calibri Light"/>
            </a:rPr>
            <a:t>1.2 Programi potpore MSP-ovima</a:t>
          </a:r>
          <a:endParaRPr lang="en-US" sz="900" b="0" i="0">
            <a:latin typeface="Calibri Light"/>
            <a:cs typeface="Calibri Light"/>
          </a:endParaRPr>
        </a:p>
      </dgm:t>
    </dgm:pt>
    <dgm:pt modelId="{7CABEE52-7626-8843-894E-13B00645E12F}" type="parTrans" cxnId="{4F711F45-542F-8F4C-A63D-4736B4DDAEAE}">
      <dgm:prSet/>
      <dgm:spPr>
        <a:ln>
          <a:solidFill>
            <a:srgbClr val="A6A6A6"/>
          </a:solidFill>
        </a:ln>
      </dgm:spPr>
      <dgm:t>
        <a:bodyPr/>
        <a:lstStyle/>
        <a:p>
          <a:endParaRPr lang="en-US"/>
        </a:p>
      </dgm:t>
    </dgm:pt>
    <dgm:pt modelId="{D7E58D3A-90F9-0D4B-B1C5-39A227AA33FE}" type="sibTrans" cxnId="{4F711F45-542F-8F4C-A63D-4736B4DDAEAE}">
      <dgm:prSet/>
      <dgm:spPr/>
      <dgm:t>
        <a:bodyPr/>
        <a:lstStyle/>
        <a:p>
          <a:endParaRPr lang="en-US"/>
        </a:p>
      </dgm:t>
    </dgm:pt>
    <dgm:pt modelId="{1FA36C25-6EEF-BE41-A62F-5C794CC17A92}">
      <dgm:prSet phldrT="[Text]" custT="1">
        <dgm:style>
          <a:lnRef idx="1">
            <a:schemeClr val="accent5"/>
          </a:lnRef>
          <a:fillRef idx="2">
            <a:schemeClr val="accent5"/>
          </a:fillRef>
          <a:effectRef idx="1">
            <a:schemeClr val="accent5"/>
          </a:effectRef>
          <a:fontRef idx="minor">
            <a:schemeClr val="dk1"/>
          </a:fontRef>
        </dgm:style>
      </dgm:prSet>
      <dgm:spPr/>
      <dgm:t>
        <a:bodyPr/>
        <a:lstStyle/>
        <a:p>
          <a:r>
            <a:rPr lang="ta-IN" sz="900" b="0" i="0">
              <a:latin typeface="Calibri Light"/>
              <a:cs typeface="Calibri Light"/>
            </a:rPr>
            <a:t>2.1 Infrastrukturni i stručni kapaciteti za strukovno i visokoškolsko obrazovanje</a:t>
          </a:r>
          <a:endParaRPr lang="en-US" sz="900" b="0" i="0">
            <a:latin typeface="Calibri Light"/>
            <a:cs typeface="Calibri Light"/>
          </a:endParaRPr>
        </a:p>
      </dgm:t>
    </dgm:pt>
    <dgm:pt modelId="{F173DC0F-AA0B-0E47-A28A-90D367651E2F}" type="parTrans" cxnId="{D44044DB-E05B-794D-B780-E808D688A6FE}">
      <dgm:prSet/>
      <dgm:spPr>
        <a:ln>
          <a:solidFill>
            <a:srgbClr val="A6A6A6"/>
          </a:solidFill>
        </a:ln>
      </dgm:spPr>
      <dgm:t>
        <a:bodyPr/>
        <a:lstStyle/>
        <a:p>
          <a:endParaRPr lang="en-US"/>
        </a:p>
      </dgm:t>
    </dgm:pt>
    <dgm:pt modelId="{8CEAA7C4-C8CD-0146-8DE5-BB4190745B83}" type="sibTrans" cxnId="{D44044DB-E05B-794D-B780-E808D688A6FE}">
      <dgm:prSet/>
      <dgm:spPr/>
      <dgm:t>
        <a:bodyPr/>
        <a:lstStyle/>
        <a:p>
          <a:endParaRPr lang="en-US"/>
        </a:p>
      </dgm:t>
    </dgm:pt>
    <dgm:pt modelId="{6F6498F2-1BA6-CC48-8A87-10C5D432199A}">
      <dgm:prSet phldrT="[Text]" custT="1">
        <dgm:style>
          <a:lnRef idx="1">
            <a:schemeClr val="accent5"/>
          </a:lnRef>
          <a:fillRef idx="2">
            <a:schemeClr val="accent5"/>
          </a:fillRef>
          <a:effectRef idx="1">
            <a:schemeClr val="accent5"/>
          </a:effectRef>
          <a:fontRef idx="minor">
            <a:schemeClr val="dk1"/>
          </a:fontRef>
        </dgm:style>
      </dgm:prSet>
      <dgm:spPr/>
      <dgm:t>
        <a:bodyPr/>
        <a:lstStyle/>
        <a:p>
          <a:r>
            <a:rPr lang="ta-IN" sz="900" b="0" i="0">
              <a:latin typeface="Calibri Light"/>
              <a:cs typeface="Calibri Light"/>
            </a:rPr>
            <a:t>2.2 jačanje poduzetničke kulture i inovacija te veza između obrazovanja i tržišta rada</a:t>
          </a:r>
          <a:endParaRPr lang="en-US" sz="900" b="0" i="0">
            <a:latin typeface="Calibri Light"/>
            <a:cs typeface="Calibri Light"/>
          </a:endParaRPr>
        </a:p>
      </dgm:t>
    </dgm:pt>
    <dgm:pt modelId="{0F436B63-1A58-5545-9A7E-C134CC7A4134}" type="parTrans" cxnId="{F64EEDEB-9128-2641-9850-E3736986BC09}">
      <dgm:prSet/>
      <dgm:spPr>
        <a:ln>
          <a:solidFill>
            <a:srgbClr val="A6A6A6"/>
          </a:solidFill>
        </a:ln>
      </dgm:spPr>
      <dgm:t>
        <a:bodyPr/>
        <a:lstStyle/>
        <a:p>
          <a:endParaRPr lang="en-US"/>
        </a:p>
      </dgm:t>
    </dgm:pt>
    <dgm:pt modelId="{602D6111-DC1D-6C47-9738-E8560157C867}" type="sibTrans" cxnId="{F64EEDEB-9128-2641-9850-E3736986BC09}">
      <dgm:prSet/>
      <dgm:spPr/>
      <dgm:t>
        <a:bodyPr/>
        <a:lstStyle/>
        <a:p>
          <a:endParaRPr lang="en-US"/>
        </a:p>
      </dgm:t>
    </dgm:pt>
    <dgm:pt modelId="{709FB237-CB4A-4A41-91E8-F229A0092754}">
      <dgm:prSet phldrT="[Text]" custT="1">
        <dgm:style>
          <a:lnRef idx="1">
            <a:schemeClr val="accent5"/>
          </a:lnRef>
          <a:fillRef idx="2">
            <a:schemeClr val="accent5"/>
          </a:fillRef>
          <a:effectRef idx="1">
            <a:schemeClr val="accent5"/>
          </a:effectRef>
          <a:fontRef idx="minor">
            <a:schemeClr val="dk1"/>
          </a:fontRef>
        </dgm:style>
      </dgm:prSet>
      <dgm:spPr/>
      <dgm:t>
        <a:bodyPr/>
        <a:lstStyle/>
        <a:p>
          <a:r>
            <a:rPr lang="ta-IN" sz="900" b="0" i="0">
              <a:latin typeface="Calibri Light"/>
              <a:cs typeface="Calibri Light"/>
            </a:rPr>
            <a:t>2.3 Pametni grad</a:t>
          </a:r>
          <a:endParaRPr lang="en-US" sz="900" b="0" i="0">
            <a:latin typeface="Calibri Light"/>
            <a:cs typeface="Calibri Light"/>
          </a:endParaRPr>
        </a:p>
      </dgm:t>
    </dgm:pt>
    <dgm:pt modelId="{787C9E9B-2A65-AF4F-939C-1595685EF88C}" type="parTrans" cxnId="{9D76C320-BEA9-E944-98A5-E946A10192D6}">
      <dgm:prSet/>
      <dgm:spPr>
        <a:ln>
          <a:solidFill>
            <a:srgbClr val="A6A6A6"/>
          </a:solidFill>
        </a:ln>
      </dgm:spPr>
      <dgm:t>
        <a:bodyPr/>
        <a:lstStyle/>
        <a:p>
          <a:endParaRPr lang="en-US"/>
        </a:p>
      </dgm:t>
    </dgm:pt>
    <dgm:pt modelId="{875299B4-8296-7741-B855-EC388B9B99C1}" type="sibTrans" cxnId="{9D76C320-BEA9-E944-98A5-E946A10192D6}">
      <dgm:prSet/>
      <dgm:spPr/>
      <dgm:t>
        <a:bodyPr/>
        <a:lstStyle/>
        <a:p>
          <a:endParaRPr lang="en-US"/>
        </a:p>
      </dgm:t>
    </dgm:pt>
    <dgm:pt modelId="{8C8C0CB3-5FAB-F744-BF76-39C7423DDB32}">
      <dgm:prSet phldrT="[Text]" custT="1">
        <dgm:style>
          <a:lnRef idx="1">
            <a:schemeClr val="accent5"/>
          </a:lnRef>
          <a:fillRef idx="2">
            <a:schemeClr val="accent5"/>
          </a:fillRef>
          <a:effectRef idx="1">
            <a:schemeClr val="accent5"/>
          </a:effectRef>
          <a:fontRef idx="minor">
            <a:schemeClr val="dk1"/>
          </a:fontRef>
        </dgm:style>
      </dgm:prSet>
      <dgm:spPr/>
      <dgm:t>
        <a:bodyPr/>
        <a:lstStyle/>
        <a:p>
          <a:r>
            <a:rPr lang="ta-IN" sz="900" b="0" i="0">
              <a:latin typeface="Calibri Light"/>
              <a:cs typeface="Calibri Light"/>
            </a:rPr>
            <a:t>3.1 Mjere i projekti jačanja i poticanja nabave lokalnih proizvoda i usluga</a:t>
          </a:r>
          <a:endParaRPr lang="en-US" sz="900" b="0" i="0">
            <a:latin typeface="Calibri Light"/>
            <a:cs typeface="Calibri Light"/>
          </a:endParaRPr>
        </a:p>
      </dgm:t>
    </dgm:pt>
    <dgm:pt modelId="{BDA3D8F0-9D0A-AA43-BBA3-CCC1400F16D6}" type="parTrans" cxnId="{C5B9CAE1-7CB9-C44F-8A39-7F9779DB6919}">
      <dgm:prSet/>
      <dgm:spPr>
        <a:ln>
          <a:solidFill>
            <a:srgbClr val="A6A6A6"/>
          </a:solidFill>
        </a:ln>
      </dgm:spPr>
      <dgm:t>
        <a:bodyPr/>
        <a:lstStyle/>
        <a:p>
          <a:endParaRPr lang="en-US"/>
        </a:p>
      </dgm:t>
    </dgm:pt>
    <dgm:pt modelId="{996CECB6-6478-D041-88B8-FB04F8A2E4D4}" type="sibTrans" cxnId="{C5B9CAE1-7CB9-C44F-8A39-7F9779DB6919}">
      <dgm:prSet/>
      <dgm:spPr/>
      <dgm:t>
        <a:bodyPr/>
        <a:lstStyle/>
        <a:p>
          <a:endParaRPr lang="en-US"/>
        </a:p>
      </dgm:t>
    </dgm:pt>
    <dgm:pt modelId="{ED05BC5F-63A1-0447-A707-EB8EEB37610C}">
      <dgm:prSet phldrT="[Text]" custT="1">
        <dgm:style>
          <a:lnRef idx="1">
            <a:schemeClr val="accent4"/>
          </a:lnRef>
          <a:fillRef idx="2">
            <a:schemeClr val="accent4"/>
          </a:fillRef>
          <a:effectRef idx="1">
            <a:schemeClr val="accent4"/>
          </a:effectRef>
          <a:fontRef idx="minor">
            <a:schemeClr val="dk1"/>
          </a:fontRef>
        </dgm:style>
      </dgm:prSet>
      <dgm:spPr/>
      <dgm:t>
        <a:bodyPr/>
        <a:lstStyle/>
        <a:p>
          <a:r>
            <a:rPr lang="ta-IN" sz="900" b="0" i="0">
              <a:latin typeface="Calibri Light"/>
              <a:cs typeface="Calibri Light"/>
            </a:rPr>
            <a:t>VP Brownfield lokacija bivše Vojarne Luščić</a:t>
          </a:r>
          <a:endParaRPr lang="en-US" sz="900" b="0" i="0">
            <a:latin typeface="Calibri Light"/>
            <a:cs typeface="Calibri Light"/>
          </a:endParaRPr>
        </a:p>
      </dgm:t>
    </dgm:pt>
    <dgm:pt modelId="{9F27D44C-4DF2-6146-9619-B26C3288EEAA}" type="parTrans" cxnId="{E2282125-DC50-4D4A-A2E6-B0E19112B859}">
      <dgm:prSet/>
      <dgm:spPr/>
      <dgm:t>
        <a:bodyPr/>
        <a:lstStyle/>
        <a:p>
          <a:endParaRPr lang="en-US"/>
        </a:p>
      </dgm:t>
    </dgm:pt>
    <dgm:pt modelId="{76B36893-CAEF-5145-8A1C-E35DEC370F3E}" type="sibTrans" cxnId="{E2282125-DC50-4D4A-A2E6-B0E19112B859}">
      <dgm:prSet/>
      <dgm:spPr/>
      <dgm:t>
        <a:bodyPr/>
        <a:lstStyle/>
        <a:p>
          <a:endParaRPr lang="en-US"/>
        </a:p>
      </dgm:t>
    </dgm:pt>
    <dgm:pt modelId="{9A0C45E4-4CA3-4D45-83D8-18D73E4CEFEC}">
      <dgm:prSet phldrT="[Text]" custT="1">
        <dgm:style>
          <a:lnRef idx="1">
            <a:schemeClr val="accent2"/>
          </a:lnRef>
          <a:fillRef idx="2">
            <a:schemeClr val="accent2"/>
          </a:fillRef>
          <a:effectRef idx="1">
            <a:schemeClr val="accent2"/>
          </a:effectRef>
          <a:fontRef idx="minor">
            <a:schemeClr val="dk1"/>
          </a:fontRef>
        </dgm:style>
      </dgm:prSet>
      <dgm:spPr/>
      <dgm:t>
        <a:bodyPr/>
        <a:lstStyle/>
        <a:p>
          <a:r>
            <a:rPr lang="ta-IN" sz="900" b="0" i="0">
              <a:latin typeface="Calibri Light"/>
              <a:cs typeface="Calibri Light"/>
            </a:rPr>
            <a:t>3.3 Gospodarenje otpadom</a:t>
          </a:r>
          <a:endParaRPr lang="en-US" sz="900" b="0" i="0">
            <a:latin typeface="Calibri Light"/>
            <a:cs typeface="Calibri Light"/>
          </a:endParaRPr>
        </a:p>
      </dgm:t>
    </dgm:pt>
    <dgm:pt modelId="{CFFAC826-18B1-EF47-B8AF-6A7523C6EEAD}" type="parTrans" cxnId="{0F5539AB-E472-D943-A538-31690F353315}">
      <dgm:prSet/>
      <dgm:spPr/>
      <dgm:t>
        <a:bodyPr/>
        <a:lstStyle/>
        <a:p>
          <a:endParaRPr lang="en-US"/>
        </a:p>
      </dgm:t>
    </dgm:pt>
    <dgm:pt modelId="{5637EB75-1C7C-FD41-B7BD-11E76D7CC30E}" type="sibTrans" cxnId="{0F5539AB-E472-D943-A538-31690F353315}">
      <dgm:prSet/>
      <dgm:spPr/>
      <dgm:t>
        <a:bodyPr/>
        <a:lstStyle/>
        <a:p>
          <a:endParaRPr lang="en-US"/>
        </a:p>
      </dgm:t>
    </dgm:pt>
    <dgm:pt modelId="{35FF3740-05B0-DF45-81BC-087921F96CC2}">
      <dgm:prSet phldrT="[Text]" custT="1">
        <dgm:style>
          <a:lnRef idx="1">
            <a:schemeClr val="accent5"/>
          </a:lnRef>
          <a:fillRef idx="2">
            <a:schemeClr val="accent5"/>
          </a:fillRef>
          <a:effectRef idx="1">
            <a:schemeClr val="accent5"/>
          </a:effectRef>
          <a:fontRef idx="minor">
            <a:schemeClr val="dk1"/>
          </a:fontRef>
        </dgm:style>
      </dgm:prSet>
      <dgm:spPr/>
      <dgm:t>
        <a:bodyPr/>
        <a:lstStyle/>
        <a:p>
          <a:r>
            <a:rPr lang="ta-IN" sz="900" b="0" i="0">
              <a:latin typeface="Calibri Light"/>
              <a:cs typeface="Calibri Light"/>
            </a:rPr>
            <a:t>VP Eko turizam na rijekama VUPKA</a:t>
          </a:r>
          <a:endParaRPr lang="en-US" sz="900" b="0" i="0">
            <a:latin typeface="Calibri Light"/>
            <a:cs typeface="Calibri Light"/>
          </a:endParaRPr>
        </a:p>
      </dgm:t>
    </dgm:pt>
    <dgm:pt modelId="{47A4BB67-0CFF-164F-9398-B52FC9E836B3}" type="parTrans" cxnId="{8B66278A-98AD-2B46-9DBF-A49F51074102}">
      <dgm:prSet/>
      <dgm:spPr/>
      <dgm:t>
        <a:bodyPr/>
        <a:lstStyle/>
        <a:p>
          <a:endParaRPr lang="en-US"/>
        </a:p>
      </dgm:t>
    </dgm:pt>
    <dgm:pt modelId="{031D26AB-984D-B343-A833-FF8E38309B54}" type="sibTrans" cxnId="{8B66278A-98AD-2B46-9DBF-A49F51074102}">
      <dgm:prSet/>
      <dgm:spPr/>
      <dgm:t>
        <a:bodyPr/>
        <a:lstStyle/>
        <a:p>
          <a:endParaRPr lang="en-US"/>
        </a:p>
      </dgm:t>
    </dgm:pt>
    <dgm:pt modelId="{05837F2B-E666-7241-90F1-15C673E65F46}" type="pres">
      <dgm:prSet presAssocID="{30C03AA5-0FB9-3946-8D41-788F92E61529}" presName="hierChild1" presStyleCnt="0">
        <dgm:presLayoutVars>
          <dgm:orgChart val="1"/>
          <dgm:chPref val="1"/>
          <dgm:dir/>
          <dgm:animOne val="branch"/>
          <dgm:animLvl val="lvl"/>
          <dgm:resizeHandles/>
        </dgm:presLayoutVars>
      </dgm:prSet>
      <dgm:spPr/>
      <dgm:t>
        <a:bodyPr/>
        <a:lstStyle/>
        <a:p>
          <a:endParaRPr lang="en-US"/>
        </a:p>
      </dgm:t>
    </dgm:pt>
    <dgm:pt modelId="{AB0FD18F-E3EE-F644-8D6B-760E216DFE2E}" type="pres">
      <dgm:prSet presAssocID="{EF6E7128-3167-DC4D-B749-00C44B0290D7}" presName="hierRoot1" presStyleCnt="0">
        <dgm:presLayoutVars>
          <dgm:hierBranch val="init"/>
        </dgm:presLayoutVars>
      </dgm:prSet>
      <dgm:spPr/>
    </dgm:pt>
    <dgm:pt modelId="{373064F5-5BDA-124D-A27F-35F25F5832B0}" type="pres">
      <dgm:prSet presAssocID="{EF6E7128-3167-DC4D-B749-00C44B0290D7}" presName="rootComposite1" presStyleCnt="0"/>
      <dgm:spPr/>
    </dgm:pt>
    <dgm:pt modelId="{8DFDB919-6631-2A4B-ABE8-DFA37ADE66AA}" type="pres">
      <dgm:prSet presAssocID="{EF6E7128-3167-DC4D-B749-00C44B0290D7}" presName="rootText1" presStyleLbl="node0" presStyleIdx="0" presStyleCnt="3" custScaleX="250799" custScaleY="204535" custLinFactY="-33831" custLinFactNeighborX="4659" custLinFactNeighborY="-100000">
        <dgm:presLayoutVars>
          <dgm:chPref val="3"/>
        </dgm:presLayoutVars>
      </dgm:prSet>
      <dgm:spPr/>
      <dgm:t>
        <a:bodyPr/>
        <a:lstStyle/>
        <a:p>
          <a:endParaRPr lang="en-US"/>
        </a:p>
      </dgm:t>
    </dgm:pt>
    <dgm:pt modelId="{64D5317B-ED92-3043-A17A-E53859A353B6}" type="pres">
      <dgm:prSet presAssocID="{EF6E7128-3167-DC4D-B749-00C44B0290D7}" presName="rootConnector1" presStyleLbl="node1" presStyleIdx="0" presStyleCnt="0"/>
      <dgm:spPr/>
      <dgm:t>
        <a:bodyPr/>
        <a:lstStyle/>
        <a:p>
          <a:endParaRPr lang="en-US"/>
        </a:p>
      </dgm:t>
    </dgm:pt>
    <dgm:pt modelId="{EA80D46E-9CF5-1948-9C48-B378B4A3CB37}" type="pres">
      <dgm:prSet presAssocID="{EF6E7128-3167-DC4D-B749-00C44B0290D7}" presName="hierChild2" presStyleCnt="0"/>
      <dgm:spPr/>
    </dgm:pt>
    <dgm:pt modelId="{7F1A48C4-0C27-B045-863E-6BFB7430BE74}" type="pres">
      <dgm:prSet presAssocID="{B04014A3-D142-DC49-8E2D-B2E8081C3C67}" presName="Name37" presStyleLbl="parChTrans1D2" presStyleIdx="0" presStyleCnt="8"/>
      <dgm:spPr/>
      <dgm:t>
        <a:bodyPr/>
        <a:lstStyle/>
        <a:p>
          <a:endParaRPr lang="en-US"/>
        </a:p>
      </dgm:t>
    </dgm:pt>
    <dgm:pt modelId="{3868D982-4241-B84F-9E64-E34167E45E74}" type="pres">
      <dgm:prSet presAssocID="{B4840396-EAEA-2D4B-BF25-890DCCD155BA}" presName="hierRoot2" presStyleCnt="0">
        <dgm:presLayoutVars>
          <dgm:hierBranch val="init"/>
        </dgm:presLayoutVars>
      </dgm:prSet>
      <dgm:spPr/>
    </dgm:pt>
    <dgm:pt modelId="{A6A26931-8833-AB4E-8C8F-93F33CB3F321}" type="pres">
      <dgm:prSet presAssocID="{B4840396-EAEA-2D4B-BF25-890DCCD155BA}" presName="rootComposite" presStyleCnt="0"/>
      <dgm:spPr/>
    </dgm:pt>
    <dgm:pt modelId="{E09E9214-1145-5A41-BE63-A1E85C0F8538}" type="pres">
      <dgm:prSet presAssocID="{B4840396-EAEA-2D4B-BF25-890DCCD155BA}" presName="rootText" presStyleLbl="node2" presStyleIdx="0" presStyleCnt="8" custScaleX="134338" custScaleY="342041" custLinFactNeighborX="1080" custLinFactNeighborY="-63382">
        <dgm:presLayoutVars>
          <dgm:chPref val="3"/>
        </dgm:presLayoutVars>
      </dgm:prSet>
      <dgm:spPr/>
      <dgm:t>
        <a:bodyPr/>
        <a:lstStyle/>
        <a:p>
          <a:endParaRPr lang="en-US"/>
        </a:p>
      </dgm:t>
    </dgm:pt>
    <dgm:pt modelId="{DEB9E04F-99C4-684F-B739-E4366CE04E55}" type="pres">
      <dgm:prSet presAssocID="{B4840396-EAEA-2D4B-BF25-890DCCD155BA}" presName="rootConnector" presStyleLbl="node2" presStyleIdx="0" presStyleCnt="8"/>
      <dgm:spPr/>
      <dgm:t>
        <a:bodyPr/>
        <a:lstStyle/>
        <a:p>
          <a:endParaRPr lang="en-US"/>
        </a:p>
      </dgm:t>
    </dgm:pt>
    <dgm:pt modelId="{4575AA20-CC7F-6341-9E15-3545FE4F7492}" type="pres">
      <dgm:prSet presAssocID="{B4840396-EAEA-2D4B-BF25-890DCCD155BA}" presName="hierChild4" presStyleCnt="0"/>
      <dgm:spPr/>
    </dgm:pt>
    <dgm:pt modelId="{85DB22E6-0028-B843-8E98-3738696692A1}" type="pres">
      <dgm:prSet presAssocID="{F5410B70-6E98-7E4E-8E9A-DFBB1897B319}" presName="Name37" presStyleLbl="parChTrans1D3" presStyleIdx="0" presStyleCnt="19"/>
      <dgm:spPr/>
      <dgm:t>
        <a:bodyPr/>
        <a:lstStyle/>
        <a:p>
          <a:endParaRPr lang="en-US"/>
        </a:p>
      </dgm:t>
    </dgm:pt>
    <dgm:pt modelId="{BE0163A5-5E00-DA4D-9BC9-C4DB010791E9}" type="pres">
      <dgm:prSet presAssocID="{97E42E62-79AF-B14C-9420-ADF7A4A292A5}" presName="hierRoot2" presStyleCnt="0">
        <dgm:presLayoutVars>
          <dgm:hierBranch val="init"/>
        </dgm:presLayoutVars>
      </dgm:prSet>
      <dgm:spPr/>
    </dgm:pt>
    <dgm:pt modelId="{79B36DB4-DC7C-2347-BD7E-775F74D38602}" type="pres">
      <dgm:prSet presAssocID="{97E42E62-79AF-B14C-9420-ADF7A4A292A5}" presName="rootComposite" presStyleCnt="0"/>
      <dgm:spPr/>
    </dgm:pt>
    <dgm:pt modelId="{76E71002-B8BC-5746-8F38-F15E764FEC9D}" type="pres">
      <dgm:prSet presAssocID="{97E42E62-79AF-B14C-9420-ADF7A4A292A5}" presName="rootText" presStyleLbl="node3" presStyleIdx="0" presStyleCnt="19" custScaleY="237844" custLinFactNeighborX="2482" custLinFactNeighborY="-66055">
        <dgm:presLayoutVars>
          <dgm:chPref val="3"/>
        </dgm:presLayoutVars>
      </dgm:prSet>
      <dgm:spPr/>
      <dgm:t>
        <a:bodyPr/>
        <a:lstStyle/>
        <a:p>
          <a:endParaRPr lang="en-US"/>
        </a:p>
      </dgm:t>
    </dgm:pt>
    <dgm:pt modelId="{E5A7A678-C4B1-1346-897E-BF29F0B458C6}" type="pres">
      <dgm:prSet presAssocID="{97E42E62-79AF-B14C-9420-ADF7A4A292A5}" presName="rootConnector" presStyleLbl="node3" presStyleIdx="0" presStyleCnt="19"/>
      <dgm:spPr/>
      <dgm:t>
        <a:bodyPr/>
        <a:lstStyle/>
        <a:p>
          <a:endParaRPr lang="en-US"/>
        </a:p>
      </dgm:t>
    </dgm:pt>
    <dgm:pt modelId="{224A28F4-1D27-CF44-8485-0D5DEF70E97A}" type="pres">
      <dgm:prSet presAssocID="{97E42E62-79AF-B14C-9420-ADF7A4A292A5}" presName="hierChild4" presStyleCnt="0"/>
      <dgm:spPr/>
    </dgm:pt>
    <dgm:pt modelId="{740CB7F6-A26F-8D4B-9176-3C3A1FEDD2FF}" type="pres">
      <dgm:prSet presAssocID="{97E42E62-79AF-B14C-9420-ADF7A4A292A5}" presName="hierChild5" presStyleCnt="0"/>
      <dgm:spPr/>
    </dgm:pt>
    <dgm:pt modelId="{F9EA34DC-E615-6F44-9334-60C9339EE48D}" type="pres">
      <dgm:prSet presAssocID="{9F27D44C-4DF2-6146-9619-B26C3288EEAA}" presName="Name37" presStyleLbl="parChTrans1D3" presStyleIdx="1" presStyleCnt="19"/>
      <dgm:spPr/>
      <dgm:t>
        <a:bodyPr/>
        <a:lstStyle/>
        <a:p>
          <a:endParaRPr lang="en-US"/>
        </a:p>
      </dgm:t>
    </dgm:pt>
    <dgm:pt modelId="{6E133151-666A-8A45-8B64-0F55389BB86D}" type="pres">
      <dgm:prSet presAssocID="{ED05BC5F-63A1-0447-A707-EB8EEB37610C}" presName="hierRoot2" presStyleCnt="0">
        <dgm:presLayoutVars>
          <dgm:hierBranch val="init"/>
        </dgm:presLayoutVars>
      </dgm:prSet>
      <dgm:spPr/>
    </dgm:pt>
    <dgm:pt modelId="{725DCB82-BF3C-D847-85A1-F62D56C8AC43}" type="pres">
      <dgm:prSet presAssocID="{ED05BC5F-63A1-0447-A707-EB8EEB37610C}" presName="rootComposite" presStyleCnt="0"/>
      <dgm:spPr/>
    </dgm:pt>
    <dgm:pt modelId="{FD918F62-E775-B64C-99B2-B04FEEC0C03B}" type="pres">
      <dgm:prSet presAssocID="{ED05BC5F-63A1-0447-A707-EB8EEB37610C}" presName="rootText" presStyleLbl="node3" presStyleIdx="1" presStyleCnt="19" custScaleY="209529">
        <dgm:presLayoutVars>
          <dgm:chPref val="3"/>
        </dgm:presLayoutVars>
      </dgm:prSet>
      <dgm:spPr/>
      <dgm:t>
        <a:bodyPr/>
        <a:lstStyle/>
        <a:p>
          <a:endParaRPr lang="en-US"/>
        </a:p>
      </dgm:t>
    </dgm:pt>
    <dgm:pt modelId="{8D8271CC-47D0-864A-BE37-772055619D06}" type="pres">
      <dgm:prSet presAssocID="{ED05BC5F-63A1-0447-A707-EB8EEB37610C}" presName="rootConnector" presStyleLbl="node3" presStyleIdx="1" presStyleCnt="19"/>
      <dgm:spPr/>
      <dgm:t>
        <a:bodyPr/>
        <a:lstStyle/>
        <a:p>
          <a:endParaRPr lang="en-US"/>
        </a:p>
      </dgm:t>
    </dgm:pt>
    <dgm:pt modelId="{0D651A10-8895-9946-9D78-B7D8193DEAA9}" type="pres">
      <dgm:prSet presAssocID="{ED05BC5F-63A1-0447-A707-EB8EEB37610C}" presName="hierChild4" presStyleCnt="0"/>
      <dgm:spPr/>
    </dgm:pt>
    <dgm:pt modelId="{9C998327-F8B2-9542-9682-5952E994746F}" type="pres">
      <dgm:prSet presAssocID="{ED05BC5F-63A1-0447-A707-EB8EEB37610C}" presName="hierChild5" presStyleCnt="0"/>
      <dgm:spPr/>
    </dgm:pt>
    <dgm:pt modelId="{D3C0FF62-A2FF-2C41-89B9-2E17A5DA279B}" type="pres">
      <dgm:prSet presAssocID="{B4840396-EAEA-2D4B-BF25-890DCCD155BA}" presName="hierChild5" presStyleCnt="0"/>
      <dgm:spPr/>
    </dgm:pt>
    <dgm:pt modelId="{529A8509-24BF-1141-8292-2490BB0737EE}" type="pres">
      <dgm:prSet presAssocID="{E4E09ED6-C0DC-F943-8909-188BF0A87EF1}" presName="Name37" presStyleLbl="parChTrans1D2" presStyleIdx="1" presStyleCnt="8"/>
      <dgm:spPr/>
      <dgm:t>
        <a:bodyPr/>
        <a:lstStyle/>
        <a:p>
          <a:endParaRPr lang="en-US"/>
        </a:p>
      </dgm:t>
    </dgm:pt>
    <dgm:pt modelId="{C7417A63-8ABA-6E49-81E4-F575A100A211}" type="pres">
      <dgm:prSet presAssocID="{512D7DE5-9F3B-B747-900E-F81E23AD26A0}" presName="hierRoot2" presStyleCnt="0">
        <dgm:presLayoutVars>
          <dgm:hierBranch val="init"/>
        </dgm:presLayoutVars>
      </dgm:prSet>
      <dgm:spPr/>
    </dgm:pt>
    <dgm:pt modelId="{ADEBDAD5-EA6C-614D-9050-4F2C02098524}" type="pres">
      <dgm:prSet presAssocID="{512D7DE5-9F3B-B747-900E-F81E23AD26A0}" presName="rootComposite" presStyleCnt="0"/>
      <dgm:spPr/>
    </dgm:pt>
    <dgm:pt modelId="{B585D139-CDED-DA45-B4F2-FA1CD431B6A2}" type="pres">
      <dgm:prSet presAssocID="{512D7DE5-9F3B-B747-900E-F81E23AD26A0}" presName="rootText" presStyleLbl="node2" presStyleIdx="1" presStyleCnt="8" custScaleX="134338" custScaleY="342041" custLinFactNeighborX="1080" custLinFactNeighborY="-63382">
        <dgm:presLayoutVars>
          <dgm:chPref val="3"/>
        </dgm:presLayoutVars>
      </dgm:prSet>
      <dgm:spPr/>
      <dgm:t>
        <a:bodyPr/>
        <a:lstStyle/>
        <a:p>
          <a:endParaRPr lang="en-US"/>
        </a:p>
      </dgm:t>
    </dgm:pt>
    <dgm:pt modelId="{E111EEBA-7049-ED4D-9D94-18318D998741}" type="pres">
      <dgm:prSet presAssocID="{512D7DE5-9F3B-B747-900E-F81E23AD26A0}" presName="rootConnector" presStyleLbl="node2" presStyleIdx="1" presStyleCnt="8"/>
      <dgm:spPr/>
      <dgm:t>
        <a:bodyPr/>
        <a:lstStyle/>
        <a:p>
          <a:endParaRPr lang="en-US"/>
        </a:p>
      </dgm:t>
    </dgm:pt>
    <dgm:pt modelId="{75E9B1BB-B3CD-3749-8E3E-417DDC4411AC}" type="pres">
      <dgm:prSet presAssocID="{512D7DE5-9F3B-B747-900E-F81E23AD26A0}" presName="hierChild4" presStyleCnt="0"/>
      <dgm:spPr/>
    </dgm:pt>
    <dgm:pt modelId="{C5B588B3-FA3D-C84E-A9F5-3159280EF2D1}" type="pres">
      <dgm:prSet presAssocID="{372A032F-43F6-D54B-BD6C-6EAD503E6A78}" presName="Name37" presStyleLbl="parChTrans1D3" presStyleIdx="2" presStyleCnt="19"/>
      <dgm:spPr/>
      <dgm:t>
        <a:bodyPr/>
        <a:lstStyle/>
        <a:p>
          <a:endParaRPr lang="en-US"/>
        </a:p>
      </dgm:t>
    </dgm:pt>
    <dgm:pt modelId="{B1E60525-D862-E740-B850-F4B92D510262}" type="pres">
      <dgm:prSet presAssocID="{08954C12-7159-C841-B10A-37A058CEDDE0}" presName="hierRoot2" presStyleCnt="0">
        <dgm:presLayoutVars>
          <dgm:hierBranch val="init"/>
        </dgm:presLayoutVars>
      </dgm:prSet>
      <dgm:spPr/>
    </dgm:pt>
    <dgm:pt modelId="{8004D53F-6BFD-B04F-B6F6-58B99EC00F5A}" type="pres">
      <dgm:prSet presAssocID="{08954C12-7159-C841-B10A-37A058CEDDE0}" presName="rootComposite" presStyleCnt="0"/>
      <dgm:spPr/>
    </dgm:pt>
    <dgm:pt modelId="{9F60840A-0330-9E4C-B668-3A77BF225204}" type="pres">
      <dgm:prSet presAssocID="{08954C12-7159-C841-B10A-37A058CEDDE0}" presName="rootText" presStyleLbl="node3" presStyleIdx="2" presStyleCnt="19" custScaleY="237843" custLinFactNeighborX="2482" custLinFactNeighborY="-66055">
        <dgm:presLayoutVars>
          <dgm:chPref val="3"/>
        </dgm:presLayoutVars>
      </dgm:prSet>
      <dgm:spPr/>
      <dgm:t>
        <a:bodyPr/>
        <a:lstStyle/>
        <a:p>
          <a:endParaRPr lang="en-US"/>
        </a:p>
      </dgm:t>
    </dgm:pt>
    <dgm:pt modelId="{57A576BA-50AD-7145-A420-9BAA84840ECB}" type="pres">
      <dgm:prSet presAssocID="{08954C12-7159-C841-B10A-37A058CEDDE0}" presName="rootConnector" presStyleLbl="node3" presStyleIdx="2" presStyleCnt="19"/>
      <dgm:spPr/>
      <dgm:t>
        <a:bodyPr/>
        <a:lstStyle/>
        <a:p>
          <a:endParaRPr lang="en-US"/>
        </a:p>
      </dgm:t>
    </dgm:pt>
    <dgm:pt modelId="{036C7C06-9220-1C4C-BE70-63573FC26A95}" type="pres">
      <dgm:prSet presAssocID="{08954C12-7159-C841-B10A-37A058CEDDE0}" presName="hierChild4" presStyleCnt="0"/>
      <dgm:spPr/>
    </dgm:pt>
    <dgm:pt modelId="{5ABD1336-8240-3343-81F5-8754A2CFA532}" type="pres">
      <dgm:prSet presAssocID="{08954C12-7159-C841-B10A-37A058CEDDE0}" presName="hierChild5" presStyleCnt="0"/>
      <dgm:spPr/>
    </dgm:pt>
    <dgm:pt modelId="{009230F5-B830-EB41-ABFB-E6342E711F33}" type="pres">
      <dgm:prSet presAssocID="{3C0D9D3A-E01A-7C48-AEC6-421528CC4FE9}" presName="Name37" presStyleLbl="parChTrans1D3" presStyleIdx="3" presStyleCnt="19"/>
      <dgm:spPr/>
      <dgm:t>
        <a:bodyPr/>
        <a:lstStyle/>
        <a:p>
          <a:endParaRPr lang="en-US"/>
        </a:p>
      </dgm:t>
    </dgm:pt>
    <dgm:pt modelId="{74955CDC-530A-D44C-A33E-BEB062CFF38F}" type="pres">
      <dgm:prSet presAssocID="{6E7B8AE1-34DA-9A4B-BE13-2961A33F6489}" presName="hierRoot2" presStyleCnt="0">
        <dgm:presLayoutVars>
          <dgm:hierBranch val="init"/>
        </dgm:presLayoutVars>
      </dgm:prSet>
      <dgm:spPr/>
    </dgm:pt>
    <dgm:pt modelId="{81F4658E-71A9-7743-868C-CDAC63CABC95}" type="pres">
      <dgm:prSet presAssocID="{6E7B8AE1-34DA-9A4B-BE13-2961A33F6489}" presName="rootComposite" presStyleCnt="0"/>
      <dgm:spPr/>
    </dgm:pt>
    <dgm:pt modelId="{20E78230-D19E-414E-B865-F3BA76D7B29F}" type="pres">
      <dgm:prSet presAssocID="{6E7B8AE1-34DA-9A4B-BE13-2961A33F6489}" presName="rootText" presStyleLbl="node3" presStyleIdx="3" presStyleCnt="19" custScaleY="164255" custLinFactNeighborX="2482" custLinFactNeighborY="-66055">
        <dgm:presLayoutVars>
          <dgm:chPref val="3"/>
        </dgm:presLayoutVars>
      </dgm:prSet>
      <dgm:spPr/>
      <dgm:t>
        <a:bodyPr/>
        <a:lstStyle/>
        <a:p>
          <a:endParaRPr lang="en-US"/>
        </a:p>
      </dgm:t>
    </dgm:pt>
    <dgm:pt modelId="{EE90DB05-C6BE-E546-BEBC-579EA90FC290}" type="pres">
      <dgm:prSet presAssocID="{6E7B8AE1-34DA-9A4B-BE13-2961A33F6489}" presName="rootConnector" presStyleLbl="node3" presStyleIdx="3" presStyleCnt="19"/>
      <dgm:spPr/>
      <dgm:t>
        <a:bodyPr/>
        <a:lstStyle/>
        <a:p>
          <a:endParaRPr lang="en-US"/>
        </a:p>
      </dgm:t>
    </dgm:pt>
    <dgm:pt modelId="{16EB4296-E27D-8446-9783-42AD6DC29FF3}" type="pres">
      <dgm:prSet presAssocID="{6E7B8AE1-34DA-9A4B-BE13-2961A33F6489}" presName="hierChild4" presStyleCnt="0"/>
      <dgm:spPr/>
    </dgm:pt>
    <dgm:pt modelId="{3361EACD-A7C3-854B-AA7A-036C3FAB9DE0}" type="pres">
      <dgm:prSet presAssocID="{6E7B8AE1-34DA-9A4B-BE13-2961A33F6489}" presName="hierChild5" presStyleCnt="0"/>
      <dgm:spPr/>
    </dgm:pt>
    <dgm:pt modelId="{7C9BA176-6A30-5749-91FC-801580704232}" type="pres">
      <dgm:prSet presAssocID="{D935D60E-4001-DF4D-B59C-F575B642C4E3}" presName="Name37" presStyleLbl="parChTrans1D3" presStyleIdx="4" presStyleCnt="19"/>
      <dgm:spPr/>
      <dgm:t>
        <a:bodyPr/>
        <a:lstStyle/>
        <a:p>
          <a:endParaRPr lang="en-US"/>
        </a:p>
      </dgm:t>
    </dgm:pt>
    <dgm:pt modelId="{B9A389F5-87C1-6949-9E13-7539AA6E7544}" type="pres">
      <dgm:prSet presAssocID="{F10B4A8D-11D6-8447-9C42-608DD812778A}" presName="hierRoot2" presStyleCnt="0">
        <dgm:presLayoutVars>
          <dgm:hierBranch val="init"/>
        </dgm:presLayoutVars>
      </dgm:prSet>
      <dgm:spPr/>
    </dgm:pt>
    <dgm:pt modelId="{1D9CA788-06E4-A747-AD85-BE498EE383CB}" type="pres">
      <dgm:prSet presAssocID="{F10B4A8D-11D6-8447-9C42-608DD812778A}" presName="rootComposite" presStyleCnt="0"/>
      <dgm:spPr/>
    </dgm:pt>
    <dgm:pt modelId="{1173904E-D3C2-124A-9BE4-8DBFD268EA8C}" type="pres">
      <dgm:prSet presAssocID="{F10B4A8D-11D6-8447-9C42-608DD812778A}" presName="rootText" presStyleLbl="node3" presStyleIdx="4" presStyleCnt="19" custScaleY="189074" custLinFactNeighborX="2482" custLinFactNeighborY="-66055">
        <dgm:presLayoutVars>
          <dgm:chPref val="3"/>
        </dgm:presLayoutVars>
      </dgm:prSet>
      <dgm:spPr/>
      <dgm:t>
        <a:bodyPr/>
        <a:lstStyle/>
        <a:p>
          <a:endParaRPr lang="en-US"/>
        </a:p>
      </dgm:t>
    </dgm:pt>
    <dgm:pt modelId="{9D40FF64-7954-5C44-A5ED-0F58F354EED1}" type="pres">
      <dgm:prSet presAssocID="{F10B4A8D-11D6-8447-9C42-608DD812778A}" presName="rootConnector" presStyleLbl="node3" presStyleIdx="4" presStyleCnt="19"/>
      <dgm:spPr/>
      <dgm:t>
        <a:bodyPr/>
        <a:lstStyle/>
        <a:p>
          <a:endParaRPr lang="en-US"/>
        </a:p>
      </dgm:t>
    </dgm:pt>
    <dgm:pt modelId="{B53CBFD5-F410-AE4F-BDA7-21687C773993}" type="pres">
      <dgm:prSet presAssocID="{F10B4A8D-11D6-8447-9C42-608DD812778A}" presName="hierChild4" presStyleCnt="0"/>
      <dgm:spPr/>
    </dgm:pt>
    <dgm:pt modelId="{8DB8F77F-8CB2-0447-9B09-41275107D23D}" type="pres">
      <dgm:prSet presAssocID="{F10B4A8D-11D6-8447-9C42-608DD812778A}" presName="hierChild5" presStyleCnt="0"/>
      <dgm:spPr/>
    </dgm:pt>
    <dgm:pt modelId="{3282298D-7D85-EA47-81D8-DB50A2D6B742}" type="pres">
      <dgm:prSet presAssocID="{512D7DE5-9F3B-B747-900E-F81E23AD26A0}" presName="hierChild5" presStyleCnt="0"/>
      <dgm:spPr/>
    </dgm:pt>
    <dgm:pt modelId="{9CAADBD7-D9BB-F64F-8C87-4F46801038EE}" type="pres">
      <dgm:prSet presAssocID="{EF6E7128-3167-DC4D-B749-00C44B0290D7}" presName="hierChild3" presStyleCnt="0"/>
      <dgm:spPr/>
    </dgm:pt>
    <dgm:pt modelId="{BCF0F11E-D9A2-7045-87DA-1ABE8ECB567A}" type="pres">
      <dgm:prSet presAssocID="{C3A26D8A-E880-2642-9109-447A2C6D553D}" presName="hierRoot1" presStyleCnt="0">
        <dgm:presLayoutVars>
          <dgm:hierBranch val="init"/>
        </dgm:presLayoutVars>
      </dgm:prSet>
      <dgm:spPr/>
    </dgm:pt>
    <dgm:pt modelId="{D22A5C10-F3C6-B648-B69B-EF7A5D3873DD}" type="pres">
      <dgm:prSet presAssocID="{C3A26D8A-E880-2642-9109-447A2C6D553D}" presName="rootComposite1" presStyleCnt="0"/>
      <dgm:spPr/>
    </dgm:pt>
    <dgm:pt modelId="{41CB09C6-595D-EF40-84B2-175EC7BF4795}" type="pres">
      <dgm:prSet presAssocID="{C3A26D8A-E880-2642-9109-447A2C6D553D}" presName="rootText1" presStyleLbl="node0" presStyleIdx="1" presStyleCnt="3" custScaleX="297501" custScaleY="204535" custLinFactY="-33831" custLinFactNeighborX="4659" custLinFactNeighborY="-100000">
        <dgm:presLayoutVars>
          <dgm:chPref val="3"/>
        </dgm:presLayoutVars>
      </dgm:prSet>
      <dgm:spPr/>
      <dgm:t>
        <a:bodyPr/>
        <a:lstStyle/>
        <a:p>
          <a:endParaRPr lang="en-US"/>
        </a:p>
      </dgm:t>
    </dgm:pt>
    <dgm:pt modelId="{0839BB9C-DD24-4041-B558-7232B8D7601F}" type="pres">
      <dgm:prSet presAssocID="{C3A26D8A-E880-2642-9109-447A2C6D553D}" presName="rootConnector1" presStyleLbl="node1" presStyleIdx="0" presStyleCnt="0"/>
      <dgm:spPr/>
      <dgm:t>
        <a:bodyPr/>
        <a:lstStyle/>
        <a:p>
          <a:endParaRPr lang="en-US"/>
        </a:p>
      </dgm:t>
    </dgm:pt>
    <dgm:pt modelId="{CCD542E0-AE2B-ED4C-AABA-8DE37FCBBDF8}" type="pres">
      <dgm:prSet presAssocID="{C3A26D8A-E880-2642-9109-447A2C6D553D}" presName="hierChild2" presStyleCnt="0"/>
      <dgm:spPr/>
    </dgm:pt>
    <dgm:pt modelId="{E3924461-195C-0449-85F4-D8F6D81D5E25}" type="pres">
      <dgm:prSet presAssocID="{BE6C7E55-A580-8547-AF0D-868416D49D53}" presName="Name37" presStyleLbl="parChTrans1D2" presStyleIdx="2" presStyleCnt="8"/>
      <dgm:spPr/>
      <dgm:t>
        <a:bodyPr/>
        <a:lstStyle/>
        <a:p>
          <a:endParaRPr lang="en-US"/>
        </a:p>
      </dgm:t>
    </dgm:pt>
    <dgm:pt modelId="{26FDC80B-794F-1A4B-A106-60250EB8724F}" type="pres">
      <dgm:prSet presAssocID="{4652FCCA-8750-0D40-933C-6137A0AF0E99}" presName="hierRoot2" presStyleCnt="0">
        <dgm:presLayoutVars>
          <dgm:hierBranch val="init"/>
        </dgm:presLayoutVars>
      </dgm:prSet>
      <dgm:spPr/>
    </dgm:pt>
    <dgm:pt modelId="{1B998B11-E686-F24A-B9CE-85A9CFFB08EB}" type="pres">
      <dgm:prSet presAssocID="{4652FCCA-8750-0D40-933C-6137A0AF0E99}" presName="rootComposite" presStyleCnt="0"/>
      <dgm:spPr/>
    </dgm:pt>
    <dgm:pt modelId="{DC33DE3B-880F-4149-986D-693F670B7B73}" type="pres">
      <dgm:prSet presAssocID="{4652FCCA-8750-0D40-933C-6137A0AF0E99}" presName="rootText" presStyleLbl="node2" presStyleIdx="2" presStyleCnt="8" custScaleX="134338" custScaleY="342041" custLinFactNeighborX="1080" custLinFactNeighborY="-63382">
        <dgm:presLayoutVars>
          <dgm:chPref val="3"/>
        </dgm:presLayoutVars>
      </dgm:prSet>
      <dgm:spPr/>
      <dgm:t>
        <a:bodyPr/>
        <a:lstStyle/>
        <a:p>
          <a:endParaRPr lang="en-US"/>
        </a:p>
      </dgm:t>
    </dgm:pt>
    <dgm:pt modelId="{B090909C-4F5B-BE4A-8E8C-D0AFCE619FE0}" type="pres">
      <dgm:prSet presAssocID="{4652FCCA-8750-0D40-933C-6137A0AF0E99}" presName="rootConnector" presStyleLbl="node2" presStyleIdx="2" presStyleCnt="8"/>
      <dgm:spPr/>
      <dgm:t>
        <a:bodyPr/>
        <a:lstStyle/>
        <a:p>
          <a:endParaRPr lang="en-US"/>
        </a:p>
      </dgm:t>
    </dgm:pt>
    <dgm:pt modelId="{C3EC11E2-B664-D84A-ACAC-40915AC1BE8A}" type="pres">
      <dgm:prSet presAssocID="{4652FCCA-8750-0D40-933C-6137A0AF0E99}" presName="hierChild4" presStyleCnt="0"/>
      <dgm:spPr/>
    </dgm:pt>
    <dgm:pt modelId="{CCB1D022-33BC-694E-9AA7-765A2643DAA7}" type="pres">
      <dgm:prSet presAssocID="{E103B77F-8D25-3945-A198-9138954FB581}" presName="Name37" presStyleLbl="parChTrans1D3" presStyleIdx="5" presStyleCnt="19"/>
      <dgm:spPr/>
      <dgm:t>
        <a:bodyPr/>
        <a:lstStyle/>
        <a:p>
          <a:endParaRPr lang="en-US"/>
        </a:p>
      </dgm:t>
    </dgm:pt>
    <dgm:pt modelId="{4D1E7BF1-5D24-3D41-BD65-2E741F9CDC8F}" type="pres">
      <dgm:prSet presAssocID="{855EDA69-4BFC-BF44-9362-EC289AE66D13}" presName="hierRoot2" presStyleCnt="0">
        <dgm:presLayoutVars>
          <dgm:hierBranch val="init"/>
        </dgm:presLayoutVars>
      </dgm:prSet>
      <dgm:spPr/>
    </dgm:pt>
    <dgm:pt modelId="{233C1BFE-98D5-BB4A-A508-2B840466CE65}" type="pres">
      <dgm:prSet presAssocID="{855EDA69-4BFC-BF44-9362-EC289AE66D13}" presName="rootComposite" presStyleCnt="0"/>
      <dgm:spPr/>
    </dgm:pt>
    <dgm:pt modelId="{AC0F14A3-7D48-2248-899B-A7AA97D0D53B}" type="pres">
      <dgm:prSet presAssocID="{855EDA69-4BFC-BF44-9362-EC289AE66D13}" presName="rootText" presStyleLbl="node3" presStyleIdx="5" presStyleCnt="19" custLinFactNeighborX="2482" custLinFactNeighborY="-66055">
        <dgm:presLayoutVars>
          <dgm:chPref val="3"/>
        </dgm:presLayoutVars>
      </dgm:prSet>
      <dgm:spPr/>
      <dgm:t>
        <a:bodyPr/>
        <a:lstStyle/>
        <a:p>
          <a:endParaRPr lang="en-US"/>
        </a:p>
      </dgm:t>
    </dgm:pt>
    <dgm:pt modelId="{96AE0938-1012-4D47-9BE8-D80FBD62CC58}" type="pres">
      <dgm:prSet presAssocID="{855EDA69-4BFC-BF44-9362-EC289AE66D13}" presName="rootConnector" presStyleLbl="node3" presStyleIdx="5" presStyleCnt="19"/>
      <dgm:spPr/>
      <dgm:t>
        <a:bodyPr/>
        <a:lstStyle/>
        <a:p>
          <a:endParaRPr lang="en-US"/>
        </a:p>
      </dgm:t>
    </dgm:pt>
    <dgm:pt modelId="{E10C817E-97D2-0549-AAD7-00431B168852}" type="pres">
      <dgm:prSet presAssocID="{855EDA69-4BFC-BF44-9362-EC289AE66D13}" presName="hierChild4" presStyleCnt="0"/>
      <dgm:spPr/>
    </dgm:pt>
    <dgm:pt modelId="{A8316C79-7F4A-9F43-8406-DB16445275C9}" type="pres">
      <dgm:prSet presAssocID="{855EDA69-4BFC-BF44-9362-EC289AE66D13}" presName="hierChild5" presStyleCnt="0"/>
      <dgm:spPr/>
    </dgm:pt>
    <dgm:pt modelId="{00A15667-B140-1E42-A226-601E4FFB3802}" type="pres">
      <dgm:prSet presAssocID="{A0E08C26-C505-BA40-8FE4-7DE673499493}" presName="Name37" presStyleLbl="parChTrans1D3" presStyleIdx="6" presStyleCnt="19"/>
      <dgm:spPr/>
      <dgm:t>
        <a:bodyPr/>
        <a:lstStyle/>
        <a:p>
          <a:endParaRPr lang="en-US"/>
        </a:p>
      </dgm:t>
    </dgm:pt>
    <dgm:pt modelId="{AAAFCB6B-4085-AB4D-ADE8-E90D60EE2C4F}" type="pres">
      <dgm:prSet presAssocID="{D1611675-5D9C-7847-B7DC-B385AB2679D2}" presName="hierRoot2" presStyleCnt="0">
        <dgm:presLayoutVars>
          <dgm:hierBranch val="init"/>
        </dgm:presLayoutVars>
      </dgm:prSet>
      <dgm:spPr/>
    </dgm:pt>
    <dgm:pt modelId="{BC248B2C-2B3E-8C45-9CB6-AD902ADD3784}" type="pres">
      <dgm:prSet presAssocID="{D1611675-5D9C-7847-B7DC-B385AB2679D2}" presName="rootComposite" presStyleCnt="0"/>
      <dgm:spPr/>
    </dgm:pt>
    <dgm:pt modelId="{1CBBFD52-C98C-5245-A655-633EED9695A0}" type="pres">
      <dgm:prSet presAssocID="{D1611675-5D9C-7847-B7DC-B385AB2679D2}" presName="rootText" presStyleLbl="node3" presStyleIdx="6" presStyleCnt="19" custScaleY="223482" custLinFactNeighborX="2482" custLinFactNeighborY="-66055">
        <dgm:presLayoutVars>
          <dgm:chPref val="3"/>
        </dgm:presLayoutVars>
      </dgm:prSet>
      <dgm:spPr/>
      <dgm:t>
        <a:bodyPr/>
        <a:lstStyle/>
        <a:p>
          <a:endParaRPr lang="en-US"/>
        </a:p>
      </dgm:t>
    </dgm:pt>
    <dgm:pt modelId="{F7A4F007-AC03-6041-9090-722582E29BF6}" type="pres">
      <dgm:prSet presAssocID="{D1611675-5D9C-7847-B7DC-B385AB2679D2}" presName="rootConnector" presStyleLbl="node3" presStyleIdx="6" presStyleCnt="19"/>
      <dgm:spPr/>
      <dgm:t>
        <a:bodyPr/>
        <a:lstStyle/>
        <a:p>
          <a:endParaRPr lang="en-US"/>
        </a:p>
      </dgm:t>
    </dgm:pt>
    <dgm:pt modelId="{9D00C374-72C1-D947-AEED-CC8E717463E4}" type="pres">
      <dgm:prSet presAssocID="{D1611675-5D9C-7847-B7DC-B385AB2679D2}" presName="hierChild4" presStyleCnt="0"/>
      <dgm:spPr/>
    </dgm:pt>
    <dgm:pt modelId="{230EBB2F-2A8F-AD44-869F-9C225CBCA2D0}" type="pres">
      <dgm:prSet presAssocID="{D1611675-5D9C-7847-B7DC-B385AB2679D2}" presName="hierChild5" presStyleCnt="0"/>
      <dgm:spPr/>
    </dgm:pt>
    <dgm:pt modelId="{CDF64FCF-CC1F-5845-8B15-78E025BAD049}" type="pres">
      <dgm:prSet presAssocID="{4652FCCA-8750-0D40-933C-6137A0AF0E99}" presName="hierChild5" presStyleCnt="0"/>
      <dgm:spPr/>
    </dgm:pt>
    <dgm:pt modelId="{63F5FD9A-3F83-4940-8DD8-652AFFBCFFCA}" type="pres">
      <dgm:prSet presAssocID="{24121343-A23E-D046-A39C-DEC0EEC41F64}" presName="Name37" presStyleLbl="parChTrans1D2" presStyleIdx="3" presStyleCnt="8"/>
      <dgm:spPr/>
      <dgm:t>
        <a:bodyPr/>
        <a:lstStyle/>
        <a:p>
          <a:endParaRPr lang="en-US"/>
        </a:p>
      </dgm:t>
    </dgm:pt>
    <dgm:pt modelId="{1CFA35A8-3882-B24F-B5E3-414552EBE7C1}" type="pres">
      <dgm:prSet presAssocID="{C7B71EF1-6C71-924B-B194-AC035107C156}" presName="hierRoot2" presStyleCnt="0">
        <dgm:presLayoutVars>
          <dgm:hierBranch val="init"/>
        </dgm:presLayoutVars>
      </dgm:prSet>
      <dgm:spPr/>
    </dgm:pt>
    <dgm:pt modelId="{1BE196FA-6F38-8046-903E-A6D85FB93A65}" type="pres">
      <dgm:prSet presAssocID="{C7B71EF1-6C71-924B-B194-AC035107C156}" presName="rootComposite" presStyleCnt="0"/>
      <dgm:spPr/>
    </dgm:pt>
    <dgm:pt modelId="{17F87F29-E588-584C-A3F0-A4300B3BCD30}" type="pres">
      <dgm:prSet presAssocID="{C7B71EF1-6C71-924B-B194-AC035107C156}" presName="rootText" presStyleLbl="node2" presStyleIdx="3" presStyleCnt="8" custScaleX="134338" custScaleY="342041" custLinFactNeighborX="1080" custLinFactNeighborY="-63382">
        <dgm:presLayoutVars>
          <dgm:chPref val="3"/>
        </dgm:presLayoutVars>
      </dgm:prSet>
      <dgm:spPr/>
      <dgm:t>
        <a:bodyPr/>
        <a:lstStyle/>
        <a:p>
          <a:endParaRPr lang="en-US"/>
        </a:p>
      </dgm:t>
    </dgm:pt>
    <dgm:pt modelId="{7820115C-6F82-6144-ACE7-58B59F9B66A1}" type="pres">
      <dgm:prSet presAssocID="{C7B71EF1-6C71-924B-B194-AC035107C156}" presName="rootConnector" presStyleLbl="node2" presStyleIdx="3" presStyleCnt="8"/>
      <dgm:spPr/>
      <dgm:t>
        <a:bodyPr/>
        <a:lstStyle/>
        <a:p>
          <a:endParaRPr lang="en-US"/>
        </a:p>
      </dgm:t>
    </dgm:pt>
    <dgm:pt modelId="{B8720C88-1D9C-7B44-8393-48FC994DBE75}" type="pres">
      <dgm:prSet presAssocID="{C7B71EF1-6C71-924B-B194-AC035107C156}" presName="hierChild4" presStyleCnt="0"/>
      <dgm:spPr/>
    </dgm:pt>
    <dgm:pt modelId="{02847AA6-7813-2246-8185-6B286D65F9E7}" type="pres">
      <dgm:prSet presAssocID="{CEFAEB40-59AD-4546-A443-00EE085BD50F}" presName="Name37" presStyleLbl="parChTrans1D3" presStyleIdx="7" presStyleCnt="19"/>
      <dgm:spPr/>
      <dgm:t>
        <a:bodyPr/>
        <a:lstStyle/>
        <a:p>
          <a:endParaRPr lang="en-US"/>
        </a:p>
      </dgm:t>
    </dgm:pt>
    <dgm:pt modelId="{88ACAD00-C1FC-4143-8450-D4629E630201}" type="pres">
      <dgm:prSet presAssocID="{D3E44573-50D4-7540-9C76-62074D179706}" presName="hierRoot2" presStyleCnt="0">
        <dgm:presLayoutVars>
          <dgm:hierBranch val="init"/>
        </dgm:presLayoutVars>
      </dgm:prSet>
      <dgm:spPr/>
    </dgm:pt>
    <dgm:pt modelId="{1EC9C74F-EA8F-7B44-A8E2-40D80BEDA2CE}" type="pres">
      <dgm:prSet presAssocID="{D3E44573-50D4-7540-9C76-62074D179706}" presName="rootComposite" presStyleCnt="0"/>
      <dgm:spPr/>
    </dgm:pt>
    <dgm:pt modelId="{CB55810D-B712-7C49-A2E8-7A8562A9DD0A}" type="pres">
      <dgm:prSet presAssocID="{D3E44573-50D4-7540-9C76-62074D179706}" presName="rootText" presStyleLbl="node3" presStyleIdx="7" presStyleCnt="19" custLinFactNeighborX="2482" custLinFactNeighborY="-66055">
        <dgm:presLayoutVars>
          <dgm:chPref val="3"/>
        </dgm:presLayoutVars>
      </dgm:prSet>
      <dgm:spPr/>
      <dgm:t>
        <a:bodyPr/>
        <a:lstStyle/>
        <a:p>
          <a:endParaRPr lang="en-US"/>
        </a:p>
      </dgm:t>
    </dgm:pt>
    <dgm:pt modelId="{DC50BE6D-450D-A74C-AD2C-9DD0DCC5805D}" type="pres">
      <dgm:prSet presAssocID="{D3E44573-50D4-7540-9C76-62074D179706}" presName="rootConnector" presStyleLbl="node3" presStyleIdx="7" presStyleCnt="19"/>
      <dgm:spPr/>
      <dgm:t>
        <a:bodyPr/>
        <a:lstStyle/>
        <a:p>
          <a:endParaRPr lang="en-US"/>
        </a:p>
      </dgm:t>
    </dgm:pt>
    <dgm:pt modelId="{DE0F9768-FCBC-7F44-B809-B24DD3D0C457}" type="pres">
      <dgm:prSet presAssocID="{D3E44573-50D4-7540-9C76-62074D179706}" presName="hierChild4" presStyleCnt="0"/>
      <dgm:spPr/>
    </dgm:pt>
    <dgm:pt modelId="{5B75B51E-1434-F64E-AFE0-6D90F24DE61F}" type="pres">
      <dgm:prSet presAssocID="{D3E44573-50D4-7540-9C76-62074D179706}" presName="hierChild5" presStyleCnt="0"/>
      <dgm:spPr/>
    </dgm:pt>
    <dgm:pt modelId="{3B3FA96E-5853-3945-8EEA-73908AFCDB22}" type="pres">
      <dgm:prSet presAssocID="{164ADEA6-9E74-9C42-AA0A-F638D02051FF}" presName="Name37" presStyleLbl="parChTrans1D3" presStyleIdx="8" presStyleCnt="19"/>
      <dgm:spPr/>
      <dgm:t>
        <a:bodyPr/>
        <a:lstStyle/>
        <a:p>
          <a:endParaRPr lang="en-US"/>
        </a:p>
      </dgm:t>
    </dgm:pt>
    <dgm:pt modelId="{71B8FC93-B0E2-574A-8C83-1F376DDC8293}" type="pres">
      <dgm:prSet presAssocID="{47386434-B6C4-0847-9A78-C06A20F7E392}" presName="hierRoot2" presStyleCnt="0">
        <dgm:presLayoutVars>
          <dgm:hierBranch val="init"/>
        </dgm:presLayoutVars>
      </dgm:prSet>
      <dgm:spPr/>
    </dgm:pt>
    <dgm:pt modelId="{3F4B3B0D-646A-4B4E-B159-D2FEBAF8A4E3}" type="pres">
      <dgm:prSet presAssocID="{47386434-B6C4-0847-9A78-C06A20F7E392}" presName="rootComposite" presStyleCnt="0"/>
      <dgm:spPr/>
    </dgm:pt>
    <dgm:pt modelId="{97BA46C4-BBBA-7947-8CB7-58963293116B}" type="pres">
      <dgm:prSet presAssocID="{47386434-B6C4-0847-9A78-C06A20F7E392}" presName="rootText" presStyleLbl="node3" presStyleIdx="8" presStyleCnt="19" custScaleY="223482" custLinFactNeighborX="2482" custLinFactNeighborY="-66055">
        <dgm:presLayoutVars>
          <dgm:chPref val="3"/>
        </dgm:presLayoutVars>
      </dgm:prSet>
      <dgm:spPr/>
      <dgm:t>
        <a:bodyPr/>
        <a:lstStyle/>
        <a:p>
          <a:endParaRPr lang="en-US"/>
        </a:p>
      </dgm:t>
    </dgm:pt>
    <dgm:pt modelId="{6757472A-1B2A-EF4C-BF6C-7B4E34A71F0A}" type="pres">
      <dgm:prSet presAssocID="{47386434-B6C4-0847-9A78-C06A20F7E392}" presName="rootConnector" presStyleLbl="node3" presStyleIdx="8" presStyleCnt="19"/>
      <dgm:spPr/>
      <dgm:t>
        <a:bodyPr/>
        <a:lstStyle/>
        <a:p>
          <a:endParaRPr lang="en-US"/>
        </a:p>
      </dgm:t>
    </dgm:pt>
    <dgm:pt modelId="{7FF1834B-8BD4-8446-BD62-1DA0BED006F8}" type="pres">
      <dgm:prSet presAssocID="{47386434-B6C4-0847-9A78-C06A20F7E392}" presName="hierChild4" presStyleCnt="0"/>
      <dgm:spPr/>
    </dgm:pt>
    <dgm:pt modelId="{CE0A1A19-0830-B94F-9390-2A3D09421731}" type="pres">
      <dgm:prSet presAssocID="{47386434-B6C4-0847-9A78-C06A20F7E392}" presName="hierChild5" presStyleCnt="0"/>
      <dgm:spPr/>
    </dgm:pt>
    <dgm:pt modelId="{DFEBFC66-B171-6A47-A119-BC735EA25714}" type="pres">
      <dgm:prSet presAssocID="{C7B71EF1-6C71-924B-B194-AC035107C156}" presName="hierChild5" presStyleCnt="0"/>
      <dgm:spPr/>
    </dgm:pt>
    <dgm:pt modelId="{7802327E-B26B-8640-B7C8-A4670EE181B1}" type="pres">
      <dgm:prSet presAssocID="{46D547A0-125B-E24A-95D3-18A97DD94D0F}" presName="Name37" presStyleLbl="parChTrans1D2" presStyleIdx="4" presStyleCnt="8"/>
      <dgm:spPr/>
      <dgm:t>
        <a:bodyPr/>
        <a:lstStyle/>
        <a:p>
          <a:endParaRPr lang="en-US"/>
        </a:p>
      </dgm:t>
    </dgm:pt>
    <dgm:pt modelId="{D60F74D2-44F1-5E47-AF93-61BC129790EB}" type="pres">
      <dgm:prSet presAssocID="{83256D5A-47B7-344B-83FA-76BC7A825F48}" presName="hierRoot2" presStyleCnt="0">
        <dgm:presLayoutVars>
          <dgm:hierBranch val="init"/>
        </dgm:presLayoutVars>
      </dgm:prSet>
      <dgm:spPr/>
    </dgm:pt>
    <dgm:pt modelId="{FAACD1C4-B638-5341-A9FE-358324931380}" type="pres">
      <dgm:prSet presAssocID="{83256D5A-47B7-344B-83FA-76BC7A825F48}" presName="rootComposite" presStyleCnt="0"/>
      <dgm:spPr/>
    </dgm:pt>
    <dgm:pt modelId="{5215271E-34D8-B947-BE36-0F5C7D930FF4}" type="pres">
      <dgm:prSet presAssocID="{83256D5A-47B7-344B-83FA-76BC7A825F48}" presName="rootText" presStyleLbl="node2" presStyleIdx="4" presStyleCnt="8" custScaleX="134338" custScaleY="342041" custLinFactNeighborX="1080" custLinFactNeighborY="-63382">
        <dgm:presLayoutVars>
          <dgm:chPref val="3"/>
        </dgm:presLayoutVars>
      </dgm:prSet>
      <dgm:spPr/>
      <dgm:t>
        <a:bodyPr/>
        <a:lstStyle/>
        <a:p>
          <a:endParaRPr lang="en-US"/>
        </a:p>
      </dgm:t>
    </dgm:pt>
    <dgm:pt modelId="{B26A56FB-DEAE-E14B-8E95-CB07DC3CA159}" type="pres">
      <dgm:prSet presAssocID="{83256D5A-47B7-344B-83FA-76BC7A825F48}" presName="rootConnector" presStyleLbl="node2" presStyleIdx="4" presStyleCnt="8"/>
      <dgm:spPr/>
      <dgm:t>
        <a:bodyPr/>
        <a:lstStyle/>
        <a:p>
          <a:endParaRPr lang="en-US"/>
        </a:p>
      </dgm:t>
    </dgm:pt>
    <dgm:pt modelId="{0330A87D-BD71-B84C-8236-1E8B24E8B8A1}" type="pres">
      <dgm:prSet presAssocID="{83256D5A-47B7-344B-83FA-76BC7A825F48}" presName="hierChild4" presStyleCnt="0"/>
      <dgm:spPr/>
    </dgm:pt>
    <dgm:pt modelId="{0F152A4A-9797-5446-883C-2B0BE16DD189}" type="pres">
      <dgm:prSet presAssocID="{05EA7C1E-4DEB-9C49-8CFF-EE117DF6C671}" presName="Name37" presStyleLbl="parChTrans1D3" presStyleIdx="9" presStyleCnt="19"/>
      <dgm:spPr/>
      <dgm:t>
        <a:bodyPr/>
        <a:lstStyle/>
        <a:p>
          <a:endParaRPr lang="en-US"/>
        </a:p>
      </dgm:t>
    </dgm:pt>
    <dgm:pt modelId="{99379675-1BAD-9A4F-9A6E-A9851C3076A4}" type="pres">
      <dgm:prSet presAssocID="{12242F41-05C7-B74C-9968-FCC9BE99D200}" presName="hierRoot2" presStyleCnt="0">
        <dgm:presLayoutVars>
          <dgm:hierBranch val="init"/>
        </dgm:presLayoutVars>
      </dgm:prSet>
      <dgm:spPr/>
    </dgm:pt>
    <dgm:pt modelId="{BF543CC0-89CC-234C-97E0-183C92AB3E61}" type="pres">
      <dgm:prSet presAssocID="{12242F41-05C7-B74C-9968-FCC9BE99D200}" presName="rootComposite" presStyleCnt="0"/>
      <dgm:spPr/>
    </dgm:pt>
    <dgm:pt modelId="{785949AD-7E58-F045-8E91-128358998AD7}" type="pres">
      <dgm:prSet presAssocID="{12242F41-05C7-B74C-9968-FCC9BE99D200}" presName="rootText" presStyleLbl="node3" presStyleIdx="9" presStyleCnt="19" custScaleY="93872" custLinFactNeighborX="2482" custLinFactNeighborY="-66055">
        <dgm:presLayoutVars>
          <dgm:chPref val="3"/>
        </dgm:presLayoutVars>
      </dgm:prSet>
      <dgm:spPr/>
      <dgm:t>
        <a:bodyPr/>
        <a:lstStyle/>
        <a:p>
          <a:endParaRPr lang="en-US"/>
        </a:p>
      </dgm:t>
    </dgm:pt>
    <dgm:pt modelId="{A7E76F8D-3CF3-6E4A-81FE-BDBC2682DE5C}" type="pres">
      <dgm:prSet presAssocID="{12242F41-05C7-B74C-9968-FCC9BE99D200}" presName="rootConnector" presStyleLbl="node3" presStyleIdx="9" presStyleCnt="19"/>
      <dgm:spPr/>
      <dgm:t>
        <a:bodyPr/>
        <a:lstStyle/>
        <a:p>
          <a:endParaRPr lang="en-US"/>
        </a:p>
      </dgm:t>
    </dgm:pt>
    <dgm:pt modelId="{2603DFC2-7BDB-EA4E-AE67-657318EE6E71}" type="pres">
      <dgm:prSet presAssocID="{12242F41-05C7-B74C-9968-FCC9BE99D200}" presName="hierChild4" presStyleCnt="0"/>
      <dgm:spPr/>
    </dgm:pt>
    <dgm:pt modelId="{3BB09FB0-872F-7A4B-B670-7C75096805DA}" type="pres">
      <dgm:prSet presAssocID="{12242F41-05C7-B74C-9968-FCC9BE99D200}" presName="hierChild5" presStyleCnt="0"/>
      <dgm:spPr/>
    </dgm:pt>
    <dgm:pt modelId="{9E92BF9E-7A8E-D24D-8408-930C80564CC7}" type="pres">
      <dgm:prSet presAssocID="{F217ABD8-196B-6C4A-9A92-332B2BDA8F4D}" presName="Name37" presStyleLbl="parChTrans1D3" presStyleIdx="10" presStyleCnt="19"/>
      <dgm:spPr/>
      <dgm:t>
        <a:bodyPr/>
        <a:lstStyle/>
        <a:p>
          <a:endParaRPr lang="en-US"/>
        </a:p>
      </dgm:t>
    </dgm:pt>
    <dgm:pt modelId="{5BB62EB9-D3F2-A740-A7D9-127759B519E7}" type="pres">
      <dgm:prSet presAssocID="{99C7CD03-22FB-E648-9558-9956DA4E6E2C}" presName="hierRoot2" presStyleCnt="0">
        <dgm:presLayoutVars>
          <dgm:hierBranch val="init"/>
        </dgm:presLayoutVars>
      </dgm:prSet>
      <dgm:spPr/>
    </dgm:pt>
    <dgm:pt modelId="{FB95B7FD-91E3-5347-AA18-6F0741621CB4}" type="pres">
      <dgm:prSet presAssocID="{99C7CD03-22FB-E648-9558-9956DA4E6E2C}" presName="rootComposite" presStyleCnt="0"/>
      <dgm:spPr/>
    </dgm:pt>
    <dgm:pt modelId="{5D175287-1BAB-FA4E-A044-316BAF57273D}" type="pres">
      <dgm:prSet presAssocID="{99C7CD03-22FB-E648-9558-9956DA4E6E2C}" presName="rootText" presStyleLbl="node3" presStyleIdx="10" presStyleCnt="19" custScaleY="236011" custLinFactNeighborX="2482" custLinFactNeighborY="-66055">
        <dgm:presLayoutVars>
          <dgm:chPref val="3"/>
        </dgm:presLayoutVars>
      </dgm:prSet>
      <dgm:spPr/>
      <dgm:t>
        <a:bodyPr/>
        <a:lstStyle/>
        <a:p>
          <a:endParaRPr lang="en-US"/>
        </a:p>
      </dgm:t>
    </dgm:pt>
    <dgm:pt modelId="{C3A6BE32-A956-164D-A7E0-C0B98EE92B37}" type="pres">
      <dgm:prSet presAssocID="{99C7CD03-22FB-E648-9558-9956DA4E6E2C}" presName="rootConnector" presStyleLbl="node3" presStyleIdx="10" presStyleCnt="19"/>
      <dgm:spPr/>
      <dgm:t>
        <a:bodyPr/>
        <a:lstStyle/>
        <a:p>
          <a:endParaRPr lang="en-US"/>
        </a:p>
      </dgm:t>
    </dgm:pt>
    <dgm:pt modelId="{04807551-1B92-7D47-BC48-21EE2EEB2748}" type="pres">
      <dgm:prSet presAssocID="{99C7CD03-22FB-E648-9558-9956DA4E6E2C}" presName="hierChild4" presStyleCnt="0"/>
      <dgm:spPr/>
    </dgm:pt>
    <dgm:pt modelId="{772D1339-A2F7-254B-8118-A73E94E638E2}" type="pres">
      <dgm:prSet presAssocID="{99C7CD03-22FB-E648-9558-9956DA4E6E2C}" presName="hierChild5" presStyleCnt="0"/>
      <dgm:spPr/>
    </dgm:pt>
    <dgm:pt modelId="{1D572973-06AC-3D4F-86D7-157FED20E28A}" type="pres">
      <dgm:prSet presAssocID="{CFFAC826-18B1-EF47-B8AF-6A7523C6EEAD}" presName="Name37" presStyleLbl="parChTrans1D3" presStyleIdx="11" presStyleCnt="19"/>
      <dgm:spPr/>
      <dgm:t>
        <a:bodyPr/>
        <a:lstStyle/>
        <a:p>
          <a:endParaRPr lang="en-US"/>
        </a:p>
      </dgm:t>
    </dgm:pt>
    <dgm:pt modelId="{0802E1AD-6928-2A47-B03E-B47F7B1332C9}" type="pres">
      <dgm:prSet presAssocID="{9A0C45E4-4CA3-4D45-83D8-18D73E4CEFEC}" presName="hierRoot2" presStyleCnt="0">
        <dgm:presLayoutVars>
          <dgm:hierBranch val="init"/>
        </dgm:presLayoutVars>
      </dgm:prSet>
      <dgm:spPr/>
    </dgm:pt>
    <dgm:pt modelId="{2656C24A-8DEC-D94D-BE3A-545573344D8A}" type="pres">
      <dgm:prSet presAssocID="{9A0C45E4-4CA3-4D45-83D8-18D73E4CEFEC}" presName="rootComposite" presStyleCnt="0"/>
      <dgm:spPr/>
    </dgm:pt>
    <dgm:pt modelId="{381AB469-814E-0F4D-AC69-7E99DC382686}" type="pres">
      <dgm:prSet presAssocID="{9A0C45E4-4CA3-4D45-83D8-18D73E4CEFEC}" presName="rootText" presStyleLbl="node3" presStyleIdx="11" presStyleCnt="19" custScaleY="150791" custLinFactNeighborY="-45515">
        <dgm:presLayoutVars>
          <dgm:chPref val="3"/>
        </dgm:presLayoutVars>
      </dgm:prSet>
      <dgm:spPr/>
      <dgm:t>
        <a:bodyPr/>
        <a:lstStyle/>
        <a:p>
          <a:endParaRPr lang="en-US"/>
        </a:p>
      </dgm:t>
    </dgm:pt>
    <dgm:pt modelId="{76BA40BC-3CEC-EE43-9289-4C3A93462300}" type="pres">
      <dgm:prSet presAssocID="{9A0C45E4-4CA3-4D45-83D8-18D73E4CEFEC}" presName="rootConnector" presStyleLbl="node3" presStyleIdx="11" presStyleCnt="19"/>
      <dgm:spPr/>
      <dgm:t>
        <a:bodyPr/>
        <a:lstStyle/>
        <a:p>
          <a:endParaRPr lang="en-US"/>
        </a:p>
      </dgm:t>
    </dgm:pt>
    <dgm:pt modelId="{58FE9C2F-EB88-A646-901B-F22A816F22A5}" type="pres">
      <dgm:prSet presAssocID="{9A0C45E4-4CA3-4D45-83D8-18D73E4CEFEC}" presName="hierChild4" presStyleCnt="0"/>
      <dgm:spPr/>
    </dgm:pt>
    <dgm:pt modelId="{1DAA54C8-3757-3342-B7B7-3977779DBDF3}" type="pres">
      <dgm:prSet presAssocID="{9A0C45E4-4CA3-4D45-83D8-18D73E4CEFEC}" presName="hierChild5" presStyleCnt="0"/>
      <dgm:spPr/>
    </dgm:pt>
    <dgm:pt modelId="{16574B3A-B15D-5F41-A072-5858977AFF86}" type="pres">
      <dgm:prSet presAssocID="{83256D5A-47B7-344B-83FA-76BC7A825F48}" presName="hierChild5" presStyleCnt="0"/>
      <dgm:spPr/>
    </dgm:pt>
    <dgm:pt modelId="{7AA79EEB-31C6-1448-B402-D8A09EC89919}" type="pres">
      <dgm:prSet presAssocID="{C3A26D8A-E880-2642-9109-447A2C6D553D}" presName="hierChild3" presStyleCnt="0"/>
      <dgm:spPr/>
    </dgm:pt>
    <dgm:pt modelId="{C713370A-E242-434B-BB5C-251BBAB30970}" type="pres">
      <dgm:prSet presAssocID="{1A654E76-FD8F-AA4F-B131-65C5D86D7486}" presName="hierRoot1" presStyleCnt="0">
        <dgm:presLayoutVars>
          <dgm:hierBranch val="init"/>
        </dgm:presLayoutVars>
      </dgm:prSet>
      <dgm:spPr/>
    </dgm:pt>
    <dgm:pt modelId="{3B65A37E-6D08-9F48-86D4-A52BF977E21E}" type="pres">
      <dgm:prSet presAssocID="{1A654E76-FD8F-AA4F-B131-65C5D86D7486}" presName="rootComposite1" presStyleCnt="0"/>
      <dgm:spPr/>
    </dgm:pt>
    <dgm:pt modelId="{20B84DE0-EF71-CC40-84E4-EC339FDDFB43}" type="pres">
      <dgm:prSet presAssocID="{1A654E76-FD8F-AA4F-B131-65C5D86D7486}" presName="rootText1" presStyleLbl="node0" presStyleIdx="2" presStyleCnt="3" custScaleX="347991" custScaleY="204535" custLinFactY="-33831" custLinFactNeighborX="4659" custLinFactNeighborY="-100000">
        <dgm:presLayoutVars>
          <dgm:chPref val="3"/>
        </dgm:presLayoutVars>
      </dgm:prSet>
      <dgm:spPr/>
      <dgm:t>
        <a:bodyPr/>
        <a:lstStyle/>
        <a:p>
          <a:endParaRPr lang="en-US"/>
        </a:p>
      </dgm:t>
    </dgm:pt>
    <dgm:pt modelId="{6C2963DA-897A-3245-AE4D-56A28D7554CA}" type="pres">
      <dgm:prSet presAssocID="{1A654E76-FD8F-AA4F-B131-65C5D86D7486}" presName="rootConnector1" presStyleLbl="node1" presStyleIdx="0" presStyleCnt="0"/>
      <dgm:spPr/>
      <dgm:t>
        <a:bodyPr/>
        <a:lstStyle/>
        <a:p>
          <a:endParaRPr lang="en-US"/>
        </a:p>
      </dgm:t>
    </dgm:pt>
    <dgm:pt modelId="{EFAF5D23-9745-3F47-B950-14BCD9C44B75}" type="pres">
      <dgm:prSet presAssocID="{1A654E76-FD8F-AA4F-B131-65C5D86D7486}" presName="hierChild2" presStyleCnt="0"/>
      <dgm:spPr/>
    </dgm:pt>
    <dgm:pt modelId="{BF330414-AD90-9A43-9C16-64C06FB1D589}" type="pres">
      <dgm:prSet presAssocID="{DC21892E-FC9D-2544-B7BD-741ADB9ACC64}" presName="Name37" presStyleLbl="parChTrans1D2" presStyleIdx="5" presStyleCnt="8"/>
      <dgm:spPr/>
      <dgm:t>
        <a:bodyPr/>
        <a:lstStyle/>
        <a:p>
          <a:endParaRPr lang="en-US"/>
        </a:p>
      </dgm:t>
    </dgm:pt>
    <dgm:pt modelId="{BFEB508C-BB84-7D49-8DB2-1FF14358A2F8}" type="pres">
      <dgm:prSet presAssocID="{FE9144A1-6C5D-784B-8B8E-F34B3E57CB75}" presName="hierRoot2" presStyleCnt="0">
        <dgm:presLayoutVars>
          <dgm:hierBranch val="init"/>
        </dgm:presLayoutVars>
      </dgm:prSet>
      <dgm:spPr/>
    </dgm:pt>
    <dgm:pt modelId="{A0BCDA84-20FD-2A4B-9058-57B21D5B051E}" type="pres">
      <dgm:prSet presAssocID="{FE9144A1-6C5D-784B-8B8E-F34B3E57CB75}" presName="rootComposite" presStyleCnt="0"/>
      <dgm:spPr/>
    </dgm:pt>
    <dgm:pt modelId="{EAA225B1-EDCB-884E-9919-124FDDE592F8}" type="pres">
      <dgm:prSet presAssocID="{FE9144A1-6C5D-784B-8B8E-F34B3E57CB75}" presName="rootText" presStyleLbl="node2" presStyleIdx="5" presStyleCnt="8" custScaleX="134338" custScaleY="342041" custLinFactNeighborX="1080" custLinFactNeighborY="-63382">
        <dgm:presLayoutVars>
          <dgm:chPref val="3"/>
        </dgm:presLayoutVars>
      </dgm:prSet>
      <dgm:spPr/>
      <dgm:t>
        <a:bodyPr/>
        <a:lstStyle/>
        <a:p>
          <a:endParaRPr lang="en-US"/>
        </a:p>
      </dgm:t>
    </dgm:pt>
    <dgm:pt modelId="{81B711BE-0576-F64A-83E7-20673EED9DC9}" type="pres">
      <dgm:prSet presAssocID="{FE9144A1-6C5D-784B-8B8E-F34B3E57CB75}" presName="rootConnector" presStyleLbl="node2" presStyleIdx="5" presStyleCnt="8"/>
      <dgm:spPr/>
      <dgm:t>
        <a:bodyPr/>
        <a:lstStyle/>
        <a:p>
          <a:endParaRPr lang="en-US"/>
        </a:p>
      </dgm:t>
    </dgm:pt>
    <dgm:pt modelId="{02BB624B-6DAC-B94B-80DC-574010AC4766}" type="pres">
      <dgm:prSet presAssocID="{FE9144A1-6C5D-784B-8B8E-F34B3E57CB75}" presName="hierChild4" presStyleCnt="0"/>
      <dgm:spPr/>
    </dgm:pt>
    <dgm:pt modelId="{D11CC9AB-31C8-774F-B033-F3B6C8B20063}" type="pres">
      <dgm:prSet presAssocID="{6555C297-46E5-224E-A5BE-E18D7CB91E8B}" presName="Name37" presStyleLbl="parChTrans1D3" presStyleIdx="12" presStyleCnt="19"/>
      <dgm:spPr/>
      <dgm:t>
        <a:bodyPr/>
        <a:lstStyle/>
        <a:p>
          <a:endParaRPr lang="en-US"/>
        </a:p>
      </dgm:t>
    </dgm:pt>
    <dgm:pt modelId="{FE8EA8CA-5449-184C-915D-3354B93754B8}" type="pres">
      <dgm:prSet presAssocID="{6D19AB04-78D7-1043-BA80-8CF8D53D7FC3}" presName="hierRoot2" presStyleCnt="0">
        <dgm:presLayoutVars>
          <dgm:hierBranch val="init"/>
        </dgm:presLayoutVars>
      </dgm:prSet>
      <dgm:spPr/>
    </dgm:pt>
    <dgm:pt modelId="{575018C8-B87E-E741-8AB8-BBDD8F33D8A2}" type="pres">
      <dgm:prSet presAssocID="{6D19AB04-78D7-1043-BA80-8CF8D53D7FC3}" presName="rootComposite" presStyleCnt="0"/>
      <dgm:spPr/>
    </dgm:pt>
    <dgm:pt modelId="{0D5524E3-8BA1-384B-9ECB-17B6A3F10CAE}" type="pres">
      <dgm:prSet presAssocID="{6D19AB04-78D7-1043-BA80-8CF8D53D7FC3}" presName="rootText" presStyleLbl="node3" presStyleIdx="12" presStyleCnt="19" custScaleY="242606" custLinFactNeighborX="2482" custLinFactNeighborY="-66055">
        <dgm:presLayoutVars>
          <dgm:chPref val="3"/>
        </dgm:presLayoutVars>
      </dgm:prSet>
      <dgm:spPr/>
      <dgm:t>
        <a:bodyPr/>
        <a:lstStyle/>
        <a:p>
          <a:endParaRPr lang="en-US"/>
        </a:p>
      </dgm:t>
    </dgm:pt>
    <dgm:pt modelId="{744080AD-2AF4-8745-AADB-BCF906B609C6}" type="pres">
      <dgm:prSet presAssocID="{6D19AB04-78D7-1043-BA80-8CF8D53D7FC3}" presName="rootConnector" presStyleLbl="node3" presStyleIdx="12" presStyleCnt="19"/>
      <dgm:spPr/>
      <dgm:t>
        <a:bodyPr/>
        <a:lstStyle/>
        <a:p>
          <a:endParaRPr lang="en-US"/>
        </a:p>
      </dgm:t>
    </dgm:pt>
    <dgm:pt modelId="{0DB90857-F377-344C-A2B3-CEF7DF80F205}" type="pres">
      <dgm:prSet presAssocID="{6D19AB04-78D7-1043-BA80-8CF8D53D7FC3}" presName="hierChild4" presStyleCnt="0"/>
      <dgm:spPr/>
    </dgm:pt>
    <dgm:pt modelId="{B4296B5A-86F9-7742-BDB5-4016C403D957}" type="pres">
      <dgm:prSet presAssocID="{6D19AB04-78D7-1043-BA80-8CF8D53D7FC3}" presName="hierChild5" presStyleCnt="0"/>
      <dgm:spPr/>
    </dgm:pt>
    <dgm:pt modelId="{3F181781-ACD1-7C4F-A784-524E36404702}" type="pres">
      <dgm:prSet presAssocID="{7CABEE52-7626-8843-894E-13B00645E12F}" presName="Name37" presStyleLbl="parChTrans1D3" presStyleIdx="13" presStyleCnt="19"/>
      <dgm:spPr/>
      <dgm:t>
        <a:bodyPr/>
        <a:lstStyle/>
        <a:p>
          <a:endParaRPr lang="en-US"/>
        </a:p>
      </dgm:t>
    </dgm:pt>
    <dgm:pt modelId="{5BD555A5-B1FB-3C4F-8A70-DF818DAE4A00}" type="pres">
      <dgm:prSet presAssocID="{B79C010E-C8C3-7746-85D1-3AB1C9EC2354}" presName="hierRoot2" presStyleCnt="0">
        <dgm:presLayoutVars>
          <dgm:hierBranch val="init"/>
        </dgm:presLayoutVars>
      </dgm:prSet>
      <dgm:spPr/>
    </dgm:pt>
    <dgm:pt modelId="{20F79E6B-1EF4-9548-BD40-BB9E1227A3E9}" type="pres">
      <dgm:prSet presAssocID="{B79C010E-C8C3-7746-85D1-3AB1C9EC2354}" presName="rootComposite" presStyleCnt="0"/>
      <dgm:spPr/>
    </dgm:pt>
    <dgm:pt modelId="{6B4B8A6E-8568-F24E-9F1F-42CD74FEA629}" type="pres">
      <dgm:prSet presAssocID="{B79C010E-C8C3-7746-85D1-3AB1C9EC2354}" presName="rootText" presStyleLbl="node3" presStyleIdx="13" presStyleCnt="19" custScaleY="171668" custLinFactNeighborX="2482" custLinFactNeighborY="-66055">
        <dgm:presLayoutVars>
          <dgm:chPref val="3"/>
        </dgm:presLayoutVars>
      </dgm:prSet>
      <dgm:spPr/>
      <dgm:t>
        <a:bodyPr/>
        <a:lstStyle/>
        <a:p>
          <a:endParaRPr lang="en-US"/>
        </a:p>
      </dgm:t>
    </dgm:pt>
    <dgm:pt modelId="{A3236924-9B88-BF49-AFFF-57BA992AD0C0}" type="pres">
      <dgm:prSet presAssocID="{B79C010E-C8C3-7746-85D1-3AB1C9EC2354}" presName="rootConnector" presStyleLbl="node3" presStyleIdx="13" presStyleCnt="19"/>
      <dgm:spPr/>
      <dgm:t>
        <a:bodyPr/>
        <a:lstStyle/>
        <a:p>
          <a:endParaRPr lang="en-US"/>
        </a:p>
      </dgm:t>
    </dgm:pt>
    <dgm:pt modelId="{BB802D4C-F910-B845-A5EE-57A69E121A17}" type="pres">
      <dgm:prSet presAssocID="{B79C010E-C8C3-7746-85D1-3AB1C9EC2354}" presName="hierChild4" presStyleCnt="0"/>
      <dgm:spPr/>
    </dgm:pt>
    <dgm:pt modelId="{D5EEB60C-21CA-7443-A0F8-C8E26EB07741}" type="pres">
      <dgm:prSet presAssocID="{B79C010E-C8C3-7746-85D1-3AB1C9EC2354}" presName="hierChild5" presStyleCnt="0"/>
      <dgm:spPr/>
    </dgm:pt>
    <dgm:pt modelId="{09E500E9-B0D3-B84A-A9D4-D117820A3D14}" type="pres">
      <dgm:prSet presAssocID="{FE9144A1-6C5D-784B-8B8E-F34B3E57CB75}" presName="hierChild5" presStyleCnt="0"/>
      <dgm:spPr/>
    </dgm:pt>
    <dgm:pt modelId="{A6BD58D8-680B-CA40-B38E-CCA465C9B611}" type="pres">
      <dgm:prSet presAssocID="{111AB15A-0A0F-2442-8392-250166A6338E}" presName="Name37" presStyleLbl="parChTrans1D2" presStyleIdx="6" presStyleCnt="8"/>
      <dgm:spPr/>
      <dgm:t>
        <a:bodyPr/>
        <a:lstStyle/>
        <a:p>
          <a:endParaRPr lang="en-US"/>
        </a:p>
      </dgm:t>
    </dgm:pt>
    <dgm:pt modelId="{392206EB-2368-D949-8F2C-078D270299D9}" type="pres">
      <dgm:prSet presAssocID="{A5266370-2C11-A744-A727-C7AEF9571BF1}" presName="hierRoot2" presStyleCnt="0">
        <dgm:presLayoutVars>
          <dgm:hierBranch val="init"/>
        </dgm:presLayoutVars>
      </dgm:prSet>
      <dgm:spPr/>
    </dgm:pt>
    <dgm:pt modelId="{595FCF48-3855-CC46-8F21-D4E2648BDEAB}" type="pres">
      <dgm:prSet presAssocID="{A5266370-2C11-A744-A727-C7AEF9571BF1}" presName="rootComposite" presStyleCnt="0"/>
      <dgm:spPr/>
    </dgm:pt>
    <dgm:pt modelId="{E797DDBE-F4A3-3641-9284-06369B84E104}" type="pres">
      <dgm:prSet presAssocID="{A5266370-2C11-A744-A727-C7AEF9571BF1}" presName="rootText" presStyleLbl="node2" presStyleIdx="6" presStyleCnt="8" custScaleX="132604" custScaleY="342041" custLinFactNeighborX="1080" custLinFactNeighborY="-63382">
        <dgm:presLayoutVars>
          <dgm:chPref val="3"/>
        </dgm:presLayoutVars>
      </dgm:prSet>
      <dgm:spPr/>
      <dgm:t>
        <a:bodyPr/>
        <a:lstStyle/>
        <a:p>
          <a:endParaRPr lang="en-US"/>
        </a:p>
      </dgm:t>
    </dgm:pt>
    <dgm:pt modelId="{76E57581-DAF7-EC47-BA36-BF8FF52A8632}" type="pres">
      <dgm:prSet presAssocID="{A5266370-2C11-A744-A727-C7AEF9571BF1}" presName="rootConnector" presStyleLbl="node2" presStyleIdx="6" presStyleCnt="8"/>
      <dgm:spPr/>
      <dgm:t>
        <a:bodyPr/>
        <a:lstStyle/>
        <a:p>
          <a:endParaRPr lang="en-US"/>
        </a:p>
      </dgm:t>
    </dgm:pt>
    <dgm:pt modelId="{5429FAD5-83BF-D141-8967-0348F26EDE5B}" type="pres">
      <dgm:prSet presAssocID="{A5266370-2C11-A744-A727-C7AEF9571BF1}" presName="hierChild4" presStyleCnt="0"/>
      <dgm:spPr/>
    </dgm:pt>
    <dgm:pt modelId="{5C2B093C-A424-BC46-81CC-3B703C35AAAD}" type="pres">
      <dgm:prSet presAssocID="{F173DC0F-AA0B-0E47-A28A-90D367651E2F}" presName="Name37" presStyleLbl="parChTrans1D3" presStyleIdx="14" presStyleCnt="19"/>
      <dgm:spPr/>
      <dgm:t>
        <a:bodyPr/>
        <a:lstStyle/>
        <a:p>
          <a:endParaRPr lang="en-US"/>
        </a:p>
      </dgm:t>
    </dgm:pt>
    <dgm:pt modelId="{4F19D2E7-F78F-A849-AADC-42FB2A20E3B5}" type="pres">
      <dgm:prSet presAssocID="{1FA36C25-6EEF-BE41-A62F-5C794CC17A92}" presName="hierRoot2" presStyleCnt="0">
        <dgm:presLayoutVars>
          <dgm:hierBranch val="init"/>
        </dgm:presLayoutVars>
      </dgm:prSet>
      <dgm:spPr/>
    </dgm:pt>
    <dgm:pt modelId="{42C84973-3793-324C-802F-E9C15E3E6093}" type="pres">
      <dgm:prSet presAssocID="{1FA36C25-6EEF-BE41-A62F-5C794CC17A92}" presName="rootComposite" presStyleCnt="0"/>
      <dgm:spPr/>
    </dgm:pt>
    <dgm:pt modelId="{986FCC6B-500E-154E-A714-1A628D18AF99}" type="pres">
      <dgm:prSet presAssocID="{1FA36C25-6EEF-BE41-A62F-5C794CC17A92}" presName="rootText" presStyleLbl="node3" presStyleIdx="14" presStyleCnt="19" custScaleX="104693" custScaleY="265854" custLinFactNeighborX="2482" custLinFactNeighborY="-66055">
        <dgm:presLayoutVars>
          <dgm:chPref val="3"/>
        </dgm:presLayoutVars>
      </dgm:prSet>
      <dgm:spPr/>
      <dgm:t>
        <a:bodyPr/>
        <a:lstStyle/>
        <a:p>
          <a:endParaRPr lang="en-US"/>
        </a:p>
      </dgm:t>
    </dgm:pt>
    <dgm:pt modelId="{DBEB3F09-A69E-264A-80F1-5BF81FBDFBDD}" type="pres">
      <dgm:prSet presAssocID="{1FA36C25-6EEF-BE41-A62F-5C794CC17A92}" presName="rootConnector" presStyleLbl="node3" presStyleIdx="14" presStyleCnt="19"/>
      <dgm:spPr/>
      <dgm:t>
        <a:bodyPr/>
        <a:lstStyle/>
        <a:p>
          <a:endParaRPr lang="en-US"/>
        </a:p>
      </dgm:t>
    </dgm:pt>
    <dgm:pt modelId="{4D369991-C734-7446-9489-3BD48AB761DD}" type="pres">
      <dgm:prSet presAssocID="{1FA36C25-6EEF-BE41-A62F-5C794CC17A92}" presName="hierChild4" presStyleCnt="0"/>
      <dgm:spPr/>
    </dgm:pt>
    <dgm:pt modelId="{01387850-25B0-2E45-9327-F07548BEA950}" type="pres">
      <dgm:prSet presAssocID="{1FA36C25-6EEF-BE41-A62F-5C794CC17A92}" presName="hierChild5" presStyleCnt="0"/>
      <dgm:spPr/>
    </dgm:pt>
    <dgm:pt modelId="{968B1083-22BC-1240-A395-320DC0E6C24F}" type="pres">
      <dgm:prSet presAssocID="{0F436B63-1A58-5545-9A7E-C134CC7A4134}" presName="Name37" presStyleLbl="parChTrans1D3" presStyleIdx="15" presStyleCnt="19"/>
      <dgm:spPr/>
      <dgm:t>
        <a:bodyPr/>
        <a:lstStyle/>
        <a:p>
          <a:endParaRPr lang="en-US"/>
        </a:p>
      </dgm:t>
    </dgm:pt>
    <dgm:pt modelId="{F2E51871-8872-FD4C-B07A-485E83DF2917}" type="pres">
      <dgm:prSet presAssocID="{6F6498F2-1BA6-CC48-8A87-10C5D432199A}" presName="hierRoot2" presStyleCnt="0">
        <dgm:presLayoutVars>
          <dgm:hierBranch val="init"/>
        </dgm:presLayoutVars>
      </dgm:prSet>
      <dgm:spPr/>
    </dgm:pt>
    <dgm:pt modelId="{4A705897-8E64-424B-9102-4672CAADD2F1}" type="pres">
      <dgm:prSet presAssocID="{6F6498F2-1BA6-CC48-8A87-10C5D432199A}" presName="rootComposite" presStyleCnt="0"/>
      <dgm:spPr/>
    </dgm:pt>
    <dgm:pt modelId="{70683DDB-2EEB-9C4D-9880-C965858F8CC0}" type="pres">
      <dgm:prSet presAssocID="{6F6498F2-1BA6-CC48-8A87-10C5D432199A}" presName="rootText" presStyleLbl="node3" presStyleIdx="15" presStyleCnt="19" custScaleX="104693" custScaleY="273495" custLinFactNeighborX="2482" custLinFactNeighborY="-66055">
        <dgm:presLayoutVars>
          <dgm:chPref val="3"/>
        </dgm:presLayoutVars>
      </dgm:prSet>
      <dgm:spPr/>
      <dgm:t>
        <a:bodyPr/>
        <a:lstStyle/>
        <a:p>
          <a:endParaRPr lang="en-US"/>
        </a:p>
      </dgm:t>
    </dgm:pt>
    <dgm:pt modelId="{A42B52EF-08F0-F74E-9C78-753107E28FA4}" type="pres">
      <dgm:prSet presAssocID="{6F6498F2-1BA6-CC48-8A87-10C5D432199A}" presName="rootConnector" presStyleLbl="node3" presStyleIdx="15" presStyleCnt="19"/>
      <dgm:spPr/>
      <dgm:t>
        <a:bodyPr/>
        <a:lstStyle/>
        <a:p>
          <a:endParaRPr lang="en-US"/>
        </a:p>
      </dgm:t>
    </dgm:pt>
    <dgm:pt modelId="{981043E5-E53D-CC46-9760-21D004BEFD7F}" type="pres">
      <dgm:prSet presAssocID="{6F6498F2-1BA6-CC48-8A87-10C5D432199A}" presName="hierChild4" presStyleCnt="0"/>
      <dgm:spPr/>
    </dgm:pt>
    <dgm:pt modelId="{9FBF6AD1-1973-D343-AADE-714D56647FD7}" type="pres">
      <dgm:prSet presAssocID="{6F6498F2-1BA6-CC48-8A87-10C5D432199A}" presName="hierChild5" presStyleCnt="0"/>
      <dgm:spPr/>
    </dgm:pt>
    <dgm:pt modelId="{DBBE7FB5-B7B7-0148-B6A7-BF32D857344A}" type="pres">
      <dgm:prSet presAssocID="{787C9E9B-2A65-AF4F-939C-1595685EF88C}" presName="Name37" presStyleLbl="parChTrans1D3" presStyleIdx="16" presStyleCnt="19"/>
      <dgm:spPr/>
      <dgm:t>
        <a:bodyPr/>
        <a:lstStyle/>
        <a:p>
          <a:endParaRPr lang="en-US"/>
        </a:p>
      </dgm:t>
    </dgm:pt>
    <dgm:pt modelId="{D8C2DDB2-6998-904C-B55A-8CBDEF5EBC13}" type="pres">
      <dgm:prSet presAssocID="{709FB237-CB4A-4A41-91E8-F229A0092754}" presName="hierRoot2" presStyleCnt="0">
        <dgm:presLayoutVars>
          <dgm:hierBranch val="init"/>
        </dgm:presLayoutVars>
      </dgm:prSet>
      <dgm:spPr/>
    </dgm:pt>
    <dgm:pt modelId="{CB816178-6740-444C-AEA1-29401C697892}" type="pres">
      <dgm:prSet presAssocID="{709FB237-CB4A-4A41-91E8-F229A0092754}" presName="rootComposite" presStyleCnt="0"/>
      <dgm:spPr/>
    </dgm:pt>
    <dgm:pt modelId="{E794A87A-AC2C-724F-B2A3-EA3569E40C8E}" type="pres">
      <dgm:prSet presAssocID="{709FB237-CB4A-4A41-91E8-F229A0092754}" presName="rootText" presStyleLbl="node3" presStyleIdx="16" presStyleCnt="19" custScaleX="104693" custLinFactNeighborX="2482" custLinFactNeighborY="-66055">
        <dgm:presLayoutVars>
          <dgm:chPref val="3"/>
        </dgm:presLayoutVars>
      </dgm:prSet>
      <dgm:spPr/>
      <dgm:t>
        <a:bodyPr/>
        <a:lstStyle/>
        <a:p>
          <a:endParaRPr lang="en-US"/>
        </a:p>
      </dgm:t>
    </dgm:pt>
    <dgm:pt modelId="{5563B32F-28C4-0746-B8BC-1A21DD8CE610}" type="pres">
      <dgm:prSet presAssocID="{709FB237-CB4A-4A41-91E8-F229A0092754}" presName="rootConnector" presStyleLbl="node3" presStyleIdx="16" presStyleCnt="19"/>
      <dgm:spPr/>
      <dgm:t>
        <a:bodyPr/>
        <a:lstStyle/>
        <a:p>
          <a:endParaRPr lang="en-US"/>
        </a:p>
      </dgm:t>
    </dgm:pt>
    <dgm:pt modelId="{3D69E301-A123-3E4F-9B54-E557D7A003B7}" type="pres">
      <dgm:prSet presAssocID="{709FB237-CB4A-4A41-91E8-F229A0092754}" presName="hierChild4" presStyleCnt="0"/>
      <dgm:spPr/>
    </dgm:pt>
    <dgm:pt modelId="{AC498EEF-5407-2140-9EA1-3A6AE353C27E}" type="pres">
      <dgm:prSet presAssocID="{709FB237-CB4A-4A41-91E8-F229A0092754}" presName="hierChild5" presStyleCnt="0"/>
      <dgm:spPr/>
    </dgm:pt>
    <dgm:pt modelId="{8194E581-10F2-334E-9557-678C33606240}" type="pres">
      <dgm:prSet presAssocID="{A5266370-2C11-A744-A727-C7AEF9571BF1}" presName="hierChild5" presStyleCnt="0"/>
      <dgm:spPr/>
    </dgm:pt>
    <dgm:pt modelId="{E1CD4D24-A6D6-1649-9B73-57836C8557DB}" type="pres">
      <dgm:prSet presAssocID="{C89C527C-4A15-A540-8416-CD85E97F5DC6}" presName="Name37" presStyleLbl="parChTrans1D2" presStyleIdx="7" presStyleCnt="8"/>
      <dgm:spPr/>
      <dgm:t>
        <a:bodyPr/>
        <a:lstStyle/>
        <a:p>
          <a:endParaRPr lang="en-US"/>
        </a:p>
      </dgm:t>
    </dgm:pt>
    <dgm:pt modelId="{83D53FC6-FDB7-7F4D-B0F1-80FDC373DDD7}" type="pres">
      <dgm:prSet presAssocID="{6D5BD3B7-A8EC-1E41-A15A-DF35F88230FB}" presName="hierRoot2" presStyleCnt="0">
        <dgm:presLayoutVars>
          <dgm:hierBranch val="init"/>
        </dgm:presLayoutVars>
      </dgm:prSet>
      <dgm:spPr/>
    </dgm:pt>
    <dgm:pt modelId="{EED7C1C4-713A-7648-83F6-781237DAEDD5}" type="pres">
      <dgm:prSet presAssocID="{6D5BD3B7-A8EC-1E41-A15A-DF35F88230FB}" presName="rootComposite" presStyleCnt="0"/>
      <dgm:spPr/>
    </dgm:pt>
    <dgm:pt modelId="{27023BF1-E5FA-1A41-A944-F6D91E93A8DA}" type="pres">
      <dgm:prSet presAssocID="{6D5BD3B7-A8EC-1E41-A15A-DF35F88230FB}" presName="rootText" presStyleLbl="node2" presStyleIdx="7" presStyleCnt="8" custScaleX="123647" custScaleY="342040" custLinFactNeighborX="1080" custLinFactNeighborY="-63382">
        <dgm:presLayoutVars>
          <dgm:chPref val="3"/>
        </dgm:presLayoutVars>
      </dgm:prSet>
      <dgm:spPr/>
      <dgm:t>
        <a:bodyPr/>
        <a:lstStyle/>
        <a:p>
          <a:endParaRPr lang="en-US"/>
        </a:p>
      </dgm:t>
    </dgm:pt>
    <dgm:pt modelId="{AE17C0E8-E092-5C4F-ACA6-2F68286C1333}" type="pres">
      <dgm:prSet presAssocID="{6D5BD3B7-A8EC-1E41-A15A-DF35F88230FB}" presName="rootConnector" presStyleLbl="node2" presStyleIdx="7" presStyleCnt="8"/>
      <dgm:spPr/>
      <dgm:t>
        <a:bodyPr/>
        <a:lstStyle/>
        <a:p>
          <a:endParaRPr lang="en-US"/>
        </a:p>
      </dgm:t>
    </dgm:pt>
    <dgm:pt modelId="{1616FCC1-B355-584C-9BC9-61DF9CF462B8}" type="pres">
      <dgm:prSet presAssocID="{6D5BD3B7-A8EC-1E41-A15A-DF35F88230FB}" presName="hierChild4" presStyleCnt="0"/>
      <dgm:spPr/>
    </dgm:pt>
    <dgm:pt modelId="{2F308F3F-DA63-B54D-9392-120DBC8BE715}" type="pres">
      <dgm:prSet presAssocID="{BDA3D8F0-9D0A-AA43-BBA3-CCC1400F16D6}" presName="Name37" presStyleLbl="parChTrans1D3" presStyleIdx="17" presStyleCnt="19"/>
      <dgm:spPr/>
      <dgm:t>
        <a:bodyPr/>
        <a:lstStyle/>
        <a:p>
          <a:endParaRPr lang="en-US"/>
        </a:p>
      </dgm:t>
    </dgm:pt>
    <dgm:pt modelId="{BAE88368-C168-704C-9CBB-BF316EC79356}" type="pres">
      <dgm:prSet presAssocID="{8C8C0CB3-5FAB-F744-BF76-39C7423DDB32}" presName="hierRoot2" presStyleCnt="0">
        <dgm:presLayoutVars>
          <dgm:hierBranch val="init"/>
        </dgm:presLayoutVars>
      </dgm:prSet>
      <dgm:spPr/>
    </dgm:pt>
    <dgm:pt modelId="{12368C84-0382-EB4D-9EA2-54109BC8B924}" type="pres">
      <dgm:prSet presAssocID="{8C8C0CB3-5FAB-F744-BF76-39C7423DDB32}" presName="rootComposite" presStyleCnt="0"/>
      <dgm:spPr/>
    </dgm:pt>
    <dgm:pt modelId="{242CFD3C-F57A-AB45-B82D-262F47CF326A}" type="pres">
      <dgm:prSet presAssocID="{8C8C0CB3-5FAB-F744-BF76-39C7423DDB32}" presName="rootText" presStyleLbl="node3" presStyleIdx="17" presStyleCnt="19" custScaleY="321094" custLinFactNeighborX="2482" custLinFactNeighborY="-66055">
        <dgm:presLayoutVars>
          <dgm:chPref val="3"/>
        </dgm:presLayoutVars>
      </dgm:prSet>
      <dgm:spPr/>
      <dgm:t>
        <a:bodyPr/>
        <a:lstStyle/>
        <a:p>
          <a:endParaRPr lang="en-US"/>
        </a:p>
      </dgm:t>
    </dgm:pt>
    <dgm:pt modelId="{ECD4B228-D86E-364E-B231-974B71EB3DB3}" type="pres">
      <dgm:prSet presAssocID="{8C8C0CB3-5FAB-F744-BF76-39C7423DDB32}" presName="rootConnector" presStyleLbl="node3" presStyleIdx="17" presStyleCnt="19"/>
      <dgm:spPr/>
      <dgm:t>
        <a:bodyPr/>
        <a:lstStyle/>
        <a:p>
          <a:endParaRPr lang="en-US"/>
        </a:p>
      </dgm:t>
    </dgm:pt>
    <dgm:pt modelId="{4FF58B9F-3FF2-D74B-A4F9-866E8788E416}" type="pres">
      <dgm:prSet presAssocID="{8C8C0CB3-5FAB-F744-BF76-39C7423DDB32}" presName="hierChild4" presStyleCnt="0"/>
      <dgm:spPr/>
    </dgm:pt>
    <dgm:pt modelId="{EB12493D-AB40-3241-BDEB-2401F6F321B0}" type="pres">
      <dgm:prSet presAssocID="{8C8C0CB3-5FAB-F744-BF76-39C7423DDB32}" presName="hierChild5" presStyleCnt="0"/>
      <dgm:spPr/>
    </dgm:pt>
    <dgm:pt modelId="{717B524D-B335-DE41-9157-18134DC86132}" type="pres">
      <dgm:prSet presAssocID="{47A4BB67-0CFF-164F-9398-B52FC9E836B3}" presName="Name37" presStyleLbl="parChTrans1D3" presStyleIdx="18" presStyleCnt="19"/>
      <dgm:spPr/>
      <dgm:t>
        <a:bodyPr/>
        <a:lstStyle/>
        <a:p>
          <a:endParaRPr lang="en-US"/>
        </a:p>
      </dgm:t>
    </dgm:pt>
    <dgm:pt modelId="{D72BF05C-5074-9F44-937B-93B48BD057FA}" type="pres">
      <dgm:prSet presAssocID="{35FF3740-05B0-DF45-81BC-087921F96CC2}" presName="hierRoot2" presStyleCnt="0">
        <dgm:presLayoutVars>
          <dgm:hierBranch val="init"/>
        </dgm:presLayoutVars>
      </dgm:prSet>
      <dgm:spPr/>
    </dgm:pt>
    <dgm:pt modelId="{049614BE-95F3-2F41-9779-F0C7AAE9C608}" type="pres">
      <dgm:prSet presAssocID="{35FF3740-05B0-DF45-81BC-087921F96CC2}" presName="rootComposite" presStyleCnt="0"/>
      <dgm:spPr/>
    </dgm:pt>
    <dgm:pt modelId="{91437F3B-61C0-1C41-A97F-0C4AFCC9F11A}" type="pres">
      <dgm:prSet presAssocID="{35FF3740-05B0-DF45-81BC-087921F96CC2}" presName="rootText" presStyleLbl="node3" presStyleIdx="18" presStyleCnt="19" custScaleY="154598">
        <dgm:presLayoutVars>
          <dgm:chPref val="3"/>
        </dgm:presLayoutVars>
      </dgm:prSet>
      <dgm:spPr/>
      <dgm:t>
        <a:bodyPr/>
        <a:lstStyle/>
        <a:p>
          <a:endParaRPr lang="en-US"/>
        </a:p>
      </dgm:t>
    </dgm:pt>
    <dgm:pt modelId="{56E5DEC1-6DA7-B74C-8A2F-D966716906A4}" type="pres">
      <dgm:prSet presAssocID="{35FF3740-05B0-DF45-81BC-087921F96CC2}" presName="rootConnector" presStyleLbl="node3" presStyleIdx="18" presStyleCnt="19"/>
      <dgm:spPr/>
      <dgm:t>
        <a:bodyPr/>
        <a:lstStyle/>
        <a:p>
          <a:endParaRPr lang="en-US"/>
        </a:p>
      </dgm:t>
    </dgm:pt>
    <dgm:pt modelId="{605C707E-0560-6C4E-A829-5A0EC7FD348F}" type="pres">
      <dgm:prSet presAssocID="{35FF3740-05B0-DF45-81BC-087921F96CC2}" presName="hierChild4" presStyleCnt="0"/>
      <dgm:spPr/>
    </dgm:pt>
    <dgm:pt modelId="{0351E5A3-B238-304D-9C89-B4A4FC407F5B}" type="pres">
      <dgm:prSet presAssocID="{35FF3740-05B0-DF45-81BC-087921F96CC2}" presName="hierChild5" presStyleCnt="0"/>
      <dgm:spPr/>
    </dgm:pt>
    <dgm:pt modelId="{2195AFA4-17DB-9744-816C-843081CF00E2}" type="pres">
      <dgm:prSet presAssocID="{6D5BD3B7-A8EC-1E41-A15A-DF35F88230FB}" presName="hierChild5" presStyleCnt="0"/>
      <dgm:spPr/>
    </dgm:pt>
    <dgm:pt modelId="{2984DC49-F3BF-E646-93AC-908332BA9AE6}" type="pres">
      <dgm:prSet presAssocID="{1A654E76-FD8F-AA4F-B131-65C5D86D7486}" presName="hierChild3" presStyleCnt="0"/>
      <dgm:spPr/>
    </dgm:pt>
  </dgm:ptLst>
  <dgm:cxnLst>
    <dgm:cxn modelId="{9DFB89EB-94DD-D346-8CD7-09C93C9D2CE4}" type="presOf" srcId="{30C03AA5-0FB9-3946-8D41-788F92E61529}" destId="{05837F2B-E666-7241-90F1-15C673E65F46}" srcOrd="0" destOrd="0" presId="urn:microsoft.com/office/officeart/2005/8/layout/orgChart1"/>
    <dgm:cxn modelId="{F1C5CEB8-6861-5749-BCAE-2B65E027189F}" type="presOf" srcId="{D1611675-5D9C-7847-B7DC-B385AB2679D2}" destId="{F7A4F007-AC03-6041-9090-722582E29BF6}" srcOrd="1" destOrd="0" presId="urn:microsoft.com/office/officeart/2005/8/layout/orgChart1"/>
    <dgm:cxn modelId="{78135554-10CF-684B-B2E7-B1BAE06EEB1F}" type="presOf" srcId="{C3A26D8A-E880-2642-9109-447A2C6D553D}" destId="{41CB09C6-595D-EF40-84B2-175EC7BF4795}" srcOrd="0" destOrd="0" presId="urn:microsoft.com/office/officeart/2005/8/layout/orgChart1"/>
    <dgm:cxn modelId="{C5BC095D-E1BD-0840-A8B3-E1EE421C6CA9}" type="presOf" srcId="{FE9144A1-6C5D-784B-8B8E-F34B3E57CB75}" destId="{EAA225B1-EDCB-884E-9919-124FDDE592F8}" srcOrd="0" destOrd="0" presId="urn:microsoft.com/office/officeart/2005/8/layout/orgChart1"/>
    <dgm:cxn modelId="{D3CC909A-562E-BD4E-826C-65C8E4A3CC3C}" type="presOf" srcId="{9F27D44C-4DF2-6146-9619-B26C3288EEAA}" destId="{F9EA34DC-E615-6F44-9334-60C9339EE48D}" srcOrd="0" destOrd="0" presId="urn:microsoft.com/office/officeart/2005/8/layout/orgChart1"/>
    <dgm:cxn modelId="{A9A6FDF0-E8D7-D641-9162-05764949DB2A}" type="presOf" srcId="{1FA36C25-6EEF-BE41-A62F-5C794CC17A92}" destId="{986FCC6B-500E-154E-A714-1A628D18AF99}" srcOrd="0" destOrd="0" presId="urn:microsoft.com/office/officeart/2005/8/layout/orgChart1"/>
    <dgm:cxn modelId="{E2282125-DC50-4D4A-A2E6-B0E19112B859}" srcId="{B4840396-EAEA-2D4B-BF25-890DCCD155BA}" destId="{ED05BC5F-63A1-0447-A707-EB8EEB37610C}" srcOrd="1" destOrd="0" parTransId="{9F27D44C-4DF2-6146-9619-B26C3288EEAA}" sibTransId="{76B36893-CAEF-5145-8A1C-E35DEC370F3E}"/>
    <dgm:cxn modelId="{3A7D1854-3D56-E84F-A62F-23FA27DD5975}" type="presOf" srcId="{BE6C7E55-A580-8547-AF0D-868416D49D53}" destId="{E3924461-195C-0449-85F4-D8F6D81D5E25}" srcOrd="0" destOrd="0" presId="urn:microsoft.com/office/officeart/2005/8/layout/orgChart1"/>
    <dgm:cxn modelId="{289010C1-42F8-814C-A7AE-9C76790800B3}" type="presOf" srcId="{6D19AB04-78D7-1043-BA80-8CF8D53D7FC3}" destId="{0D5524E3-8BA1-384B-9ECB-17B6A3F10CAE}" srcOrd="0" destOrd="0" presId="urn:microsoft.com/office/officeart/2005/8/layout/orgChart1"/>
    <dgm:cxn modelId="{5E5D82A3-25C0-1741-92FB-77F1CC7CD35A}" type="presOf" srcId="{787C9E9B-2A65-AF4F-939C-1595685EF88C}" destId="{DBBE7FB5-B7B7-0148-B6A7-BF32D857344A}" srcOrd="0" destOrd="0" presId="urn:microsoft.com/office/officeart/2005/8/layout/orgChart1"/>
    <dgm:cxn modelId="{2FB5B0FB-9C7B-3542-A839-161180B9C1C1}" srcId="{C3A26D8A-E880-2642-9109-447A2C6D553D}" destId="{83256D5A-47B7-344B-83FA-76BC7A825F48}" srcOrd="2" destOrd="0" parTransId="{46D547A0-125B-E24A-95D3-18A97DD94D0F}" sibTransId="{E9FC3285-8499-4F4C-9AE4-DFB89297FD2B}"/>
    <dgm:cxn modelId="{8730A15C-0AE1-E140-8EF4-3BD260674F03}" type="presOf" srcId="{47386434-B6C4-0847-9A78-C06A20F7E392}" destId="{97BA46C4-BBBA-7947-8CB7-58963293116B}" srcOrd="0" destOrd="0" presId="urn:microsoft.com/office/officeart/2005/8/layout/orgChart1"/>
    <dgm:cxn modelId="{65291A1A-D96D-0443-A19E-9C6476905158}" type="presOf" srcId="{372A032F-43F6-D54B-BD6C-6EAD503E6A78}" destId="{C5B588B3-FA3D-C84E-A9F5-3159280EF2D1}" srcOrd="0" destOrd="0" presId="urn:microsoft.com/office/officeart/2005/8/layout/orgChart1"/>
    <dgm:cxn modelId="{5CF17EAB-E648-B745-94F9-2F0C93C17479}" type="presOf" srcId="{CEFAEB40-59AD-4546-A443-00EE085BD50F}" destId="{02847AA6-7813-2246-8185-6B286D65F9E7}" srcOrd="0" destOrd="0" presId="urn:microsoft.com/office/officeart/2005/8/layout/orgChart1"/>
    <dgm:cxn modelId="{5C2066C1-3E3B-C34C-8488-A222EDD9EBAF}" type="presOf" srcId="{855EDA69-4BFC-BF44-9362-EC289AE66D13}" destId="{96AE0938-1012-4D47-9BE8-D80FBD62CC58}" srcOrd="1" destOrd="0" presId="urn:microsoft.com/office/officeart/2005/8/layout/orgChart1"/>
    <dgm:cxn modelId="{9A904D84-5921-F645-9D05-DE0D8AD0527C}" srcId="{83256D5A-47B7-344B-83FA-76BC7A825F48}" destId="{12242F41-05C7-B74C-9968-FCC9BE99D200}" srcOrd="0" destOrd="0" parTransId="{05EA7C1E-4DEB-9C49-8CFF-EE117DF6C671}" sibTransId="{3D122E32-A3CA-D24C-A995-05DDA2E80D86}"/>
    <dgm:cxn modelId="{98E2F691-1442-3D45-BC35-69DAA1ABC295}" type="presOf" srcId="{0F436B63-1A58-5545-9A7E-C134CC7A4134}" destId="{968B1083-22BC-1240-A395-320DC0E6C24F}" srcOrd="0" destOrd="0" presId="urn:microsoft.com/office/officeart/2005/8/layout/orgChart1"/>
    <dgm:cxn modelId="{01841E87-FA2E-1545-8CF2-E744B618518B}" type="presOf" srcId="{47386434-B6C4-0847-9A78-C06A20F7E392}" destId="{6757472A-1B2A-EF4C-BF6C-7B4E34A71F0A}" srcOrd="1" destOrd="0" presId="urn:microsoft.com/office/officeart/2005/8/layout/orgChart1"/>
    <dgm:cxn modelId="{F12695B8-0B23-9841-81BF-698B429B0B23}" type="presOf" srcId="{A5266370-2C11-A744-A727-C7AEF9571BF1}" destId="{76E57581-DAF7-EC47-BA36-BF8FF52A8632}" srcOrd="1" destOrd="0" presId="urn:microsoft.com/office/officeart/2005/8/layout/orgChart1"/>
    <dgm:cxn modelId="{1C30A669-F6EB-8E4C-BAFF-69E8BCA9896D}" type="presOf" srcId="{709FB237-CB4A-4A41-91E8-F229A0092754}" destId="{5563B32F-28C4-0746-B8BC-1A21DD8CE610}" srcOrd="1" destOrd="0" presId="urn:microsoft.com/office/officeart/2005/8/layout/orgChart1"/>
    <dgm:cxn modelId="{997B9464-4E72-CF4E-B7A6-89BD3D363062}" type="presOf" srcId="{6D5BD3B7-A8EC-1E41-A15A-DF35F88230FB}" destId="{27023BF1-E5FA-1A41-A944-F6D91E93A8DA}" srcOrd="0" destOrd="0" presId="urn:microsoft.com/office/officeart/2005/8/layout/orgChart1"/>
    <dgm:cxn modelId="{BC152837-0158-6A42-90FB-53F5DD7080C9}" type="presOf" srcId="{DC21892E-FC9D-2544-B7BD-741ADB9ACC64}" destId="{BF330414-AD90-9A43-9C16-64C06FB1D589}" srcOrd="0" destOrd="0" presId="urn:microsoft.com/office/officeart/2005/8/layout/orgChart1"/>
    <dgm:cxn modelId="{5F1BFAA6-B39E-3244-A10C-198AD6CA1175}" srcId="{30C03AA5-0FB9-3946-8D41-788F92E61529}" destId="{C3A26D8A-E880-2642-9109-447A2C6D553D}" srcOrd="1" destOrd="0" parTransId="{1CF626C3-3645-6F42-AE85-67F0ADB52B21}" sibTransId="{B314F44B-43E6-0F4A-8E9F-C0B98D8A5692}"/>
    <dgm:cxn modelId="{DB36194E-F897-0141-8289-F6CE3471FD91}" type="presOf" srcId="{24121343-A23E-D046-A39C-DEC0EEC41F64}" destId="{63F5FD9A-3F83-4940-8DD8-652AFFBCFFCA}" srcOrd="0" destOrd="0" presId="urn:microsoft.com/office/officeart/2005/8/layout/orgChart1"/>
    <dgm:cxn modelId="{31EA717C-EABB-3F46-BBA1-7B45461A5A4F}" srcId="{C3A26D8A-E880-2642-9109-447A2C6D553D}" destId="{C7B71EF1-6C71-924B-B194-AC035107C156}" srcOrd="1" destOrd="0" parTransId="{24121343-A23E-D046-A39C-DEC0EEC41F64}" sibTransId="{F4D5D79E-709C-BD48-BB59-594C2AE23D49}"/>
    <dgm:cxn modelId="{E63DBC86-6199-7445-9BF3-336722C28CB1}" srcId="{512D7DE5-9F3B-B747-900E-F81E23AD26A0}" destId="{F10B4A8D-11D6-8447-9C42-608DD812778A}" srcOrd="2" destOrd="0" parTransId="{D935D60E-4001-DF4D-B59C-F575B642C4E3}" sibTransId="{08414DB7-6741-AD4B-9BD4-DFED2A26CD7E}"/>
    <dgm:cxn modelId="{D6EEAB3B-E567-9D4A-96B3-0A3E3F4ACC63}" type="presOf" srcId="{B4840396-EAEA-2D4B-BF25-890DCCD155BA}" destId="{E09E9214-1145-5A41-BE63-A1E85C0F8538}" srcOrd="0" destOrd="0" presId="urn:microsoft.com/office/officeart/2005/8/layout/orgChart1"/>
    <dgm:cxn modelId="{B64E5032-E7D1-A240-9CF0-78101568DD6B}" type="presOf" srcId="{08954C12-7159-C841-B10A-37A058CEDDE0}" destId="{57A576BA-50AD-7145-A420-9BAA84840ECB}" srcOrd="1" destOrd="0" presId="urn:microsoft.com/office/officeart/2005/8/layout/orgChart1"/>
    <dgm:cxn modelId="{CFEE5F7A-21C6-3B4F-8804-763C09AD42C5}" type="presOf" srcId="{08954C12-7159-C841-B10A-37A058CEDDE0}" destId="{9F60840A-0330-9E4C-B668-3A77BF225204}" srcOrd="0" destOrd="0" presId="urn:microsoft.com/office/officeart/2005/8/layout/orgChart1"/>
    <dgm:cxn modelId="{4C25C68E-A7DE-CF4F-B7B5-FE3833C17030}" type="presOf" srcId="{B79C010E-C8C3-7746-85D1-3AB1C9EC2354}" destId="{A3236924-9B88-BF49-AFFF-57BA992AD0C0}" srcOrd="1" destOrd="0" presId="urn:microsoft.com/office/officeart/2005/8/layout/orgChart1"/>
    <dgm:cxn modelId="{D1A6DF44-D73B-8D42-A732-E215CE395401}" srcId="{EF6E7128-3167-DC4D-B749-00C44B0290D7}" destId="{512D7DE5-9F3B-B747-900E-F81E23AD26A0}" srcOrd="1" destOrd="0" parTransId="{E4E09ED6-C0DC-F943-8909-188BF0A87EF1}" sibTransId="{9994E59C-B9A1-8E44-9AD0-C316AE3FC33D}"/>
    <dgm:cxn modelId="{FB13EFBD-B8DB-4448-9D20-AE41E9557F4D}" type="presOf" srcId="{B04014A3-D142-DC49-8E2D-B2E8081C3C67}" destId="{7F1A48C4-0C27-B045-863E-6BFB7430BE74}" srcOrd="0" destOrd="0" presId="urn:microsoft.com/office/officeart/2005/8/layout/orgChart1"/>
    <dgm:cxn modelId="{37C5555E-283B-A443-93A3-7B383FD06CB0}" type="presOf" srcId="{99C7CD03-22FB-E648-9558-9956DA4E6E2C}" destId="{C3A6BE32-A956-164D-A7E0-C0B98EE92B37}" srcOrd="1" destOrd="0" presId="urn:microsoft.com/office/officeart/2005/8/layout/orgChart1"/>
    <dgm:cxn modelId="{D7AFDF67-BA49-5B45-A31E-4938B8AD387B}" type="presOf" srcId="{B79C010E-C8C3-7746-85D1-3AB1C9EC2354}" destId="{6B4B8A6E-8568-F24E-9F1F-42CD74FEA629}" srcOrd="0" destOrd="0" presId="urn:microsoft.com/office/officeart/2005/8/layout/orgChart1"/>
    <dgm:cxn modelId="{EDDBE887-8609-7F47-9435-5B8DD0210E79}" srcId="{30C03AA5-0FB9-3946-8D41-788F92E61529}" destId="{1A654E76-FD8F-AA4F-B131-65C5D86D7486}" srcOrd="2" destOrd="0" parTransId="{B320909A-0C02-A14E-960B-E2FC62518B9C}" sibTransId="{D40546F7-342E-E94F-A248-2F6942893791}"/>
    <dgm:cxn modelId="{72B06C1E-54B6-A84E-B68B-DD95B0D3C8A9}" type="presOf" srcId="{6E7B8AE1-34DA-9A4B-BE13-2961A33F6489}" destId="{EE90DB05-C6BE-E546-BEBC-579EA90FC290}" srcOrd="1" destOrd="0" presId="urn:microsoft.com/office/officeart/2005/8/layout/orgChart1"/>
    <dgm:cxn modelId="{798FB08F-5D8B-894D-80A2-923D105BC56B}" type="presOf" srcId="{1A654E76-FD8F-AA4F-B131-65C5D86D7486}" destId="{6C2963DA-897A-3245-AE4D-56A28D7554CA}" srcOrd="1" destOrd="0" presId="urn:microsoft.com/office/officeart/2005/8/layout/orgChart1"/>
    <dgm:cxn modelId="{2401D78C-EB01-1046-B926-6F686273CA26}" type="presOf" srcId="{6F6498F2-1BA6-CC48-8A87-10C5D432199A}" destId="{70683DDB-2EEB-9C4D-9880-C965858F8CC0}" srcOrd="0" destOrd="0" presId="urn:microsoft.com/office/officeart/2005/8/layout/orgChart1"/>
    <dgm:cxn modelId="{81E79B01-1C6E-8E4B-A4D8-97C726EC1239}" type="presOf" srcId="{A0E08C26-C505-BA40-8FE4-7DE673499493}" destId="{00A15667-B140-1E42-A226-601E4FFB3802}" srcOrd="0" destOrd="0" presId="urn:microsoft.com/office/officeart/2005/8/layout/orgChart1"/>
    <dgm:cxn modelId="{AD766D05-3E34-CD49-9474-0246D5CEFD74}" type="presOf" srcId="{1FA36C25-6EEF-BE41-A62F-5C794CC17A92}" destId="{DBEB3F09-A69E-264A-80F1-5BF81FBDFBDD}" srcOrd="1" destOrd="0" presId="urn:microsoft.com/office/officeart/2005/8/layout/orgChart1"/>
    <dgm:cxn modelId="{E0AB813E-1D37-A446-ADC0-5BE4364F46CE}" type="presOf" srcId="{05EA7C1E-4DEB-9C49-8CFF-EE117DF6C671}" destId="{0F152A4A-9797-5446-883C-2B0BE16DD189}" srcOrd="0" destOrd="0" presId="urn:microsoft.com/office/officeart/2005/8/layout/orgChart1"/>
    <dgm:cxn modelId="{D44044DB-E05B-794D-B780-E808D688A6FE}" srcId="{A5266370-2C11-A744-A727-C7AEF9571BF1}" destId="{1FA36C25-6EEF-BE41-A62F-5C794CC17A92}" srcOrd="0" destOrd="0" parTransId="{F173DC0F-AA0B-0E47-A28A-90D367651E2F}" sibTransId="{8CEAA7C4-C8CD-0146-8DE5-BB4190745B83}"/>
    <dgm:cxn modelId="{7ED124E2-F6EA-E241-A8B2-4552C1834637}" type="presOf" srcId="{F5410B70-6E98-7E4E-8E9A-DFBB1897B319}" destId="{85DB22E6-0028-B843-8E98-3738696692A1}" srcOrd="0" destOrd="0" presId="urn:microsoft.com/office/officeart/2005/8/layout/orgChart1"/>
    <dgm:cxn modelId="{B6D075A9-8AA1-1F47-9215-14B9549D42B6}" type="presOf" srcId="{9A0C45E4-4CA3-4D45-83D8-18D73E4CEFEC}" destId="{76BA40BC-3CEC-EE43-9289-4C3A93462300}" srcOrd="1" destOrd="0" presId="urn:microsoft.com/office/officeart/2005/8/layout/orgChart1"/>
    <dgm:cxn modelId="{2445150F-1DB8-644A-8CEA-6E11128E6F9A}" type="presOf" srcId="{B4840396-EAEA-2D4B-BF25-890DCCD155BA}" destId="{DEB9E04F-99C4-684F-B739-E4366CE04E55}" srcOrd="1" destOrd="0" presId="urn:microsoft.com/office/officeart/2005/8/layout/orgChart1"/>
    <dgm:cxn modelId="{0901CC62-04DD-5648-8281-518CC843ACAC}" srcId="{FE9144A1-6C5D-784B-8B8E-F34B3E57CB75}" destId="{6D19AB04-78D7-1043-BA80-8CF8D53D7FC3}" srcOrd="0" destOrd="0" parTransId="{6555C297-46E5-224E-A5BE-E18D7CB91E8B}" sibTransId="{0E9B4D76-C179-5149-8A92-091F7208B70C}"/>
    <dgm:cxn modelId="{E6BC4B9F-FDE7-DD43-8C29-83548720BF7F}" type="presOf" srcId="{709FB237-CB4A-4A41-91E8-F229A0092754}" destId="{E794A87A-AC2C-724F-B2A3-EA3569E40C8E}" srcOrd="0" destOrd="0" presId="urn:microsoft.com/office/officeart/2005/8/layout/orgChart1"/>
    <dgm:cxn modelId="{859669B7-DD63-564A-8522-B6DC44D15EFA}" srcId="{1A654E76-FD8F-AA4F-B131-65C5D86D7486}" destId="{6D5BD3B7-A8EC-1E41-A15A-DF35F88230FB}" srcOrd="2" destOrd="0" parTransId="{C89C527C-4A15-A540-8416-CD85E97F5DC6}" sibTransId="{698C39DB-DB32-8A4A-B769-E2A1CD1C34B6}"/>
    <dgm:cxn modelId="{F77A2ABC-A810-894B-B990-7A158DD8A21F}" srcId="{1A654E76-FD8F-AA4F-B131-65C5D86D7486}" destId="{A5266370-2C11-A744-A727-C7AEF9571BF1}" srcOrd="1" destOrd="0" parTransId="{111AB15A-0A0F-2442-8392-250166A6338E}" sibTransId="{694D8A5F-F4D0-6645-9B0A-F91DE7C02AB7}"/>
    <dgm:cxn modelId="{B2AD6A38-60F7-1748-90E9-23FF0D4BE5CB}" type="presOf" srcId="{46D547A0-125B-E24A-95D3-18A97DD94D0F}" destId="{7802327E-B26B-8640-B7C8-A4670EE181B1}" srcOrd="0" destOrd="0" presId="urn:microsoft.com/office/officeart/2005/8/layout/orgChart1"/>
    <dgm:cxn modelId="{7BA9BE13-C621-564C-B6B0-F7DDAF9437C7}" srcId="{C7B71EF1-6C71-924B-B194-AC035107C156}" destId="{D3E44573-50D4-7540-9C76-62074D179706}" srcOrd="0" destOrd="0" parTransId="{CEFAEB40-59AD-4546-A443-00EE085BD50F}" sibTransId="{5A780709-A4EF-1F4E-B3A0-1217E25C8004}"/>
    <dgm:cxn modelId="{1CB5139D-8C3F-4747-8B10-2709CD949DA6}" srcId="{EF6E7128-3167-DC4D-B749-00C44B0290D7}" destId="{B4840396-EAEA-2D4B-BF25-890DCCD155BA}" srcOrd="0" destOrd="0" parTransId="{B04014A3-D142-DC49-8E2D-B2E8081C3C67}" sibTransId="{3513C6C5-E9FC-1249-A1CE-688658FBC096}"/>
    <dgm:cxn modelId="{0C43F8FA-87BC-9447-8A3C-FD1EF6BE1788}" srcId="{1A654E76-FD8F-AA4F-B131-65C5D86D7486}" destId="{FE9144A1-6C5D-784B-8B8E-F34B3E57CB75}" srcOrd="0" destOrd="0" parTransId="{DC21892E-FC9D-2544-B7BD-741ADB9ACC64}" sibTransId="{33569879-757B-6747-9B06-EBCE4E988F99}"/>
    <dgm:cxn modelId="{0540ED98-649D-BE46-B88F-541931B0FCA7}" type="presOf" srcId="{512D7DE5-9F3B-B747-900E-F81E23AD26A0}" destId="{B585D139-CDED-DA45-B4F2-FA1CD431B6A2}" srcOrd="0" destOrd="0" presId="urn:microsoft.com/office/officeart/2005/8/layout/orgChart1"/>
    <dgm:cxn modelId="{34F1D0CA-B61E-CA43-ABCF-2871B5BE10D7}" type="presOf" srcId="{512D7DE5-9F3B-B747-900E-F81E23AD26A0}" destId="{E111EEBA-7049-ED4D-9D94-18318D998741}" srcOrd="1" destOrd="0" presId="urn:microsoft.com/office/officeart/2005/8/layout/orgChart1"/>
    <dgm:cxn modelId="{5D7558D5-29E1-1E44-94BF-1E9B4C573E1E}" type="presOf" srcId="{6555C297-46E5-224E-A5BE-E18D7CB91E8B}" destId="{D11CC9AB-31C8-774F-B033-F3B6C8B20063}" srcOrd="0" destOrd="0" presId="urn:microsoft.com/office/officeart/2005/8/layout/orgChart1"/>
    <dgm:cxn modelId="{3DC0835B-7926-FC4B-A6F7-BBC1ED8A0FB3}" type="presOf" srcId="{C7B71EF1-6C71-924B-B194-AC035107C156}" destId="{7820115C-6F82-6144-ACE7-58B59F9B66A1}" srcOrd="1" destOrd="0" presId="urn:microsoft.com/office/officeart/2005/8/layout/orgChart1"/>
    <dgm:cxn modelId="{C5B9CAE1-7CB9-C44F-8A39-7F9779DB6919}" srcId="{6D5BD3B7-A8EC-1E41-A15A-DF35F88230FB}" destId="{8C8C0CB3-5FAB-F744-BF76-39C7423DDB32}" srcOrd="0" destOrd="0" parTransId="{BDA3D8F0-9D0A-AA43-BBA3-CCC1400F16D6}" sibTransId="{996CECB6-6478-D041-88B8-FB04F8A2E4D4}"/>
    <dgm:cxn modelId="{C4931FDB-EDD2-AA41-97C2-CFA45C21B951}" type="presOf" srcId="{EF6E7128-3167-DC4D-B749-00C44B0290D7}" destId="{64D5317B-ED92-3043-A17A-E53859A353B6}" srcOrd="1" destOrd="0" presId="urn:microsoft.com/office/officeart/2005/8/layout/orgChart1"/>
    <dgm:cxn modelId="{B3C3B2C3-2C02-034C-8C8E-106895197865}" type="presOf" srcId="{ED05BC5F-63A1-0447-A707-EB8EEB37610C}" destId="{FD918F62-E775-B64C-99B2-B04FEEC0C03B}" srcOrd="0" destOrd="0" presId="urn:microsoft.com/office/officeart/2005/8/layout/orgChart1"/>
    <dgm:cxn modelId="{42E6FC04-8B99-5742-9564-5E1B03C36145}" srcId="{C3A26D8A-E880-2642-9109-447A2C6D553D}" destId="{4652FCCA-8750-0D40-933C-6137A0AF0E99}" srcOrd="0" destOrd="0" parTransId="{BE6C7E55-A580-8547-AF0D-868416D49D53}" sibTransId="{F6622E2A-8CE3-1D48-9933-7DBF71E285D0}"/>
    <dgm:cxn modelId="{EE53A132-BFEC-C546-90C4-0B991E9BFA73}" type="presOf" srcId="{FE9144A1-6C5D-784B-8B8E-F34B3E57CB75}" destId="{81B711BE-0576-F64A-83E7-20673EED9DC9}" srcOrd="1" destOrd="0" presId="urn:microsoft.com/office/officeart/2005/8/layout/orgChart1"/>
    <dgm:cxn modelId="{3C8DFAB0-9CAB-2945-A684-1B3CA4B90726}" type="presOf" srcId="{6E7B8AE1-34DA-9A4B-BE13-2961A33F6489}" destId="{20E78230-D19E-414E-B865-F3BA76D7B29F}" srcOrd="0" destOrd="0" presId="urn:microsoft.com/office/officeart/2005/8/layout/orgChart1"/>
    <dgm:cxn modelId="{39200030-3880-D14E-8C6B-C725B82E91AD}" type="presOf" srcId="{C89C527C-4A15-A540-8416-CD85E97F5DC6}" destId="{E1CD4D24-A6D6-1649-9B73-57836C8557DB}" srcOrd="0" destOrd="0" presId="urn:microsoft.com/office/officeart/2005/8/layout/orgChart1"/>
    <dgm:cxn modelId="{C07F35D3-024C-8A4F-ABA1-44F5114C8127}" type="presOf" srcId="{D3E44573-50D4-7540-9C76-62074D179706}" destId="{CB55810D-B712-7C49-A2E8-7A8562A9DD0A}" srcOrd="0" destOrd="0" presId="urn:microsoft.com/office/officeart/2005/8/layout/orgChart1"/>
    <dgm:cxn modelId="{299A19F1-BC51-914B-ACDE-506E870D2008}" type="presOf" srcId="{CFFAC826-18B1-EF47-B8AF-6A7523C6EEAD}" destId="{1D572973-06AC-3D4F-86D7-157FED20E28A}" srcOrd="0" destOrd="0" presId="urn:microsoft.com/office/officeart/2005/8/layout/orgChart1"/>
    <dgm:cxn modelId="{7A3B5CCE-49AE-1643-8C72-081DB4601319}" type="presOf" srcId="{EF6E7128-3167-DC4D-B749-00C44B0290D7}" destId="{8DFDB919-6631-2A4B-ABE8-DFA37ADE66AA}" srcOrd="0" destOrd="0" presId="urn:microsoft.com/office/officeart/2005/8/layout/orgChart1"/>
    <dgm:cxn modelId="{6B1C70CE-69F9-A64A-A5D3-4197AB86F84B}" srcId="{4652FCCA-8750-0D40-933C-6137A0AF0E99}" destId="{D1611675-5D9C-7847-B7DC-B385AB2679D2}" srcOrd="1" destOrd="0" parTransId="{A0E08C26-C505-BA40-8FE4-7DE673499493}" sibTransId="{A500B5AC-E1EE-E94C-AC86-9271FE09A5D4}"/>
    <dgm:cxn modelId="{103522A6-0A43-494A-BCED-12558A3BB27B}" type="presOf" srcId="{83256D5A-47B7-344B-83FA-76BC7A825F48}" destId="{5215271E-34D8-B947-BE36-0F5C7D930FF4}" srcOrd="0" destOrd="0" presId="urn:microsoft.com/office/officeart/2005/8/layout/orgChart1"/>
    <dgm:cxn modelId="{BBF9C444-9907-B647-8FE2-2ABCDCD2C662}" type="presOf" srcId="{6D5BD3B7-A8EC-1E41-A15A-DF35F88230FB}" destId="{AE17C0E8-E092-5C4F-ACA6-2F68286C1333}" srcOrd="1" destOrd="0" presId="urn:microsoft.com/office/officeart/2005/8/layout/orgChart1"/>
    <dgm:cxn modelId="{4F711F45-542F-8F4C-A63D-4736B4DDAEAE}" srcId="{FE9144A1-6C5D-784B-8B8E-F34B3E57CB75}" destId="{B79C010E-C8C3-7746-85D1-3AB1C9EC2354}" srcOrd="1" destOrd="0" parTransId="{7CABEE52-7626-8843-894E-13B00645E12F}" sibTransId="{D7E58D3A-90F9-0D4B-B1C5-39A227AA33FE}"/>
    <dgm:cxn modelId="{A663F149-11CB-454E-85E3-96911CECC13A}" type="presOf" srcId="{12242F41-05C7-B74C-9968-FCC9BE99D200}" destId="{A7E76F8D-3CF3-6E4A-81FE-BDBC2682DE5C}" srcOrd="1" destOrd="0" presId="urn:microsoft.com/office/officeart/2005/8/layout/orgChart1"/>
    <dgm:cxn modelId="{A80C1BE7-A486-6D42-ADD1-106005C95DD4}" type="presOf" srcId="{F10B4A8D-11D6-8447-9C42-608DD812778A}" destId="{9D40FF64-7954-5C44-A5ED-0F58F354EED1}" srcOrd="1" destOrd="0" presId="urn:microsoft.com/office/officeart/2005/8/layout/orgChart1"/>
    <dgm:cxn modelId="{B86693CD-5C3A-804D-8492-B33683E19194}" type="presOf" srcId="{C7B71EF1-6C71-924B-B194-AC035107C156}" destId="{17F87F29-E588-584C-A3F0-A4300B3BCD30}" srcOrd="0" destOrd="0" presId="urn:microsoft.com/office/officeart/2005/8/layout/orgChart1"/>
    <dgm:cxn modelId="{9D0344DE-90D4-AA4B-8754-C00B164A6469}" type="presOf" srcId="{97E42E62-79AF-B14C-9420-ADF7A4A292A5}" destId="{76E71002-B8BC-5746-8F38-F15E764FEC9D}" srcOrd="0" destOrd="0" presId="urn:microsoft.com/office/officeart/2005/8/layout/orgChart1"/>
    <dgm:cxn modelId="{425A4B71-E304-AF4D-98F5-DC397DF59FCA}" type="presOf" srcId="{35FF3740-05B0-DF45-81BC-087921F96CC2}" destId="{56E5DEC1-6DA7-B74C-8A2F-D966716906A4}" srcOrd="1" destOrd="0" presId="urn:microsoft.com/office/officeart/2005/8/layout/orgChart1"/>
    <dgm:cxn modelId="{ADB356A6-EEE3-DF48-B7DE-22288244C004}" type="presOf" srcId="{ED05BC5F-63A1-0447-A707-EB8EEB37610C}" destId="{8D8271CC-47D0-864A-BE37-772055619D06}" srcOrd="1" destOrd="0" presId="urn:microsoft.com/office/officeart/2005/8/layout/orgChart1"/>
    <dgm:cxn modelId="{454218E5-E434-B349-AC5F-0668AD57F426}" type="presOf" srcId="{6D19AB04-78D7-1043-BA80-8CF8D53D7FC3}" destId="{744080AD-2AF4-8745-AADB-BCF906B609C6}" srcOrd="1" destOrd="0" presId="urn:microsoft.com/office/officeart/2005/8/layout/orgChart1"/>
    <dgm:cxn modelId="{19D87470-AD4F-374A-8328-EFD782ED1D10}" type="presOf" srcId="{8C8C0CB3-5FAB-F744-BF76-39C7423DDB32}" destId="{ECD4B228-D86E-364E-B231-974B71EB3DB3}" srcOrd="1" destOrd="0" presId="urn:microsoft.com/office/officeart/2005/8/layout/orgChart1"/>
    <dgm:cxn modelId="{16EECA0A-64CD-454F-9245-3B9CAB465EDD}" type="presOf" srcId="{F217ABD8-196B-6C4A-9A92-332B2BDA8F4D}" destId="{9E92BF9E-7A8E-D24D-8408-930C80564CC7}" srcOrd="0" destOrd="0" presId="urn:microsoft.com/office/officeart/2005/8/layout/orgChart1"/>
    <dgm:cxn modelId="{999FCBC1-89D0-D344-8CE9-1C4FE441ECA0}" type="presOf" srcId="{A5266370-2C11-A744-A727-C7AEF9571BF1}" destId="{E797DDBE-F4A3-3641-9284-06369B84E104}" srcOrd="0" destOrd="0" presId="urn:microsoft.com/office/officeart/2005/8/layout/orgChart1"/>
    <dgm:cxn modelId="{DCA81DE3-10CC-5A49-B8B1-98BC7B40C55E}" type="presOf" srcId="{1A654E76-FD8F-AA4F-B131-65C5D86D7486}" destId="{20B84DE0-EF71-CC40-84E4-EC339FDDFB43}" srcOrd="0" destOrd="0" presId="urn:microsoft.com/office/officeart/2005/8/layout/orgChart1"/>
    <dgm:cxn modelId="{0EE99D32-D4AE-BD41-AEE2-3207C056BA27}" type="presOf" srcId="{35FF3740-05B0-DF45-81BC-087921F96CC2}" destId="{91437F3B-61C0-1C41-A97F-0C4AFCC9F11A}" srcOrd="0" destOrd="0" presId="urn:microsoft.com/office/officeart/2005/8/layout/orgChart1"/>
    <dgm:cxn modelId="{233B7B2F-2E03-FD43-8F3F-08869F5322DD}" type="presOf" srcId="{8C8C0CB3-5FAB-F744-BF76-39C7423DDB32}" destId="{242CFD3C-F57A-AB45-B82D-262F47CF326A}" srcOrd="0" destOrd="0" presId="urn:microsoft.com/office/officeart/2005/8/layout/orgChart1"/>
    <dgm:cxn modelId="{5A0B95ED-4422-324E-A58E-4CD8C2FBBE8B}" type="presOf" srcId="{3C0D9D3A-E01A-7C48-AEC6-421528CC4FE9}" destId="{009230F5-B830-EB41-ABFB-E6342E711F33}" srcOrd="0" destOrd="0" presId="urn:microsoft.com/office/officeart/2005/8/layout/orgChart1"/>
    <dgm:cxn modelId="{9631F843-09C4-FC4E-9E5B-13B65ACDE766}" type="presOf" srcId="{BDA3D8F0-9D0A-AA43-BBA3-CCC1400F16D6}" destId="{2F308F3F-DA63-B54D-9392-120DBC8BE715}" srcOrd="0" destOrd="0" presId="urn:microsoft.com/office/officeart/2005/8/layout/orgChart1"/>
    <dgm:cxn modelId="{65003C0C-6233-C448-86AB-2877430A93B3}" type="presOf" srcId="{47A4BB67-0CFF-164F-9398-B52FC9E836B3}" destId="{717B524D-B335-DE41-9157-18134DC86132}" srcOrd="0" destOrd="0" presId="urn:microsoft.com/office/officeart/2005/8/layout/orgChart1"/>
    <dgm:cxn modelId="{D4AC17A3-5FF2-D241-8990-611579BB6BA5}" type="presOf" srcId="{4652FCCA-8750-0D40-933C-6137A0AF0E99}" destId="{DC33DE3B-880F-4149-986D-693F670B7B73}" srcOrd="0" destOrd="0" presId="urn:microsoft.com/office/officeart/2005/8/layout/orgChart1"/>
    <dgm:cxn modelId="{CDC49CCA-86BB-2C42-BD81-7A935164D7EA}" type="presOf" srcId="{C3A26D8A-E880-2642-9109-447A2C6D553D}" destId="{0839BB9C-DD24-4041-B558-7232B8D7601F}" srcOrd="1" destOrd="0" presId="urn:microsoft.com/office/officeart/2005/8/layout/orgChart1"/>
    <dgm:cxn modelId="{C73307EB-BB5D-6C4B-B0A4-1A63CB1ECB32}" type="presOf" srcId="{E103B77F-8D25-3945-A198-9138954FB581}" destId="{CCB1D022-33BC-694E-9AA7-765A2643DAA7}" srcOrd="0" destOrd="0" presId="urn:microsoft.com/office/officeart/2005/8/layout/orgChart1"/>
    <dgm:cxn modelId="{FCF6EF6A-BC49-B942-BC41-4990FCD8E96B}" type="presOf" srcId="{111AB15A-0A0F-2442-8392-250166A6338E}" destId="{A6BD58D8-680B-CA40-B38E-CCA465C9B611}" srcOrd="0" destOrd="0" presId="urn:microsoft.com/office/officeart/2005/8/layout/orgChart1"/>
    <dgm:cxn modelId="{F64EEDEB-9128-2641-9850-E3736986BC09}" srcId="{A5266370-2C11-A744-A727-C7AEF9571BF1}" destId="{6F6498F2-1BA6-CC48-8A87-10C5D432199A}" srcOrd="1" destOrd="0" parTransId="{0F436B63-1A58-5545-9A7E-C134CC7A4134}" sibTransId="{602D6111-DC1D-6C47-9738-E8560157C867}"/>
    <dgm:cxn modelId="{77A63A9A-DE63-F24F-B710-C810D4338C79}" type="presOf" srcId="{97E42E62-79AF-B14C-9420-ADF7A4A292A5}" destId="{E5A7A678-C4B1-1346-897E-BF29F0B458C6}" srcOrd="1" destOrd="0" presId="urn:microsoft.com/office/officeart/2005/8/layout/orgChart1"/>
    <dgm:cxn modelId="{8F53917B-DC2B-8D4B-B069-4591F9653067}" srcId="{30C03AA5-0FB9-3946-8D41-788F92E61529}" destId="{EF6E7128-3167-DC4D-B749-00C44B0290D7}" srcOrd="0" destOrd="0" parTransId="{B6F2E70F-74B2-A144-8CBE-F2DC1E19F3BF}" sibTransId="{14823EB6-57AE-994D-9554-9CF401DD328E}"/>
    <dgm:cxn modelId="{F297527E-CDBA-5349-BC4E-816C2CF5D3E5}" type="presOf" srcId="{12242F41-05C7-B74C-9968-FCC9BE99D200}" destId="{785949AD-7E58-F045-8E91-128358998AD7}" srcOrd="0" destOrd="0" presId="urn:microsoft.com/office/officeart/2005/8/layout/orgChart1"/>
    <dgm:cxn modelId="{442E7726-3F83-B440-8AD9-7F3F1F19ED2C}" srcId="{B4840396-EAEA-2D4B-BF25-890DCCD155BA}" destId="{97E42E62-79AF-B14C-9420-ADF7A4A292A5}" srcOrd="0" destOrd="0" parTransId="{F5410B70-6E98-7E4E-8E9A-DFBB1897B319}" sibTransId="{813437C3-0E08-A243-AB24-AEE9FADCE21B}"/>
    <dgm:cxn modelId="{DF4A5767-9796-A04E-BB50-3505B2CE31F8}" srcId="{4652FCCA-8750-0D40-933C-6137A0AF0E99}" destId="{855EDA69-4BFC-BF44-9362-EC289AE66D13}" srcOrd="0" destOrd="0" parTransId="{E103B77F-8D25-3945-A198-9138954FB581}" sibTransId="{DDEE470C-1334-E641-BC15-7D72E5B9008C}"/>
    <dgm:cxn modelId="{0E5F798C-ACEF-AB4B-8EA5-5C3E16383734}" type="presOf" srcId="{855EDA69-4BFC-BF44-9362-EC289AE66D13}" destId="{AC0F14A3-7D48-2248-899B-A7AA97D0D53B}" srcOrd="0" destOrd="0" presId="urn:microsoft.com/office/officeart/2005/8/layout/orgChart1"/>
    <dgm:cxn modelId="{1966B235-A22D-B243-B0DE-CBB1750F09DC}" type="presOf" srcId="{4652FCCA-8750-0D40-933C-6137A0AF0E99}" destId="{B090909C-4F5B-BE4A-8E8C-D0AFCE619FE0}" srcOrd="1" destOrd="0" presId="urn:microsoft.com/office/officeart/2005/8/layout/orgChart1"/>
    <dgm:cxn modelId="{9D76C320-BEA9-E944-98A5-E946A10192D6}" srcId="{A5266370-2C11-A744-A727-C7AEF9571BF1}" destId="{709FB237-CB4A-4A41-91E8-F229A0092754}" srcOrd="2" destOrd="0" parTransId="{787C9E9B-2A65-AF4F-939C-1595685EF88C}" sibTransId="{875299B4-8296-7741-B855-EC388B9B99C1}"/>
    <dgm:cxn modelId="{52D127C6-3B6F-F74A-91DF-25092432783C}" type="presOf" srcId="{83256D5A-47B7-344B-83FA-76BC7A825F48}" destId="{B26A56FB-DEAE-E14B-8E95-CB07DC3CA159}" srcOrd="1" destOrd="0" presId="urn:microsoft.com/office/officeart/2005/8/layout/orgChart1"/>
    <dgm:cxn modelId="{F7AD2D4E-C42C-3346-9C3E-556EACAC9EBE}" type="presOf" srcId="{9A0C45E4-4CA3-4D45-83D8-18D73E4CEFEC}" destId="{381AB469-814E-0F4D-AC69-7E99DC382686}" srcOrd="0" destOrd="0" presId="urn:microsoft.com/office/officeart/2005/8/layout/orgChart1"/>
    <dgm:cxn modelId="{065E2360-D9D9-BE4B-92A1-1391DB50E5A9}" srcId="{512D7DE5-9F3B-B747-900E-F81E23AD26A0}" destId="{6E7B8AE1-34DA-9A4B-BE13-2961A33F6489}" srcOrd="1" destOrd="0" parTransId="{3C0D9D3A-E01A-7C48-AEC6-421528CC4FE9}" sibTransId="{108228F3-38B7-F442-8036-0B2545D1369D}"/>
    <dgm:cxn modelId="{A526B6AD-1B7E-464E-ACFA-FAABE6B2F477}" type="presOf" srcId="{F10B4A8D-11D6-8447-9C42-608DD812778A}" destId="{1173904E-D3C2-124A-9BE4-8DBFD268EA8C}" srcOrd="0" destOrd="0" presId="urn:microsoft.com/office/officeart/2005/8/layout/orgChart1"/>
    <dgm:cxn modelId="{5D51C3C3-3CEB-C14E-A7B4-6593C842EB8A}" type="presOf" srcId="{164ADEA6-9E74-9C42-AA0A-F638D02051FF}" destId="{3B3FA96E-5853-3945-8EEA-73908AFCDB22}" srcOrd="0" destOrd="0" presId="urn:microsoft.com/office/officeart/2005/8/layout/orgChart1"/>
    <dgm:cxn modelId="{833094EC-855C-0842-B2D6-7DA9A359B632}" type="presOf" srcId="{E4E09ED6-C0DC-F943-8909-188BF0A87EF1}" destId="{529A8509-24BF-1141-8292-2490BB0737EE}" srcOrd="0" destOrd="0" presId="urn:microsoft.com/office/officeart/2005/8/layout/orgChart1"/>
    <dgm:cxn modelId="{24D80A5C-6F2D-5D4C-8706-72F8AA58ECC5}" srcId="{83256D5A-47B7-344B-83FA-76BC7A825F48}" destId="{99C7CD03-22FB-E648-9558-9956DA4E6E2C}" srcOrd="1" destOrd="0" parTransId="{F217ABD8-196B-6C4A-9A92-332B2BDA8F4D}" sibTransId="{7C347E66-C09F-6B47-99D5-7ABD4026BE20}"/>
    <dgm:cxn modelId="{8634F5B3-9DC4-254B-86F8-AFD5C32B6A73}" type="presOf" srcId="{D3E44573-50D4-7540-9C76-62074D179706}" destId="{DC50BE6D-450D-A74C-AD2C-9DD0DCC5805D}" srcOrd="1" destOrd="0" presId="urn:microsoft.com/office/officeart/2005/8/layout/orgChart1"/>
    <dgm:cxn modelId="{402E351D-733B-6940-ABBC-E8F30DD56B48}" type="presOf" srcId="{D1611675-5D9C-7847-B7DC-B385AB2679D2}" destId="{1CBBFD52-C98C-5245-A655-633EED9695A0}" srcOrd="0" destOrd="0" presId="urn:microsoft.com/office/officeart/2005/8/layout/orgChart1"/>
    <dgm:cxn modelId="{3D69806E-B23E-0148-B723-54C0E723FAE0}" type="presOf" srcId="{99C7CD03-22FB-E648-9558-9956DA4E6E2C}" destId="{5D175287-1BAB-FA4E-A044-316BAF57273D}" srcOrd="0" destOrd="0" presId="urn:microsoft.com/office/officeart/2005/8/layout/orgChart1"/>
    <dgm:cxn modelId="{DAD76CB7-C149-8340-A373-2ABDC140A7C3}" srcId="{512D7DE5-9F3B-B747-900E-F81E23AD26A0}" destId="{08954C12-7159-C841-B10A-37A058CEDDE0}" srcOrd="0" destOrd="0" parTransId="{372A032F-43F6-D54B-BD6C-6EAD503E6A78}" sibTransId="{FE2D6741-2A8D-7747-AC25-746C3EE09011}"/>
    <dgm:cxn modelId="{CA0B063E-AFEB-E146-9C75-A45BD42C2DED}" type="presOf" srcId="{D935D60E-4001-DF4D-B59C-F575B642C4E3}" destId="{7C9BA176-6A30-5749-91FC-801580704232}" srcOrd="0" destOrd="0" presId="urn:microsoft.com/office/officeart/2005/8/layout/orgChart1"/>
    <dgm:cxn modelId="{1042C159-1BD9-2F45-8C8F-B88CAF4CCFC6}" type="presOf" srcId="{7CABEE52-7626-8843-894E-13B00645E12F}" destId="{3F181781-ACD1-7C4F-A784-524E36404702}" srcOrd="0" destOrd="0" presId="urn:microsoft.com/office/officeart/2005/8/layout/orgChart1"/>
    <dgm:cxn modelId="{9476247F-2426-C148-87AE-21393389928A}" type="presOf" srcId="{F173DC0F-AA0B-0E47-A28A-90D367651E2F}" destId="{5C2B093C-A424-BC46-81CC-3B703C35AAAD}" srcOrd="0" destOrd="0" presId="urn:microsoft.com/office/officeart/2005/8/layout/orgChart1"/>
    <dgm:cxn modelId="{B57E4829-D8BD-C14E-84FF-92937E1E666E}" type="presOf" srcId="{6F6498F2-1BA6-CC48-8A87-10C5D432199A}" destId="{A42B52EF-08F0-F74E-9C78-753107E28FA4}" srcOrd="1" destOrd="0" presId="urn:microsoft.com/office/officeart/2005/8/layout/orgChart1"/>
    <dgm:cxn modelId="{9935A125-E57E-8D40-9EEE-361240BE72F6}" srcId="{C7B71EF1-6C71-924B-B194-AC035107C156}" destId="{47386434-B6C4-0847-9A78-C06A20F7E392}" srcOrd="1" destOrd="0" parTransId="{164ADEA6-9E74-9C42-AA0A-F638D02051FF}" sibTransId="{48F4AE6A-678C-EA4B-B884-E16CE19B8D19}"/>
    <dgm:cxn modelId="{8B66278A-98AD-2B46-9DBF-A49F51074102}" srcId="{6D5BD3B7-A8EC-1E41-A15A-DF35F88230FB}" destId="{35FF3740-05B0-DF45-81BC-087921F96CC2}" srcOrd="1" destOrd="0" parTransId="{47A4BB67-0CFF-164F-9398-B52FC9E836B3}" sibTransId="{031D26AB-984D-B343-A833-FF8E38309B54}"/>
    <dgm:cxn modelId="{0F5539AB-E472-D943-A538-31690F353315}" srcId="{83256D5A-47B7-344B-83FA-76BC7A825F48}" destId="{9A0C45E4-4CA3-4D45-83D8-18D73E4CEFEC}" srcOrd="2" destOrd="0" parTransId="{CFFAC826-18B1-EF47-B8AF-6A7523C6EEAD}" sibTransId="{5637EB75-1C7C-FD41-B7BD-11E76D7CC30E}"/>
    <dgm:cxn modelId="{36B1DF82-C02A-894F-83E3-270217061AEC}" type="presParOf" srcId="{05837F2B-E666-7241-90F1-15C673E65F46}" destId="{AB0FD18F-E3EE-F644-8D6B-760E216DFE2E}" srcOrd="0" destOrd="0" presId="urn:microsoft.com/office/officeart/2005/8/layout/orgChart1"/>
    <dgm:cxn modelId="{3A62A813-2B8A-0C41-8DE3-6F80B6D50984}" type="presParOf" srcId="{AB0FD18F-E3EE-F644-8D6B-760E216DFE2E}" destId="{373064F5-5BDA-124D-A27F-35F25F5832B0}" srcOrd="0" destOrd="0" presId="urn:microsoft.com/office/officeart/2005/8/layout/orgChart1"/>
    <dgm:cxn modelId="{1DECABA6-DC37-A848-A6F4-47E5EA6EF9FF}" type="presParOf" srcId="{373064F5-5BDA-124D-A27F-35F25F5832B0}" destId="{8DFDB919-6631-2A4B-ABE8-DFA37ADE66AA}" srcOrd="0" destOrd="0" presId="urn:microsoft.com/office/officeart/2005/8/layout/orgChart1"/>
    <dgm:cxn modelId="{1C44B0C6-F6E4-D046-840B-9D90978BA9EA}" type="presParOf" srcId="{373064F5-5BDA-124D-A27F-35F25F5832B0}" destId="{64D5317B-ED92-3043-A17A-E53859A353B6}" srcOrd="1" destOrd="0" presId="urn:microsoft.com/office/officeart/2005/8/layout/orgChart1"/>
    <dgm:cxn modelId="{D6412CF0-F375-1643-AD6A-4AD802E4829A}" type="presParOf" srcId="{AB0FD18F-E3EE-F644-8D6B-760E216DFE2E}" destId="{EA80D46E-9CF5-1948-9C48-B378B4A3CB37}" srcOrd="1" destOrd="0" presId="urn:microsoft.com/office/officeart/2005/8/layout/orgChart1"/>
    <dgm:cxn modelId="{EB1D2C17-9239-B149-BF09-70E5C25798C2}" type="presParOf" srcId="{EA80D46E-9CF5-1948-9C48-B378B4A3CB37}" destId="{7F1A48C4-0C27-B045-863E-6BFB7430BE74}" srcOrd="0" destOrd="0" presId="urn:microsoft.com/office/officeart/2005/8/layout/orgChart1"/>
    <dgm:cxn modelId="{3B1D1E42-7D8A-264E-8FE5-3D4703513DA6}" type="presParOf" srcId="{EA80D46E-9CF5-1948-9C48-B378B4A3CB37}" destId="{3868D982-4241-B84F-9E64-E34167E45E74}" srcOrd="1" destOrd="0" presId="urn:microsoft.com/office/officeart/2005/8/layout/orgChart1"/>
    <dgm:cxn modelId="{7E5F5418-ECB2-C644-9F5F-A827E3F142D1}" type="presParOf" srcId="{3868D982-4241-B84F-9E64-E34167E45E74}" destId="{A6A26931-8833-AB4E-8C8F-93F33CB3F321}" srcOrd="0" destOrd="0" presId="urn:microsoft.com/office/officeart/2005/8/layout/orgChart1"/>
    <dgm:cxn modelId="{2DAC7D5F-34D0-E04C-ABD7-315DF038702A}" type="presParOf" srcId="{A6A26931-8833-AB4E-8C8F-93F33CB3F321}" destId="{E09E9214-1145-5A41-BE63-A1E85C0F8538}" srcOrd="0" destOrd="0" presId="urn:microsoft.com/office/officeart/2005/8/layout/orgChart1"/>
    <dgm:cxn modelId="{9E2EF0E8-1D88-DB4E-85F4-37D252DC0C5B}" type="presParOf" srcId="{A6A26931-8833-AB4E-8C8F-93F33CB3F321}" destId="{DEB9E04F-99C4-684F-B739-E4366CE04E55}" srcOrd="1" destOrd="0" presId="urn:microsoft.com/office/officeart/2005/8/layout/orgChart1"/>
    <dgm:cxn modelId="{48B4C75F-E2C2-AA4A-8309-34F5F9E65B9B}" type="presParOf" srcId="{3868D982-4241-B84F-9E64-E34167E45E74}" destId="{4575AA20-CC7F-6341-9E15-3545FE4F7492}" srcOrd="1" destOrd="0" presId="urn:microsoft.com/office/officeart/2005/8/layout/orgChart1"/>
    <dgm:cxn modelId="{BCFD02B6-4652-5C4F-A5A0-81D051EFBDCD}" type="presParOf" srcId="{4575AA20-CC7F-6341-9E15-3545FE4F7492}" destId="{85DB22E6-0028-B843-8E98-3738696692A1}" srcOrd="0" destOrd="0" presId="urn:microsoft.com/office/officeart/2005/8/layout/orgChart1"/>
    <dgm:cxn modelId="{E21BD87A-F901-2046-899A-E064902E4782}" type="presParOf" srcId="{4575AA20-CC7F-6341-9E15-3545FE4F7492}" destId="{BE0163A5-5E00-DA4D-9BC9-C4DB010791E9}" srcOrd="1" destOrd="0" presId="urn:microsoft.com/office/officeart/2005/8/layout/orgChart1"/>
    <dgm:cxn modelId="{E2663D88-E057-9740-A880-D51D84AB1A7A}" type="presParOf" srcId="{BE0163A5-5E00-DA4D-9BC9-C4DB010791E9}" destId="{79B36DB4-DC7C-2347-BD7E-775F74D38602}" srcOrd="0" destOrd="0" presId="urn:microsoft.com/office/officeart/2005/8/layout/orgChart1"/>
    <dgm:cxn modelId="{4013C8A9-1C70-6D4D-81CE-2AD06B2BC59C}" type="presParOf" srcId="{79B36DB4-DC7C-2347-BD7E-775F74D38602}" destId="{76E71002-B8BC-5746-8F38-F15E764FEC9D}" srcOrd="0" destOrd="0" presId="urn:microsoft.com/office/officeart/2005/8/layout/orgChart1"/>
    <dgm:cxn modelId="{CC3E97BB-F45E-6846-B722-B5303F5E7E55}" type="presParOf" srcId="{79B36DB4-DC7C-2347-BD7E-775F74D38602}" destId="{E5A7A678-C4B1-1346-897E-BF29F0B458C6}" srcOrd="1" destOrd="0" presId="urn:microsoft.com/office/officeart/2005/8/layout/orgChart1"/>
    <dgm:cxn modelId="{CB101FDC-2C36-AF4A-BB27-2A4CA2D087D1}" type="presParOf" srcId="{BE0163A5-5E00-DA4D-9BC9-C4DB010791E9}" destId="{224A28F4-1D27-CF44-8485-0D5DEF70E97A}" srcOrd="1" destOrd="0" presId="urn:microsoft.com/office/officeart/2005/8/layout/orgChart1"/>
    <dgm:cxn modelId="{61522A80-8338-7741-95E7-C2AB5876CF48}" type="presParOf" srcId="{BE0163A5-5E00-DA4D-9BC9-C4DB010791E9}" destId="{740CB7F6-A26F-8D4B-9176-3C3A1FEDD2FF}" srcOrd="2" destOrd="0" presId="urn:microsoft.com/office/officeart/2005/8/layout/orgChart1"/>
    <dgm:cxn modelId="{1304A08B-EA48-BC47-B9F2-6849E218E6B4}" type="presParOf" srcId="{4575AA20-CC7F-6341-9E15-3545FE4F7492}" destId="{F9EA34DC-E615-6F44-9334-60C9339EE48D}" srcOrd="2" destOrd="0" presId="urn:microsoft.com/office/officeart/2005/8/layout/orgChart1"/>
    <dgm:cxn modelId="{C4C1F85F-5802-C948-B869-EB43AEC3BFA7}" type="presParOf" srcId="{4575AA20-CC7F-6341-9E15-3545FE4F7492}" destId="{6E133151-666A-8A45-8B64-0F55389BB86D}" srcOrd="3" destOrd="0" presId="urn:microsoft.com/office/officeart/2005/8/layout/orgChart1"/>
    <dgm:cxn modelId="{7FE5065E-1589-FF47-814B-C9DF94DDC96B}" type="presParOf" srcId="{6E133151-666A-8A45-8B64-0F55389BB86D}" destId="{725DCB82-BF3C-D847-85A1-F62D56C8AC43}" srcOrd="0" destOrd="0" presId="urn:microsoft.com/office/officeart/2005/8/layout/orgChart1"/>
    <dgm:cxn modelId="{3C01E0CC-763C-EA47-899F-457409ADA70A}" type="presParOf" srcId="{725DCB82-BF3C-D847-85A1-F62D56C8AC43}" destId="{FD918F62-E775-B64C-99B2-B04FEEC0C03B}" srcOrd="0" destOrd="0" presId="urn:microsoft.com/office/officeart/2005/8/layout/orgChart1"/>
    <dgm:cxn modelId="{0F454F2C-E021-D34D-B42F-45843D37E1EC}" type="presParOf" srcId="{725DCB82-BF3C-D847-85A1-F62D56C8AC43}" destId="{8D8271CC-47D0-864A-BE37-772055619D06}" srcOrd="1" destOrd="0" presId="urn:microsoft.com/office/officeart/2005/8/layout/orgChart1"/>
    <dgm:cxn modelId="{E0AA5454-0884-E749-B789-4A178BB74D36}" type="presParOf" srcId="{6E133151-666A-8A45-8B64-0F55389BB86D}" destId="{0D651A10-8895-9946-9D78-B7D8193DEAA9}" srcOrd="1" destOrd="0" presId="urn:microsoft.com/office/officeart/2005/8/layout/orgChart1"/>
    <dgm:cxn modelId="{A3CF2ACC-E8B6-7845-8EEE-2822273CBFC8}" type="presParOf" srcId="{6E133151-666A-8A45-8B64-0F55389BB86D}" destId="{9C998327-F8B2-9542-9682-5952E994746F}" srcOrd="2" destOrd="0" presId="urn:microsoft.com/office/officeart/2005/8/layout/orgChart1"/>
    <dgm:cxn modelId="{314FDECB-48EA-5844-886C-C11E56D59ABB}" type="presParOf" srcId="{3868D982-4241-B84F-9E64-E34167E45E74}" destId="{D3C0FF62-A2FF-2C41-89B9-2E17A5DA279B}" srcOrd="2" destOrd="0" presId="urn:microsoft.com/office/officeart/2005/8/layout/orgChart1"/>
    <dgm:cxn modelId="{5A500D7B-6B88-A24A-9EE4-08C699A653F8}" type="presParOf" srcId="{EA80D46E-9CF5-1948-9C48-B378B4A3CB37}" destId="{529A8509-24BF-1141-8292-2490BB0737EE}" srcOrd="2" destOrd="0" presId="urn:microsoft.com/office/officeart/2005/8/layout/orgChart1"/>
    <dgm:cxn modelId="{7817CCDF-5487-0246-857A-A0A8F8E733F7}" type="presParOf" srcId="{EA80D46E-9CF5-1948-9C48-B378B4A3CB37}" destId="{C7417A63-8ABA-6E49-81E4-F575A100A211}" srcOrd="3" destOrd="0" presId="urn:microsoft.com/office/officeart/2005/8/layout/orgChart1"/>
    <dgm:cxn modelId="{E51A0A03-43B2-1F42-8907-B5060C958612}" type="presParOf" srcId="{C7417A63-8ABA-6E49-81E4-F575A100A211}" destId="{ADEBDAD5-EA6C-614D-9050-4F2C02098524}" srcOrd="0" destOrd="0" presId="urn:microsoft.com/office/officeart/2005/8/layout/orgChart1"/>
    <dgm:cxn modelId="{CB4F3971-A327-EB4D-B00F-D0CBF4A0A9EB}" type="presParOf" srcId="{ADEBDAD5-EA6C-614D-9050-4F2C02098524}" destId="{B585D139-CDED-DA45-B4F2-FA1CD431B6A2}" srcOrd="0" destOrd="0" presId="urn:microsoft.com/office/officeart/2005/8/layout/orgChart1"/>
    <dgm:cxn modelId="{032BB30F-9FC1-2647-8118-048F09C8CDC8}" type="presParOf" srcId="{ADEBDAD5-EA6C-614D-9050-4F2C02098524}" destId="{E111EEBA-7049-ED4D-9D94-18318D998741}" srcOrd="1" destOrd="0" presId="urn:microsoft.com/office/officeart/2005/8/layout/orgChart1"/>
    <dgm:cxn modelId="{BF5BE259-54D2-264E-A423-978C7847CD76}" type="presParOf" srcId="{C7417A63-8ABA-6E49-81E4-F575A100A211}" destId="{75E9B1BB-B3CD-3749-8E3E-417DDC4411AC}" srcOrd="1" destOrd="0" presId="urn:microsoft.com/office/officeart/2005/8/layout/orgChart1"/>
    <dgm:cxn modelId="{5945AE6E-D6CD-4D49-85C9-198526E38684}" type="presParOf" srcId="{75E9B1BB-B3CD-3749-8E3E-417DDC4411AC}" destId="{C5B588B3-FA3D-C84E-A9F5-3159280EF2D1}" srcOrd="0" destOrd="0" presId="urn:microsoft.com/office/officeart/2005/8/layout/orgChart1"/>
    <dgm:cxn modelId="{3B5740A1-BBC2-6042-8B2D-747753E440FA}" type="presParOf" srcId="{75E9B1BB-B3CD-3749-8E3E-417DDC4411AC}" destId="{B1E60525-D862-E740-B850-F4B92D510262}" srcOrd="1" destOrd="0" presId="urn:microsoft.com/office/officeart/2005/8/layout/orgChart1"/>
    <dgm:cxn modelId="{AB6DC136-B99F-D440-A7AB-F953AA023107}" type="presParOf" srcId="{B1E60525-D862-E740-B850-F4B92D510262}" destId="{8004D53F-6BFD-B04F-B6F6-58B99EC00F5A}" srcOrd="0" destOrd="0" presId="urn:microsoft.com/office/officeart/2005/8/layout/orgChart1"/>
    <dgm:cxn modelId="{9E3211B8-7663-5E43-BFAD-3748CCDA92E1}" type="presParOf" srcId="{8004D53F-6BFD-B04F-B6F6-58B99EC00F5A}" destId="{9F60840A-0330-9E4C-B668-3A77BF225204}" srcOrd="0" destOrd="0" presId="urn:microsoft.com/office/officeart/2005/8/layout/orgChart1"/>
    <dgm:cxn modelId="{682D7ACA-90C8-0345-A550-DF3EDE02321C}" type="presParOf" srcId="{8004D53F-6BFD-B04F-B6F6-58B99EC00F5A}" destId="{57A576BA-50AD-7145-A420-9BAA84840ECB}" srcOrd="1" destOrd="0" presId="urn:microsoft.com/office/officeart/2005/8/layout/orgChart1"/>
    <dgm:cxn modelId="{09B62086-42B6-624D-84EC-CA41EE2D8494}" type="presParOf" srcId="{B1E60525-D862-E740-B850-F4B92D510262}" destId="{036C7C06-9220-1C4C-BE70-63573FC26A95}" srcOrd="1" destOrd="0" presId="urn:microsoft.com/office/officeart/2005/8/layout/orgChart1"/>
    <dgm:cxn modelId="{F95AA530-F6F2-C842-83F3-A4566D9B9171}" type="presParOf" srcId="{B1E60525-D862-E740-B850-F4B92D510262}" destId="{5ABD1336-8240-3343-81F5-8754A2CFA532}" srcOrd="2" destOrd="0" presId="urn:microsoft.com/office/officeart/2005/8/layout/orgChart1"/>
    <dgm:cxn modelId="{3A0FC557-D28C-4B45-967C-82E11CD1FDD8}" type="presParOf" srcId="{75E9B1BB-B3CD-3749-8E3E-417DDC4411AC}" destId="{009230F5-B830-EB41-ABFB-E6342E711F33}" srcOrd="2" destOrd="0" presId="urn:microsoft.com/office/officeart/2005/8/layout/orgChart1"/>
    <dgm:cxn modelId="{CE953BEC-EDA7-E74E-9B3D-4B122A78AA95}" type="presParOf" srcId="{75E9B1BB-B3CD-3749-8E3E-417DDC4411AC}" destId="{74955CDC-530A-D44C-A33E-BEB062CFF38F}" srcOrd="3" destOrd="0" presId="urn:microsoft.com/office/officeart/2005/8/layout/orgChart1"/>
    <dgm:cxn modelId="{83D7A0BF-C35C-6C4D-B90E-D8EBD22A4976}" type="presParOf" srcId="{74955CDC-530A-D44C-A33E-BEB062CFF38F}" destId="{81F4658E-71A9-7743-868C-CDAC63CABC95}" srcOrd="0" destOrd="0" presId="urn:microsoft.com/office/officeart/2005/8/layout/orgChart1"/>
    <dgm:cxn modelId="{EEBBF5AD-D089-C145-9074-E403CB06F4DC}" type="presParOf" srcId="{81F4658E-71A9-7743-868C-CDAC63CABC95}" destId="{20E78230-D19E-414E-B865-F3BA76D7B29F}" srcOrd="0" destOrd="0" presId="urn:microsoft.com/office/officeart/2005/8/layout/orgChart1"/>
    <dgm:cxn modelId="{F158577A-D379-CA45-AB42-F18D15690231}" type="presParOf" srcId="{81F4658E-71A9-7743-868C-CDAC63CABC95}" destId="{EE90DB05-C6BE-E546-BEBC-579EA90FC290}" srcOrd="1" destOrd="0" presId="urn:microsoft.com/office/officeart/2005/8/layout/orgChart1"/>
    <dgm:cxn modelId="{AD10EE70-448C-7A49-BB2C-B84008ED4CC8}" type="presParOf" srcId="{74955CDC-530A-D44C-A33E-BEB062CFF38F}" destId="{16EB4296-E27D-8446-9783-42AD6DC29FF3}" srcOrd="1" destOrd="0" presId="urn:microsoft.com/office/officeart/2005/8/layout/orgChart1"/>
    <dgm:cxn modelId="{92DE194A-280E-B547-889F-0CB96DF6573A}" type="presParOf" srcId="{74955CDC-530A-D44C-A33E-BEB062CFF38F}" destId="{3361EACD-A7C3-854B-AA7A-036C3FAB9DE0}" srcOrd="2" destOrd="0" presId="urn:microsoft.com/office/officeart/2005/8/layout/orgChart1"/>
    <dgm:cxn modelId="{36C62642-A76B-4F40-BE34-CF299A5DDA5D}" type="presParOf" srcId="{75E9B1BB-B3CD-3749-8E3E-417DDC4411AC}" destId="{7C9BA176-6A30-5749-91FC-801580704232}" srcOrd="4" destOrd="0" presId="urn:microsoft.com/office/officeart/2005/8/layout/orgChart1"/>
    <dgm:cxn modelId="{C3C3575A-B18F-D447-B49D-B2595AF814DE}" type="presParOf" srcId="{75E9B1BB-B3CD-3749-8E3E-417DDC4411AC}" destId="{B9A389F5-87C1-6949-9E13-7539AA6E7544}" srcOrd="5" destOrd="0" presId="urn:microsoft.com/office/officeart/2005/8/layout/orgChart1"/>
    <dgm:cxn modelId="{D4684DD2-E546-3F40-999C-9648F318697E}" type="presParOf" srcId="{B9A389F5-87C1-6949-9E13-7539AA6E7544}" destId="{1D9CA788-06E4-A747-AD85-BE498EE383CB}" srcOrd="0" destOrd="0" presId="urn:microsoft.com/office/officeart/2005/8/layout/orgChart1"/>
    <dgm:cxn modelId="{7AC917F2-A8B7-5748-9973-E5CD3F7C8D6E}" type="presParOf" srcId="{1D9CA788-06E4-A747-AD85-BE498EE383CB}" destId="{1173904E-D3C2-124A-9BE4-8DBFD268EA8C}" srcOrd="0" destOrd="0" presId="urn:microsoft.com/office/officeart/2005/8/layout/orgChart1"/>
    <dgm:cxn modelId="{72FC1287-DD37-5E42-8462-34A9D766D8C2}" type="presParOf" srcId="{1D9CA788-06E4-A747-AD85-BE498EE383CB}" destId="{9D40FF64-7954-5C44-A5ED-0F58F354EED1}" srcOrd="1" destOrd="0" presId="urn:microsoft.com/office/officeart/2005/8/layout/orgChart1"/>
    <dgm:cxn modelId="{BD5001AD-CDCA-564E-BDDB-A05698B5463C}" type="presParOf" srcId="{B9A389F5-87C1-6949-9E13-7539AA6E7544}" destId="{B53CBFD5-F410-AE4F-BDA7-21687C773993}" srcOrd="1" destOrd="0" presId="urn:microsoft.com/office/officeart/2005/8/layout/orgChart1"/>
    <dgm:cxn modelId="{4AD54A5F-D9E5-344F-B74B-412E61491B5E}" type="presParOf" srcId="{B9A389F5-87C1-6949-9E13-7539AA6E7544}" destId="{8DB8F77F-8CB2-0447-9B09-41275107D23D}" srcOrd="2" destOrd="0" presId="urn:microsoft.com/office/officeart/2005/8/layout/orgChart1"/>
    <dgm:cxn modelId="{85D39702-5BA0-6048-BA7D-862852C78AC6}" type="presParOf" srcId="{C7417A63-8ABA-6E49-81E4-F575A100A211}" destId="{3282298D-7D85-EA47-81D8-DB50A2D6B742}" srcOrd="2" destOrd="0" presId="urn:microsoft.com/office/officeart/2005/8/layout/orgChart1"/>
    <dgm:cxn modelId="{BCF88525-4DCA-154E-B4B8-1FA427BB1808}" type="presParOf" srcId="{AB0FD18F-E3EE-F644-8D6B-760E216DFE2E}" destId="{9CAADBD7-D9BB-F64F-8C87-4F46801038EE}" srcOrd="2" destOrd="0" presId="urn:microsoft.com/office/officeart/2005/8/layout/orgChart1"/>
    <dgm:cxn modelId="{56AFB0C8-0FB9-5B4B-A952-DFB0E455A639}" type="presParOf" srcId="{05837F2B-E666-7241-90F1-15C673E65F46}" destId="{BCF0F11E-D9A2-7045-87DA-1ABE8ECB567A}" srcOrd="1" destOrd="0" presId="urn:microsoft.com/office/officeart/2005/8/layout/orgChart1"/>
    <dgm:cxn modelId="{1BDC7F93-6211-5C4F-80BC-8FC2D04C5A5A}" type="presParOf" srcId="{BCF0F11E-D9A2-7045-87DA-1ABE8ECB567A}" destId="{D22A5C10-F3C6-B648-B69B-EF7A5D3873DD}" srcOrd="0" destOrd="0" presId="urn:microsoft.com/office/officeart/2005/8/layout/orgChart1"/>
    <dgm:cxn modelId="{A673B1B9-148E-6A47-8D7D-376F4F513CF0}" type="presParOf" srcId="{D22A5C10-F3C6-B648-B69B-EF7A5D3873DD}" destId="{41CB09C6-595D-EF40-84B2-175EC7BF4795}" srcOrd="0" destOrd="0" presId="urn:microsoft.com/office/officeart/2005/8/layout/orgChart1"/>
    <dgm:cxn modelId="{7FCE0CD4-A3A9-7244-BE87-C2FA621B34A9}" type="presParOf" srcId="{D22A5C10-F3C6-B648-B69B-EF7A5D3873DD}" destId="{0839BB9C-DD24-4041-B558-7232B8D7601F}" srcOrd="1" destOrd="0" presId="urn:microsoft.com/office/officeart/2005/8/layout/orgChart1"/>
    <dgm:cxn modelId="{E05047CA-CC2C-5C4E-A64C-93A52719269C}" type="presParOf" srcId="{BCF0F11E-D9A2-7045-87DA-1ABE8ECB567A}" destId="{CCD542E0-AE2B-ED4C-AABA-8DE37FCBBDF8}" srcOrd="1" destOrd="0" presId="urn:microsoft.com/office/officeart/2005/8/layout/orgChart1"/>
    <dgm:cxn modelId="{A4F5069E-A428-9E4E-A06C-1A2E9D4F1FEA}" type="presParOf" srcId="{CCD542E0-AE2B-ED4C-AABA-8DE37FCBBDF8}" destId="{E3924461-195C-0449-85F4-D8F6D81D5E25}" srcOrd="0" destOrd="0" presId="urn:microsoft.com/office/officeart/2005/8/layout/orgChart1"/>
    <dgm:cxn modelId="{B498689E-4707-214B-9EED-224737B01793}" type="presParOf" srcId="{CCD542E0-AE2B-ED4C-AABA-8DE37FCBBDF8}" destId="{26FDC80B-794F-1A4B-A106-60250EB8724F}" srcOrd="1" destOrd="0" presId="urn:microsoft.com/office/officeart/2005/8/layout/orgChart1"/>
    <dgm:cxn modelId="{12938957-6FC2-6B41-8FBD-6F2FE7E4AB0E}" type="presParOf" srcId="{26FDC80B-794F-1A4B-A106-60250EB8724F}" destId="{1B998B11-E686-F24A-B9CE-85A9CFFB08EB}" srcOrd="0" destOrd="0" presId="urn:microsoft.com/office/officeart/2005/8/layout/orgChart1"/>
    <dgm:cxn modelId="{923FA83E-D7F7-6B41-822C-9F03D998DDA5}" type="presParOf" srcId="{1B998B11-E686-F24A-B9CE-85A9CFFB08EB}" destId="{DC33DE3B-880F-4149-986D-693F670B7B73}" srcOrd="0" destOrd="0" presId="urn:microsoft.com/office/officeart/2005/8/layout/orgChart1"/>
    <dgm:cxn modelId="{33C02619-9757-B04A-A68F-7EEFF015DC55}" type="presParOf" srcId="{1B998B11-E686-F24A-B9CE-85A9CFFB08EB}" destId="{B090909C-4F5B-BE4A-8E8C-D0AFCE619FE0}" srcOrd="1" destOrd="0" presId="urn:microsoft.com/office/officeart/2005/8/layout/orgChart1"/>
    <dgm:cxn modelId="{B98444DD-29CF-E244-AF94-23E90B655275}" type="presParOf" srcId="{26FDC80B-794F-1A4B-A106-60250EB8724F}" destId="{C3EC11E2-B664-D84A-ACAC-40915AC1BE8A}" srcOrd="1" destOrd="0" presId="urn:microsoft.com/office/officeart/2005/8/layout/orgChart1"/>
    <dgm:cxn modelId="{9BDE836C-658D-5B49-8D9A-F93CC6007966}" type="presParOf" srcId="{C3EC11E2-B664-D84A-ACAC-40915AC1BE8A}" destId="{CCB1D022-33BC-694E-9AA7-765A2643DAA7}" srcOrd="0" destOrd="0" presId="urn:microsoft.com/office/officeart/2005/8/layout/orgChart1"/>
    <dgm:cxn modelId="{AC8844C0-6A2E-0241-994B-C9CA081A730C}" type="presParOf" srcId="{C3EC11E2-B664-D84A-ACAC-40915AC1BE8A}" destId="{4D1E7BF1-5D24-3D41-BD65-2E741F9CDC8F}" srcOrd="1" destOrd="0" presId="urn:microsoft.com/office/officeart/2005/8/layout/orgChart1"/>
    <dgm:cxn modelId="{1FBD59CE-F6B4-6B4A-B9B4-3B546D872909}" type="presParOf" srcId="{4D1E7BF1-5D24-3D41-BD65-2E741F9CDC8F}" destId="{233C1BFE-98D5-BB4A-A508-2B840466CE65}" srcOrd="0" destOrd="0" presId="urn:microsoft.com/office/officeart/2005/8/layout/orgChart1"/>
    <dgm:cxn modelId="{A7AF3743-8547-2047-893B-A9A0A2272407}" type="presParOf" srcId="{233C1BFE-98D5-BB4A-A508-2B840466CE65}" destId="{AC0F14A3-7D48-2248-899B-A7AA97D0D53B}" srcOrd="0" destOrd="0" presId="urn:microsoft.com/office/officeart/2005/8/layout/orgChart1"/>
    <dgm:cxn modelId="{C8A3AB93-AF6F-D94A-A2B6-ABD6FAFBB199}" type="presParOf" srcId="{233C1BFE-98D5-BB4A-A508-2B840466CE65}" destId="{96AE0938-1012-4D47-9BE8-D80FBD62CC58}" srcOrd="1" destOrd="0" presId="urn:microsoft.com/office/officeart/2005/8/layout/orgChart1"/>
    <dgm:cxn modelId="{C3081573-1477-5049-8358-7ED325D07474}" type="presParOf" srcId="{4D1E7BF1-5D24-3D41-BD65-2E741F9CDC8F}" destId="{E10C817E-97D2-0549-AAD7-00431B168852}" srcOrd="1" destOrd="0" presId="urn:microsoft.com/office/officeart/2005/8/layout/orgChart1"/>
    <dgm:cxn modelId="{E82CB3ED-1BD2-954E-9FCB-F3BBEA55F64F}" type="presParOf" srcId="{4D1E7BF1-5D24-3D41-BD65-2E741F9CDC8F}" destId="{A8316C79-7F4A-9F43-8406-DB16445275C9}" srcOrd="2" destOrd="0" presId="urn:microsoft.com/office/officeart/2005/8/layout/orgChart1"/>
    <dgm:cxn modelId="{C8E084ED-D16C-4143-B068-D10D7AA02514}" type="presParOf" srcId="{C3EC11E2-B664-D84A-ACAC-40915AC1BE8A}" destId="{00A15667-B140-1E42-A226-601E4FFB3802}" srcOrd="2" destOrd="0" presId="urn:microsoft.com/office/officeart/2005/8/layout/orgChart1"/>
    <dgm:cxn modelId="{74367E86-7F95-4442-8690-79208CB78400}" type="presParOf" srcId="{C3EC11E2-B664-D84A-ACAC-40915AC1BE8A}" destId="{AAAFCB6B-4085-AB4D-ADE8-E90D60EE2C4F}" srcOrd="3" destOrd="0" presId="urn:microsoft.com/office/officeart/2005/8/layout/orgChart1"/>
    <dgm:cxn modelId="{1137F1EF-04BF-E448-B315-95ADDCC1C97F}" type="presParOf" srcId="{AAAFCB6B-4085-AB4D-ADE8-E90D60EE2C4F}" destId="{BC248B2C-2B3E-8C45-9CB6-AD902ADD3784}" srcOrd="0" destOrd="0" presId="urn:microsoft.com/office/officeart/2005/8/layout/orgChart1"/>
    <dgm:cxn modelId="{194B8337-8B46-8E41-82BD-CE7B73D3D45C}" type="presParOf" srcId="{BC248B2C-2B3E-8C45-9CB6-AD902ADD3784}" destId="{1CBBFD52-C98C-5245-A655-633EED9695A0}" srcOrd="0" destOrd="0" presId="urn:microsoft.com/office/officeart/2005/8/layout/orgChart1"/>
    <dgm:cxn modelId="{0BE0C7BF-FE54-5441-A3F4-CD78BD820E55}" type="presParOf" srcId="{BC248B2C-2B3E-8C45-9CB6-AD902ADD3784}" destId="{F7A4F007-AC03-6041-9090-722582E29BF6}" srcOrd="1" destOrd="0" presId="urn:microsoft.com/office/officeart/2005/8/layout/orgChart1"/>
    <dgm:cxn modelId="{B9F490EF-732C-9646-8939-82422D2A274C}" type="presParOf" srcId="{AAAFCB6B-4085-AB4D-ADE8-E90D60EE2C4F}" destId="{9D00C374-72C1-D947-AEED-CC8E717463E4}" srcOrd="1" destOrd="0" presId="urn:microsoft.com/office/officeart/2005/8/layout/orgChart1"/>
    <dgm:cxn modelId="{A66B6F06-04CF-6D45-9BE5-95EA19399FF8}" type="presParOf" srcId="{AAAFCB6B-4085-AB4D-ADE8-E90D60EE2C4F}" destId="{230EBB2F-2A8F-AD44-869F-9C225CBCA2D0}" srcOrd="2" destOrd="0" presId="urn:microsoft.com/office/officeart/2005/8/layout/orgChart1"/>
    <dgm:cxn modelId="{9371A858-7253-FE43-9001-70CC85B6264C}" type="presParOf" srcId="{26FDC80B-794F-1A4B-A106-60250EB8724F}" destId="{CDF64FCF-CC1F-5845-8B15-78E025BAD049}" srcOrd="2" destOrd="0" presId="urn:microsoft.com/office/officeart/2005/8/layout/orgChart1"/>
    <dgm:cxn modelId="{A436040C-7DEB-C640-81A6-BBDF1B18B08C}" type="presParOf" srcId="{CCD542E0-AE2B-ED4C-AABA-8DE37FCBBDF8}" destId="{63F5FD9A-3F83-4940-8DD8-652AFFBCFFCA}" srcOrd="2" destOrd="0" presId="urn:microsoft.com/office/officeart/2005/8/layout/orgChart1"/>
    <dgm:cxn modelId="{BE5CD611-BBB9-D645-899A-ADEC53FB697F}" type="presParOf" srcId="{CCD542E0-AE2B-ED4C-AABA-8DE37FCBBDF8}" destId="{1CFA35A8-3882-B24F-B5E3-414552EBE7C1}" srcOrd="3" destOrd="0" presId="urn:microsoft.com/office/officeart/2005/8/layout/orgChart1"/>
    <dgm:cxn modelId="{67F773FC-B9BB-5544-AF47-83FC684EBE62}" type="presParOf" srcId="{1CFA35A8-3882-B24F-B5E3-414552EBE7C1}" destId="{1BE196FA-6F38-8046-903E-A6D85FB93A65}" srcOrd="0" destOrd="0" presId="urn:microsoft.com/office/officeart/2005/8/layout/orgChart1"/>
    <dgm:cxn modelId="{EBBEEBC7-5EB2-654B-8886-6374112C1C47}" type="presParOf" srcId="{1BE196FA-6F38-8046-903E-A6D85FB93A65}" destId="{17F87F29-E588-584C-A3F0-A4300B3BCD30}" srcOrd="0" destOrd="0" presId="urn:microsoft.com/office/officeart/2005/8/layout/orgChart1"/>
    <dgm:cxn modelId="{64D207B3-05DB-B749-A73D-DF4D660166AD}" type="presParOf" srcId="{1BE196FA-6F38-8046-903E-A6D85FB93A65}" destId="{7820115C-6F82-6144-ACE7-58B59F9B66A1}" srcOrd="1" destOrd="0" presId="urn:microsoft.com/office/officeart/2005/8/layout/orgChart1"/>
    <dgm:cxn modelId="{023FC581-F5C5-4840-AB55-C4E39DDAA1F8}" type="presParOf" srcId="{1CFA35A8-3882-B24F-B5E3-414552EBE7C1}" destId="{B8720C88-1D9C-7B44-8393-48FC994DBE75}" srcOrd="1" destOrd="0" presId="urn:microsoft.com/office/officeart/2005/8/layout/orgChart1"/>
    <dgm:cxn modelId="{9653C628-B6DB-C14B-9785-C9BFE85D42DA}" type="presParOf" srcId="{B8720C88-1D9C-7B44-8393-48FC994DBE75}" destId="{02847AA6-7813-2246-8185-6B286D65F9E7}" srcOrd="0" destOrd="0" presId="urn:microsoft.com/office/officeart/2005/8/layout/orgChart1"/>
    <dgm:cxn modelId="{A24E1872-6B8F-8341-A60D-5D0E14B3BB57}" type="presParOf" srcId="{B8720C88-1D9C-7B44-8393-48FC994DBE75}" destId="{88ACAD00-C1FC-4143-8450-D4629E630201}" srcOrd="1" destOrd="0" presId="urn:microsoft.com/office/officeart/2005/8/layout/orgChart1"/>
    <dgm:cxn modelId="{8E3CB106-A52F-F942-9DC3-50C8C73D5C5F}" type="presParOf" srcId="{88ACAD00-C1FC-4143-8450-D4629E630201}" destId="{1EC9C74F-EA8F-7B44-A8E2-40D80BEDA2CE}" srcOrd="0" destOrd="0" presId="urn:microsoft.com/office/officeart/2005/8/layout/orgChart1"/>
    <dgm:cxn modelId="{D5D17FA2-4033-1D4E-A9FC-80EABE79CF40}" type="presParOf" srcId="{1EC9C74F-EA8F-7B44-A8E2-40D80BEDA2CE}" destId="{CB55810D-B712-7C49-A2E8-7A8562A9DD0A}" srcOrd="0" destOrd="0" presId="urn:microsoft.com/office/officeart/2005/8/layout/orgChart1"/>
    <dgm:cxn modelId="{2A2100BE-2E65-1849-83D9-12234606CE81}" type="presParOf" srcId="{1EC9C74F-EA8F-7B44-A8E2-40D80BEDA2CE}" destId="{DC50BE6D-450D-A74C-AD2C-9DD0DCC5805D}" srcOrd="1" destOrd="0" presId="urn:microsoft.com/office/officeart/2005/8/layout/orgChart1"/>
    <dgm:cxn modelId="{79C9D037-4386-674B-B69A-F354B287359F}" type="presParOf" srcId="{88ACAD00-C1FC-4143-8450-D4629E630201}" destId="{DE0F9768-FCBC-7F44-B809-B24DD3D0C457}" srcOrd="1" destOrd="0" presId="urn:microsoft.com/office/officeart/2005/8/layout/orgChart1"/>
    <dgm:cxn modelId="{2B5E4F57-7682-0343-8A5B-A35C3A510900}" type="presParOf" srcId="{88ACAD00-C1FC-4143-8450-D4629E630201}" destId="{5B75B51E-1434-F64E-AFE0-6D90F24DE61F}" srcOrd="2" destOrd="0" presId="urn:microsoft.com/office/officeart/2005/8/layout/orgChart1"/>
    <dgm:cxn modelId="{D169A27D-6DBD-8243-979A-28E1D1F47DF7}" type="presParOf" srcId="{B8720C88-1D9C-7B44-8393-48FC994DBE75}" destId="{3B3FA96E-5853-3945-8EEA-73908AFCDB22}" srcOrd="2" destOrd="0" presId="urn:microsoft.com/office/officeart/2005/8/layout/orgChart1"/>
    <dgm:cxn modelId="{4C230F4E-78F8-0D40-B451-AEBCCD78CB52}" type="presParOf" srcId="{B8720C88-1D9C-7B44-8393-48FC994DBE75}" destId="{71B8FC93-B0E2-574A-8C83-1F376DDC8293}" srcOrd="3" destOrd="0" presId="urn:microsoft.com/office/officeart/2005/8/layout/orgChart1"/>
    <dgm:cxn modelId="{773DB4C2-E836-7F41-B362-B8C08EC34423}" type="presParOf" srcId="{71B8FC93-B0E2-574A-8C83-1F376DDC8293}" destId="{3F4B3B0D-646A-4B4E-B159-D2FEBAF8A4E3}" srcOrd="0" destOrd="0" presId="urn:microsoft.com/office/officeart/2005/8/layout/orgChart1"/>
    <dgm:cxn modelId="{0FC4A3B3-D7EE-FA4A-8166-18CAB939AF93}" type="presParOf" srcId="{3F4B3B0D-646A-4B4E-B159-D2FEBAF8A4E3}" destId="{97BA46C4-BBBA-7947-8CB7-58963293116B}" srcOrd="0" destOrd="0" presId="urn:microsoft.com/office/officeart/2005/8/layout/orgChart1"/>
    <dgm:cxn modelId="{298196BC-423A-844A-97E6-3703BE9A0533}" type="presParOf" srcId="{3F4B3B0D-646A-4B4E-B159-D2FEBAF8A4E3}" destId="{6757472A-1B2A-EF4C-BF6C-7B4E34A71F0A}" srcOrd="1" destOrd="0" presId="urn:microsoft.com/office/officeart/2005/8/layout/orgChart1"/>
    <dgm:cxn modelId="{9AD503FB-C693-D04F-92B0-09ACEE4CA1DB}" type="presParOf" srcId="{71B8FC93-B0E2-574A-8C83-1F376DDC8293}" destId="{7FF1834B-8BD4-8446-BD62-1DA0BED006F8}" srcOrd="1" destOrd="0" presId="urn:microsoft.com/office/officeart/2005/8/layout/orgChart1"/>
    <dgm:cxn modelId="{0FD35220-C3C3-A746-8A7E-AE02F2F01283}" type="presParOf" srcId="{71B8FC93-B0E2-574A-8C83-1F376DDC8293}" destId="{CE0A1A19-0830-B94F-9390-2A3D09421731}" srcOrd="2" destOrd="0" presId="urn:microsoft.com/office/officeart/2005/8/layout/orgChart1"/>
    <dgm:cxn modelId="{F797B92B-6FF5-5D4F-9430-54B6D6FF90CB}" type="presParOf" srcId="{1CFA35A8-3882-B24F-B5E3-414552EBE7C1}" destId="{DFEBFC66-B171-6A47-A119-BC735EA25714}" srcOrd="2" destOrd="0" presId="urn:microsoft.com/office/officeart/2005/8/layout/orgChart1"/>
    <dgm:cxn modelId="{3E424116-7456-874D-9123-547D85644C46}" type="presParOf" srcId="{CCD542E0-AE2B-ED4C-AABA-8DE37FCBBDF8}" destId="{7802327E-B26B-8640-B7C8-A4670EE181B1}" srcOrd="4" destOrd="0" presId="urn:microsoft.com/office/officeart/2005/8/layout/orgChart1"/>
    <dgm:cxn modelId="{2AD8704B-ED2D-3048-89FE-F09E239D5128}" type="presParOf" srcId="{CCD542E0-AE2B-ED4C-AABA-8DE37FCBBDF8}" destId="{D60F74D2-44F1-5E47-AF93-61BC129790EB}" srcOrd="5" destOrd="0" presId="urn:microsoft.com/office/officeart/2005/8/layout/orgChart1"/>
    <dgm:cxn modelId="{B0D9DF85-D0E4-054A-9D17-BB74305B5926}" type="presParOf" srcId="{D60F74D2-44F1-5E47-AF93-61BC129790EB}" destId="{FAACD1C4-B638-5341-A9FE-358324931380}" srcOrd="0" destOrd="0" presId="urn:microsoft.com/office/officeart/2005/8/layout/orgChart1"/>
    <dgm:cxn modelId="{B0E7333D-6F1C-9A49-B918-52243AAFDFA4}" type="presParOf" srcId="{FAACD1C4-B638-5341-A9FE-358324931380}" destId="{5215271E-34D8-B947-BE36-0F5C7D930FF4}" srcOrd="0" destOrd="0" presId="urn:microsoft.com/office/officeart/2005/8/layout/orgChart1"/>
    <dgm:cxn modelId="{A8AA0F7D-1A34-044E-93D7-310E9AB4ED2E}" type="presParOf" srcId="{FAACD1C4-B638-5341-A9FE-358324931380}" destId="{B26A56FB-DEAE-E14B-8E95-CB07DC3CA159}" srcOrd="1" destOrd="0" presId="urn:microsoft.com/office/officeart/2005/8/layout/orgChart1"/>
    <dgm:cxn modelId="{DFE9733B-6E49-304F-B909-C13BB042764A}" type="presParOf" srcId="{D60F74D2-44F1-5E47-AF93-61BC129790EB}" destId="{0330A87D-BD71-B84C-8236-1E8B24E8B8A1}" srcOrd="1" destOrd="0" presId="urn:microsoft.com/office/officeart/2005/8/layout/orgChart1"/>
    <dgm:cxn modelId="{AB072AF5-91C1-5748-8697-18CF002EA054}" type="presParOf" srcId="{0330A87D-BD71-B84C-8236-1E8B24E8B8A1}" destId="{0F152A4A-9797-5446-883C-2B0BE16DD189}" srcOrd="0" destOrd="0" presId="urn:microsoft.com/office/officeart/2005/8/layout/orgChart1"/>
    <dgm:cxn modelId="{401ADE1B-9326-6540-907B-A0BFB3B64029}" type="presParOf" srcId="{0330A87D-BD71-B84C-8236-1E8B24E8B8A1}" destId="{99379675-1BAD-9A4F-9A6E-A9851C3076A4}" srcOrd="1" destOrd="0" presId="urn:microsoft.com/office/officeart/2005/8/layout/orgChart1"/>
    <dgm:cxn modelId="{6716A03F-1BE0-8B47-A4D5-64C6906C0D08}" type="presParOf" srcId="{99379675-1BAD-9A4F-9A6E-A9851C3076A4}" destId="{BF543CC0-89CC-234C-97E0-183C92AB3E61}" srcOrd="0" destOrd="0" presId="urn:microsoft.com/office/officeart/2005/8/layout/orgChart1"/>
    <dgm:cxn modelId="{53D36B98-C14F-B44B-A75C-30B905209E6A}" type="presParOf" srcId="{BF543CC0-89CC-234C-97E0-183C92AB3E61}" destId="{785949AD-7E58-F045-8E91-128358998AD7}" srcOrd="0" destOrd="0" presId="urn:microsoft.com/office/officeart/2005/8/layout/orgChart1"/>
    <dgm:cxn modelId="{986A1A6E-F5F1-1341-88AA-1787DA8CD113}" type="presParOf" srcId="{BF543CC0-89CC-234C-97E0-183C92AB3E61}" destId="{A7E76F8D-3CF3-6E4A-81FE-BDBC2682DE5C}" srcOrd="1" destOrd="0" presId="urn:microsoft.com/office/officeart/2005/8/layout/orgChart1"/>
    <dgm:cxn modelId="{0A67701B-158E-7347-A537-93EA2BF708E8}" type="presParOf" srcId="{99379675-1BAD-9A4F-9A6E-A9851C3076A4}" destId="{2603DFC2-7BDB-EA4E-AE67-657318EE6E71}" srcOrd="1" destOrd="0" presId="urn:microsoft.com/office/officeart/2005/8/layout/orgChart1"/>
    <dgm:cxn modelId="{B82FDF43-9F0E-E341-8855-E632F9EA1CE3}" type="presParOf" srcId="{99379675-1BAD-9A4F-9A6E-A9851C3076A4}" destId="{3BB09FB0-872F-7A4B-B670-7C75096805DA}" srcOrd="2" destOrd="0" presId="urn:microsoft.com/office/officeart/2005/8/layout/orgChart1"/>
    <dgm:cxn modelId="{44FFEFD9-704F-5C4A-B552-2A2CE6B1BD38}" type="presParOf" srcId="{0330A87D-BD71-B84C-8236-1E8B24E8B8A1}" destId="{9E92BF9E-7A8E-D24D-8408-930C80564CC7}" srcOrd="2" destOrd="0" presId="urn:microsoft.com/office/officeart/2005/8/layout/orgChart1"/>
    <dgm:cxn modelId="{85D84343-387B-4B42-B8FB-97FB40634E17}" type="presParOf" srcId="{0330A87D-BD71-B84C-8236-1E8B24E8B8A1}" destId="{5BB62EB9-D3F2-A740-A7D9-127759B519E7}" srcOrd="3" destOrd="0" presId="urn:microsoft.com/office/officeart/2005/8/layout/orgChart1"/>
    <dgm:cxn modelId="{DC2C72AA-F78D-804C-96EB-D62E5207D12E}" type="presParOf" srcId="{5BB62EB9-D3F2-A740-A7D9-127759B519E7}" destId="{FB95B7FD-91E3-5347-AA18-6F0741621CB4}" srcOrd="0" destOrd="0" presId="urn:microsoft.com/office/officeart/2005/8/layout/orgChart1"/>
    <dgm:cxn modelId="{AD497C9A-ED5D-D242-9A9E-8E95CD8AD0C0}" type="presParOf" srcId="{FB95B7FD-91E3-5347-AA18-6F0741621CB4}" destId="{5D175287-1BAB-FA4E-A044-316BAF57273D}" srcOrd="0" destOrd="0" presId="urn:microsoft.com/office/officeart/2005/8/layout/orgChart1"/>
    <dgm:cxn modelId="{7E54A19B-F286-824E-A566-C803078C0352}" type="presParOf" srcId="{FB95B7FD-91E3-5347-AA18-6F0741621CB4}" destId="{C3A6BE32-A956-164D-A7E0-C0B98EE92B37}" srcOrd="1" destOrd="0" presId="urn:microsoft.com/office/officeart/2005/8/layout/orgChart1"/>
    <dgm:cxn modelId="{269B128F-81AF-0B4E-BF13-175D13B9A469}" type="presParOf" srcId="{5BB62EB9-D3F2-A740-A7D9-127759B519E7}" destId="{04807551-1B92-7D47-BC48-21EE2EEB2748}" srcOrd="1" destOrd="0" presId="urn:microsoft.com/office/officeart/2005/8/layout/orgChart1"/>
    <dgm:cxn modelId="{354C6995-D94E-DE4A-84B0-5587C92F72D6}" type="presParOf" srcId="{5BB62EB9-D3F2-A740-A7D9-127759B519E7}" destId="{772D1339-A2F7-254B-8118-A73E94E638E2}" srcOrd="2" destOrd="0" presId="urn:microsoft.com/office/officeart/2005/8/layout/orgChart1"/>
    <dgm:cxn modelId="{41DFB877-8D75-4E49-B7F7-5211039B5C87}" type="presParOf" srcId="{0330A87D-BD71-B84C-8236-1E8B24E8B8A1}" destId="{1D572973-06AC-3D4F-86D7-157FED20E28A}" srcOrd="4" destOrd="0" presId="urn:microsoft.com/office/officeart/2005/8/layout/orgChart1"/>
    <dgm:cxn modelId="{504F6431-BE8E-C24B-BAB5-A5DABA0D5F5A}" type="presParOf" srcId="{0330A87D-BD71-B84C-8236-1E8B24E8B8A1}" destId="{0802E1AD-6928-2A47-B03E-B47F7B1332C9}" srcOrd="5" destOrd="0" presId="urn:microsoft.com/office/officeart/2005/8/layout/orgChart1"/>
    <dgm:cxn modelId="{42A7396B-A256-0F4C-B0DE-FABB69D1DBFD}" type="presParOf" srcId="{0802E1AD-6928-2A47-B03E-B47F7B1332C9}" destId="{2656C24A-8DEC-D94D-BE3A-545573344D8A}" srcOrd="0" destOrd="0" presId="urn:microsoft.com/office/officeart/2005/8/layout/orgChart1"/>
    <dgm:cxn modelId="{75B83576-FE37-3C4C-9F83-78E508B090AF}" type="presParOf" srcId="{2656C24A-8DEC-D94D-BE3A-545573344D8A}" destId="{381AB469-814E-0F4D-AC69-7E99DC382686}" srcOrd="0" destOrd="0" presId="urn:microsoft.com/office/officeart/2005/8/layout/orgChart1"/>
    <dgm:cxn modelId="{F52C579E-8000-DC42-A0F9-9CCCB164BEB1}" type="presParOf" srcId="{2656C24A-8DEC-D94D-BE3A-545573344D8A}" destId="{76BA40BC-3CEC-EE43-9289-4C3A93462300}" srcOrd="1" destOrd="0" presId="urn:microsoft.com/office/officeart/2005/8/layout/orgChart1"/>
    <dgm:cxn modelId="{0A695506-E526-8B43-8D95-1E64B46A0ECA}" type="presParOf" srcId="{0802E1AD-6928-2A47-B03E-B47F7B1332C9}" destId="{58FE9C2F-EB88-A646-901B-F22A816F22A5}" srcOrd="1" destOrd="0" presId="urn:microsoft.com/office/officeart/2005/8/layout/orgChart1"/>
    <dgm:cxn modelId="{765414F3-FBD5-094A-8949-20B1E27C5EC5}" type="presParOf" srcId="{0802E1AD-6928-2A47-B03E-B47F7B1332C9}" destId="{1DAA54C8-3757-3342-B7B7-3977779DBDF3}" srcOrd="2" destOrd="0" presId="urn:microsoft.com/office/officeart/2005/8/layout/orgChart1"/>
    <dgm:cxn modelId="{437A885B-3F5D-9A4D-BFC2-CF4A2873A10E}" type="presParOf" srcId="{D60F74D2-44F1-5E47-AF93-61BC129790EB}" destId="{16574B3A-B15D-5F41-A072-5858977AFF86}" srcOrd="2" destOrd="0" presId="urn:microsoft.com/office/officeart/2005/8/layout/orgChart1"/>
    <dgm:cxn modelId="{1CD6747C-C35B-6646-A358-1C8BA080818D}" type="presParOf" srcId="{BCF0F11E-D9A2-7045-87DA-1ABE8ECB567A}" destId="{7AA79EEB-31C6-1448-B402-D8A09EC89919}" srcOrd="2" destOrd="0" presId="urn:microsoft.com/office/officeart/2005/8/layout/orgChart1"/>
    <dgm:cxn modelId="{465DCDA7-BAAB-FD4C-9D8C-6ED47F8192E5}" type="presParOf" srcId="{05837F2B-E666-7241-90F1-15C673E65F46}" destId="{C713370A-E242-434B-BB5C-251BBAB30970}" srcOrd="2" destOrd="0" presId="urn:microsoft.com/office/officeart/2005/8/layout/orgChart1"/>
    <dgm:cxn modelId="{A497A1E7-86A7-3948-99AC-3D3B8B007FBA}" type="presParOf" srcId="{C713370A-E242-434B-BB5C-251BBAB30970}" destId="{3B65A37E-6D08-9F48-86D4-A52BF977E21E}" srcOrd="0" destOrd="0" presId="urn:microsoft.com/office/officeart/2005/8/layout/orgChart1"/>
    <dgm:cxn modelId="{79FE7254-DAE2-D44A-A9EE-8854CDB252E5}" type="presParOf" srcId="{3B65A37E-6D08-9F48-86D4-A52BF977E21E}" destId="{20B84DE0-EF71-CC40-84E4-EC339FDDFB43}" srcOrd="0" destOrd="0" presId="urn:microsoft.com/office/officeart/2005/8/layout/orgChart1"/>
    <dgm:cxn modelId="{C965F8A2-CA57-8D44-8750-28FEF10E2C79}" type="presParOf" srcId="{3B65A37E-6D08-9F48-86D4-A52BF977E21E}" destId="{6C2963DA-897A-3245-AE4D-56A28D7554CA}" srcOrd="1" destOrd="0" presId="urn:microsoft.com/office/officeart/2005/8/layout/orgChart1"/>
    <dgm:cxn modelId="{D636196B-C377-9C46-B6FC-27AE795858C9}" type="presParOf" srcId="{C713370A-E242-434B-BB5C-251BBAB30970}" destId="{EFAF5D23-9745-3F47-B950-14BCD9C44B75}" srcOrd="1" destOrd="0" presId="urn:microsoft.com/office/officeart/2005/8/layout/orgChart1"/>
    <dgm:cxn modelId="{0C12BE8A-F861-4647-B617-B27C917C601C}" type="presParOf" srcId="{EFAF5D23-9745-3F47-B950-14BCD9C44B75}" destId="{BF330414-AD90-9A43-9C16-64C06FB1D589}" srcOrd="0" destOrd="0" presId="urn:microsoft.com/office/officeart/2005/8/layout/orgChart1"/>
    <dgm:cxn modelId="{A6135A9E-184E-824D-9633-BDF45C1849E9}" type="presParOf" srcId="{EFAF5D23-9745-3F47-B950-14BCD9C44B75}" destId="{BFEB508C-BB84-7D49-8DB2-1FF14358A2F8}" srcOrd="1" destOrd="0" presId="urn:microsoft.com/office/officeart/2005/8/layout/orgChart1"/>
    <dgm:cxn modelId="{F973888E-5CB4-7942-B898-3F1AA541CBB1}" type="presParOf" srcId="{BFEB508C-BB84-7D49-8DB2-1FF14358A2F8}" destId="{A0BCDA84-20FD-2A4B-9058-57B21D5B051E}" srcOrd="0" destOrd="0" presId="urn:microsoft.com/office/officeart/2005/8/layout/orgChart1"/>
    <dgm:cxn modelId="{F70AEC4E-ACBF-3941-A40A-53C6FDC82F20}" type="presParOf" srcId="{A0BCDA84-20FD-2A4B-9058-57B21D5B051E}" destId="{EAA225B1-EDCB-884E-9919-124FDDE592F8}" srcOrd="0" destOrd="0" presId="urn:microsoft.com/office/officeart/2005/8/layout/orgChart1"/>
    <dgm:cxn modelId="{70155CE6-562E-9F40-9A1A-4390D5996B5D}" type="presParOf" srcId="{A0BCDA84-20FD-2A4B-9058-57B21D5B051E}" destId="{81B711BE-0576-F64A-83E7-20673EED9DC9}" srcOrd="1" destOrd="0" presId="urn:microsoft.com/office/officeart/2005/8/layout/orgChart1"/>
    <dgm:cxn modelId="{455444D6-1B3A-F34E-A3E1-32A344A0A518}" type="presParOf" srcId="{BFEB508C-BB84-7D49-8DB2-1FF14358A2F8}" destId="{02BB624B-6DAC-B94B-80DC-574010AC4766}" srcOrd="1" destOrd="0" presId="urn:microsoft.com/office/officeart/2005/8/layout/orgChart1"/>
    <dgm:cxn modelId="{84EE9A05-4030-BD45-A249-121377292BB5}" type="presParOf" srcId="{02BB624B-6DAC-B94B-80DC-574010AC4766}" destId="{D11CC9AB-31C8-774F-B033-F3B6C8B20063}" srcOrd="0" destOrd="0" presId="urn:microsoft.com/office/officeart/2005/8/layout/orgChart1"/>
    <dgm:cxn modelId="{16E12308-E04B-584A-8512-6AD76244471E}" type="presParOf" srcId="{02BB624B-6DAC-B94B-80DC-574010AC4766}" destId="{FE8EA8CA-5449-184C-915D-3354B93754B8}" srcOrd="1" destOrd="0" presId="urn:microsoft.com/office/officeart/2005/8/layout/orgChart1"/>
    <dgm:cxn modelId="{F9DB891C-5C2F-5B4B-B036-FF703D536688}" type="presParOf" srcId="{FE8EA8CA-5449-184C-915D-3354B93754B8}" destId="{575018C8-B87E-E741-8AB8-BBDD8F33D8A2}" srcOrd="0" destOrd="0" presId="urn:microsoft.com/office/officeart/2005/8/layout/orgChart1"/>
    <dgm:cxn modelId="{483B4AAF-85D7-634A-B33F-60ED58D7A8AF}" type="presParOf" srcId="{575018C8-B87E-E741-8AB8-BBDD8F33D8A2}" destId="{0D5524E3-8BA1-384B-9ECB-17B6A3F10CAE}" srcOrd="0" destOrd="0" presId="urn:microsoft.com/office/officeart/2005/8/layout/orgChart1"/>
    <dgm:cxn modelId="{A57D79CF-996E-3949-9487-CFFDC63B6933}" type="presParOf" srcId="{575018C8-B87E-E741-8AB8-BBDD8F33D8A2}" destId="{744080AD-2AF4-8745-AADB-BCF906B609C6}" srcOrd="1" destOrd="0" presId="urn:microsoft.com/office/officeart/2005/8/layout/orgChart1"/>
    <dgm:cxn modelId="{01441C08-8FDA-F64E-9E13-73F0D28B2DB3}" type="presParOf" srcId="{FE8EA8CA-5449-184C-915D-3354B93754B8}" destId="{0DB90857-F377-344C-A2B3-CEF7DF80F205}" srcOrd="1" destOrd="0" presId="urn:microsoft.com/office/officeart/2005/8/layout/orgChart1"/>
    <dgm:cxn modelId="{8240F838-8351-CF4F-8609-F188F5B3E495}" type="presParOf" srcId="{FE8EA8CA-5449-184C-915D-3354B93754B8}" destId="{B4296B5A-86F9-7742-BDB5-4016C403D957}" srcOrd="2" destOrd="0" presId="urn:microsoft.com/office/officeart/2005/8/layout/orgChart1"/>
    <dgm:cxn modelId="{14621B68-2E66-1C4C-80FD-0020E9BDB751}" type="presParOf" srcId="{02BB624B-6DAC-B94B-80DC-574010AC4766}" destId="{3F181781-ACD1-7C4F-A784-524E36404702}" srcOrd="2" destOrd="0" presId="urn:microsoft.com/office/officeart/2005/8/layout/orgChart1"/>
    <dgm:cxn modelId="{65D608ED-12AC-5E47-B3C5-6AE6DFC466CE}" type="presParOf" srcId="{02BB624B-6DAC-B94B-80DC-574010AC4766}" destId="{5BD555A5-B1FB-3C4F-8A70-DF818DAE4A00}" srcOrd="3" destOrd="0" presId="urn:microsoft.com/office/officeart/2005/8/layout/orgChart1"/>
    <dgm:cxn modelId="{09BCBB77-7A35-0C4C-B824-754792098ADB}" type="presParOf" srcId="{5BD555A5-B1FB-3C4F-8A70-DF818DAE4A00}" destId="{20F79E6B-1EF4-9548-BD40-BB9E1227A3E9}" srcOrd="0" destOrd="0" presId="urn:microsoft.com/office/officeart/2005/8/layout/orgChart1"/>
    <dgm:cxn modelId="{AE73235F-9288-BF49-8AED-A51A26FBA70A}" type="presParOf" srcId="{20F79E6B-1EF4-9548-BD40-BB9E1227A3E9}" destId="{6B4B8A6E-8568-F24E-9F1F-42CD74FEA629}" srcOrd="0" destOrd="0" presId="urn:microsoft.com/office/officeart/2005/8/layout/orgChart1"/>
    <dgm:cxn modelId="{5B5D0E9A-5934-5441-A261-7400E1EDDAE6}" type="presParOf" srcId="{20F79E6B-1EF4-9548-BD40-BB9E1227A3E9}" destId="{A3236924-9B88-BF49-AFFF-57BA992AD0C0}" srcOrd="1" destOrd="0" presId="urn:microsoft.com/office/officeart/2005/8/layout/orgChart1"/>
    <dgm:cxn modelId="{4DB94593-EABA-2548-8435-DB1402BF9C45}" type="presParOf" srcId="{5BD555A5-B1FB-3C4F-8A70-DF818DAE4A00}" destId="{BB802D4C-F910-B845-A5EE-57A69E121A17}" srcOrd="1" destOrd="0" presId="urn:microsoft.com/office/officeart/2005/8/layout/orgChart1"/>
    <dgm:cxn modelId="{8DCFFFAF-72D3-BD49-AF63-5CF4DCC2423C}" type="presParOf" srcId="{5BD555A5-B1FB-3C4F-8A70-DF818DAE4A00}" destId="{D5EEB60C-21CA-7443-A0F8-C8E26EB07741}" srcOrd="2" destOrd="0" presId="urn:microsoft.com/office/officeart/2005/8/layout/orgChart1"/>
    <dgm:cxn modelId="{B664B999-7CF3-0149-B65B-505BE482A3CE}" type="presParOf" srcId="{BFEB508C-BB84-7D49-8DB2-1FF14358A2F8}" destId="{09E500E9-B0D3-B84A-A9D4-D117820A3D14}" srcOrd="2" destOrd="0" presId="urn:microsoft.com/office/officeart/2005/8/layout/orgChart1"/>
    <dgm:cxn modelId="{0BE55B84-8FDB-1E42-9698-2B24876D528C}" type="presParOf" srcId="{EFAF5D23-9745-3F47-B950-14BCD9C44B75}" destId="{A6BD58D8-680B-CA40-B38E-CCA465C9B611}" srcOrd="2" destOrd="0" presId="urn:microsoft.com/office/officeart/2005/8/layout/orgChart1"/>
    <dgm:cxn modelId="{097A8D94-5DF2-854A-81E5-EF3CE70B9688}" type="presParOf" srcId="{EFAF5D23-9745-3F47-B950-14BCD9C44B75}" destId="{392206EB-2368-D949-8F2C-078D270299D9}" srcOrd="3" destOrd="0" presId="urn:microsoft.com/office/officeart/2005/8/layout/orgChart1"/>
    <dgm:cxn modelId="{2E98AD93-BFD0-C34A-B23B-1AEFE54C9851}" type="presParOf" srcId="{392206EB-2368-D949-8F2C-078D270299D9}" destId="{595FCF48-3855-CC46-8F21-D4E2648BDEAB}" srcOrd="0" destOrd="0" presId="urn:microsoft.com/office/officeart/2005/8/layout/orgChart1"/>
    <dgm:cxn modelId="{534DA424-6952-1C4C-8404-ECCC1025A4B1}" type="presParOf" srcId="{595FCF48-3855-CC46-8F21-D4E2648BDEAB}" destId="{E797DDBE-F4A3-3641-9284-06369B84E104}" srcOrd="0" destOrd="0" presId="urn:microsoft.com/office/officeart/2005/8/layout/orgChart1"/>
    <dgm:cxn modelId="{2B389496-396D-CC49-BE4B-9561DC3F5E91}" type="presParOf" srcId="{595FCF48-3855-CC46-8F21-D4E2648BDEAB}" destId="{76E57581-DAF7-EC47-BA36-BF8FF52A8632}" srcOrd="1" destOrd="0" presId="urn:microsoft.com/office/officeart/2005/8/layout/orgChart1"/>
    <dgm:cxn modelId="{07A7BB31-F2D9-174C-AF20-8A45F2F182EB}" type="presParOf" srcId="{392206EB-2368-D949-8F2C-078D270299D9}" destId="{5429FAD5-83BF-D141-8967-0348F26EDE5B}" srcOrd="1" destOrd="0" presId="urn:microsoft.com/office/officeart/2005/8/layout/orgChart1"/>
    <dgm:cxn modelId="{AD5867F5-C033-224B-8DBB-4B0E07F9D34D}" type="presParOf" srcId="{5429FAD5-83BF-D141-8967-0348F26EDE5B}" destId="{5C2B093C-A424-BC46-81CC-3B703C35AAAD}" srcOrd="0" destOrd="0" presId="urn:microsoft.com/office/officeart/2005/8/layout/orgChart1"/>
    <dgm:cxn modelId="{4057D40B-A7C5-B041-95D1-EBE73EFE1835}" type="presParOf" srcId="{5429FAD5-83BF-D141-8967-0348F26EDE5B}" destId="{4F19D2E7-F78F-A849-AADC-42FB2A20E3B5}" srcOrd="1" destOrd="0" presId="urn:microsoft.com/office/officeart/2005/8/layout/orgChart1"/>
    <dgm:cxn modelId="{BB2B415A-4083-C74C-8D3C-B8D2E672DEB6}" type="presParOf" srcId="{4F19D2E7-F78F-A849-AADC-42FB2A20E3B5}" destId="{42C84973-3793-324C-802F-E9C15E3E6093}" srcOrd="0" destOrd="0" presId="urn:microsoft.com/office/officeart/2005/8/layout/orgChart1"/>
    <dgm:cxn modelId="{0A84B115-6A74-BA4C-B9CE-A5C843F2121E}" type="presParOf" srcId="{42C84973-3793-324C-802F-E9C15E3E6093}" destId="{986FCC6B-500E-154E-A714-1A628D18AF99}" srcOrd="0" destOrd="0" presId="urn:microsoft.com/office/officeart/2005/8/layout/orgChart1"/>
    <dgm:cxn modelId="{7F2D9E6F-34B3-F54E-8824-073E55D3373E}" type="presParOf" srcId="{42C84973-3793-324C-802F-E9C15E3E6093}" destId="{DBEB3F09-A69E-264A-80F1-5BF81FBDFBDD}" srcOrd="1" destOrd="0" presId="urn:microsoft.com/office/officeart/2005/8/layout/orgChart1"/>
    <dgm:cxn modelId="{88078432-7997-9D45-AC16-C378F410433E}" type="presParOf" srcId="{4F19D2E7-F78F-A849-AADC-42FB2A20E3B5}" destId="{4D369991-C734-7446-9489-3BD48AB761DD}" srcOrd="1" destOrd="0" presId="urn:microsoft.com/office/officeart/2005/8/layout/orgChart1"/>
    <dgm:cxn modelId="{627B27E7-BCCC-1946-8334-5B055377B9E5}" type="presParOf" srcId="{4F19D2E7-F78F-A849-AADC-42FB2A20E3B5}" destId="{01387850-25B0-2E45-9327-F07548BEA950}" srcOrd="2" destOrd="0" presId="urn:microsoft.com/office/officeart/2005/8/layout/orgChart1"/>
    <dgm:cxn modelId="{3D8CF8D6-0ED3-4543-8501-0D9695262020}" type="presParOf" srcId="{5429FAD5-83BF-D141-8967-0348F26EDE5B}" destId="{968B1083-22BC-1240-A395-320DC0E6C24F}" srcOrd="2" destOrd="0" presId="urn:microsoft.com/office/officeart/2005/8/layout/orgChart1"/>
    <dgm:cxn modelId="{659EDFBA-ED55-2C41-A96D-00A153EE2031}" type="presParOf" srcId="{5429FAD5-83BF-D141-8967-0348F26EDE5B}" destId="{F2E51871-8872-FD4C-B07A-485E83DF2917}" srcOrd="3" destOrd="0" presId="urn:microsoft.com/office/officeart/2005/8/layout/orgChart1"/>
    <dgm:cxn modelId="{C826961A-2E03-6C4B-9EEA-619A6AC51259}" type="presParOf" srcId="{F2E51871-8872-FD4C-B07A-485E83DF2917}" destId="{4A705897-8E64-424B-9102-4672CAADD2F1}" srcOrd="0" destOrd="0" presId="urn:microsoft.com/office/officeart/2005/8/layout/orgChart1"/>
    <dgm:cxn modelId="{55FB4C45-D0C3-7C47-BC14-248CF3F45AB7}" type="presParOf" srcId="{4A705897-8E64-424B-9102-4672CAADD2F1}" destId="{70683DDB-2EEB-9C4D-9880-C965858F8CC0}" srcOrd="0" destOrd="0" presId="urn:microsoft.com/office/officeart/2005/8/layout/orgChart1"/>
    <dgm:cxn modelId="{32FBA117-E765-894C-880E-DDB7CECA8911}" type="presParOf" srcId="{4A705897-8E64-424B-9102-4672CAADD2F1}" destId="{A42B52EF-08F0-F74E-9C78-753107E28FA4}" srcOrd="1" destOrd="0" presId="urn:microsoft.com/office/officeart/2005/8/layout/orgChart1"/>
    <dgm:cxn modelId="{507E6EBF-E992-964F-A395-C6FF39FD09B9}" type="presParOf" srcId="{F2E51871-8872-FD4C-B07A-485E83DF2917}" destId="{981043E5-E53D-CC46-9760-21D004BEFD7F}" srcOrd="1" destOrd="0" presId="urn:microsoft.com/office/officeart/2005/8/layout/orgChart1"/>
    <dgm:cxn modelId="{D047A87B-9313-DE47-9B8F-C8D15C59B857}" type="presParOf" srcId="{F2E51871-8872-FD4C-B07A-485E83DF2917}" destId="{9FBF6AD1-1973-D343-AADE-714D56647FD7}" srcOrd="2" destOrd="0" presId="urn:microsoft.com/office/officeart/2005/8/layout/orgChart1"/>
    <dgm:cxn modelId="{7D24740B-4045-8245-8894-EDA3BB5F9F17}" type="presParOf" srcId="{5429FAD5-83BF-D141-8967-0348F26EDE5B}" destId="{DBBE7FB5-B7B7-0148-B6A7-BF32D857344A}" srcOrd="4" destOrd="0" presId="urn:microsoft.com/office/officeart/2005/8/layout/orgChart1"/>
    <dgm:cxn modelId="{42DD012A-14C2-5642-B19F-AFE310E8B106}" type="presParOf" srcId="{5429FAD5-83BF-D141-8967-0348F26EDE5B}" destId="{D8C2DDB2-6998-904C-B55A-8CBDEF5EBC13}" srcOrd="5" destOrd="0" presId="urn:microsoft.com/office/officeart/2005/8/layout/orgChart1"/>
    <dgm:cxn modelId="{86604290-090A-424B-8099-3D0C2601D98A}" type="presParOf" srcId="{D8C2DDB2-6998-904C-B55A-8CBDEF5EBC13}" destId="{CB816178-6740-444C-AEA1-29401C697892}" srcOrd="0" destOrd="0" presId="urn:microsoft.com/office/officeart/2005/8/layout/orgChart1"/>
    <dgm:cxn modelId="{E7410B77-2A4E-4B49-ABB2-67AEE7B167A3}" type="presParOf" srcId="{CB816178-6740-444C-AEA1-29401C697892}" destId="{E794A87A-AC2C-724F-B2A3-EA3569E40C8E}" srcOrd="0" destOrd="0" presId="urn:microsoft.com/office/officeart/2005/8/layout/orgChart1"/>
    <dgm:cxn modelId="{78947466-02C5-5443-BB6C-BFB06AFC499B}" type="presParOf" srcId="{CB816178-6740-444C-AEA1-29401C697892}" destId="{5563B32F-28C4-0746-B8BC-1A21DD8CE610}" srcOrd="1" destOrd="0" presId="urn:microsoft.com/office/officeart/2005/8/layout/orgChart1"/>
    <dgm:cxn modelId="{11B1314C-F21D-9F4E-BAD0-263102154E97}" type="presParOf" srcId="{D8C2DDB2-6998-904C-B55A-8CBDEF5EBC13}" destId="{3D69E301-A123-3E4F-9B54-E557D7A003B7}" srcOrd="1" destOrd="0" presId="urn:microsoft.com/office/officeart/2005/8/layout/orgChart1"/>
    <dgm:cxn modelId="{EF193C43-2778-FA44-80FC-E41CA23614C7}" type="presParOf" srcId="{D8C2DDB2-6998-904C-B55A-8CBDEF5EBC13}" destId="{AC498EEF-5407-2140-9EA1-3A6AE353C27E}" srcOrd="2" destOrd="0" presId="urn:microsoft.com/office/officeart/2005/8/layout/orgChart1"/>
    <dgm:cxn modelId="{53F70315-E3F7-9840-ACAB-A9085A3C9376}" type="presParOf" srcId="{392206EB-2368-D949-8F2C-078D270299D9}" destId="{8194E581-10F2-334E-9557-678C33606240}" srcOrd="2" destOrd="0" presId="urn:microsoft.com/office/officeart/2005/8/layout/orgChart1"/>
    <dgm:cxn modelId="{2873B157-B134-D245-B7C8-AA47779492B9}" type="presParOf" srcId="{EFAF5D23-9745-3F47-B950-14BCD9C44B75}" destId="{E1CD4D24-A6D6-1649-9B73-57836C8557DB}" srcOrd="4" destOrd="0" presId="urn:microsoft.com/office/officeart/2005/8/layout/orgChart1"/>
    <dgm:cxn modelId="{1B8FEA7F-A91D-444E-8A9A-CC1CC7340C30}" type="presParOf" srcId="{EFAF5D23-9745-3F47-B950-14BCD9C44B75}" destId="{83D53FC6-FDB7-7F4D-B0F1-80FDC373DDD7}" srcOrd="5" destOrd="0" presId="urn:microsoft.com/office/officeart/2005/8/layout/orgChart1"/>
    <dgm:cxn modelId="{BCCF3011-92CB-F845-B75A-68D996299765}" type="presParOf" srcId="{83D53FC6-FDB7-7F4D-B0F1-80FDC373DDD7}" destId="{EED7C1C4-713A-7648-83F6-781237DAEDD5}" srcOrd="0" destOrd="0" presId="urn:microsoft.com/office/officeart/2005/8/layout/orgChart1"/>
    <dgm:cxn modelId="{B5E8ACFD-21E9-9049-8C14-E9012CD8EE53}" type="presParOf" srcId="{EED7C1C4-713A-7648-83F6-781237DAEDD5}" destId="{27023BF1-E5FA-1A41-A944-F6D91E93A8DA}" srcOrd="0" destOrd="0" presId="urn:microsoft.com/office/officeart/2005/8/layout/orgChart1"/>
    <dgm:cxn modelId="{4019417E-A3BC-EF4C-A402-5296C5BFFAA8}" type="presParOf" srcId="{EED7C1C4-713A-7648-83F6-781237DAEDD5}" destId="{AE17C0E8-E092-5C4F-ACA6-2F68286C1333}" srcOrd="1" destOrd="0" presId="urn:microsoft.com/office/officeart/2005/8/layout/orgChart1"/>
    <dgm:cxn modelId="{BEF77593-A8B6-2D40-82A7-6F87D2122B21}" type="presParOf" srcId="{83D53FC6-FDB7-7F4D-B0F1-80FDC373DDD7}" destId="{1616FCC1-B355-584C-9BC9-61DF9CF462B8}" srcOrd="1" destOrd="0" presId="urn:microsoft.com/office/officeart/2005/8/layout/orgChart1"/>
    <dgm:cxn modelId="{524B2A22-44B7-6F41-97FB-6AD437E4A770}" type="presParOf" srcId="{1616FCC1-B355-584C-9BC9-61DF9CF462B8}" destId="{2F308F3F-DA63-B54D-9392-120DBC8BE715}" srcOrd="0" destOrd="0" presId="urn:microsoft.com/office/officeart/2005/8/layout/orgChart1"/>
    <dgm:cxn modelId="{7A5399C4-8A08-2F46-BDFF-244D524516E8}" type="presParOf" srcId="{1616FCC1-B355-584C-9BC9-61DF9CF462B8}" destId="{BAE88368-C168-704C-9CBB-BF316EC79356}" srcOrd="1" destOrd="0" presId="urn:microsoft.com/office/officeart/2005/8/layout/orgChart1"/>
    <dgm:cxn modelId="{7EFE4DC1-D656-1E41-A634-A257EB4B1378}" type="presParOf" srcId="{BAE88368-C168-704C-9CBB-BF316EC79356}" destId="{12368C84-0382-EB4D-9EA2-54109BC8B924}" srcOrd="0" destOrd="0" presId="urn:microsoft.com/office/officeart/2005/8/layout/orgChart1"/>
    <dgm:cxn modelId="{8153F076-B9AF-4845-85B8-5CE3A9DDA1B0}" type="presParOf" srcId="{12368C84-0382-EB4D-9EA2-54109BC8B924}" destId="{242CFD3C-F57A-AB45-B82D-262F47CF326A}" srcOrd="0" destOrd="0" presId="urn:microsoft.com/office/officeart/2005/8/layout/orgChart1"/>
    <dgm:cxn modelId="{540B8F0B-667D-BF44-844E-EFB362CBA6CD}" type="presParOf" srcId="{12368C84-0382-EB4D-9EA2-54109BC8B924}" destId="{ECD4B228-D86E-364E-B231-974B71EB3DB3}" srcOrd="1" destOrd="0" presId="urn:microsoft.com/office/officeart/2005/8/layout/orgChart1"/>
    <dgm:cxn modelId="{A45208C0-707A-9649-B333-7A40C4125ECE}" type="presParOf" srcId="{BAE88368-C168-704C-9CBB-BF316EC79356}" destId="{4FF58B9F-3FF2-D74B-A4F9-866E8788E416}" srcOrd="1" destOrd="0" presId="urn:microsoft.com/office/officeart/2005/8/layout/orgChart1"/>
    <dgm:cxn modelId="{3D7F425D-9B81-984F-90C7-50E0C671021C}" type="presParOf" srcId="{BAE88368-C168-704C-9CBB-BF316EC79356}" destId="{EB12493D-AB40-3241-BDEB-2401F6F321B0}" srcOrd="2" destOrd="0" presId="urn:microsoft.com/office/officeart/2005/8/layout/orgChart1"/>
    <dgm:cxn modelId="{B6A26D31-F8B7-B44B-9E1A-302BFA8ABAE2}" type="presParOf" srcId="{1616FCC1-B355-584C-9BC9-61DF9CF462B8}" destId="{717B524D-B335-DE41-9157-18134DC86132}" srcOrd="2" destOrd="0" presId="urn:microsoft.com/office/officeart/2005/8/layout/orgChart1"/>
    <dgm:cxn modelId="{254E0AD0-DD72-2D43-B425-ABF1EBEE8D7A}" type="presParOf" srcId="{1616FCC1-B355-584C-9BC9-61DF9CF462B8}" destId="{D72BF05C-5074-9F44-937B-93B48BD057FA}" srcOrd="3" destOrd="0" presId="urn:microsoft.com/office/officeart/2005/8/layout/orgChart1"/>
    <dgm:cxn modelId="{CEFB9769-24A3-2748-AF2C-860F8F33A0E9}" type="presParOf" srcId="{D72BF05C-5074-9F44-937B-93B48BD057FA}" destId="{049614BE-95F3-2F41-9779-F0C7AAE9C608}" srcOrd="0" destOrd="0" presId="urn:microsoft.com/office/officeart/2005/8/layout/orgChart1"/>
    <dgm:cxn modelId="{5C73592C-CA69-B14B-8CC7-7E71E26D5181}" type="presParOf" srcId="{049614BE-95F3-2F41-9779-F0C7AAE9C608}" destId="{91437F3B-61C0-1C41-A97F-0C4AFCC9F11A}" srcOrd="0" destOrd="0" presId="urn:microsoft.com/office/officeart/2005/8/layout/orgChart1"/>
    <dgm:cxn modelId="{2945369A-6F64-9344-805E-D55AD0A20FC2}" type="presParOf" srcId="{049614BE-95F3-2F41-9779-F0C7AAE9C608}" destId="{56E5DEC1-6DA7-B74C-8A2F-D966716906A4}" srcOrd="1" destOrd="0" presId="urn:microsoft.com/office/officeart/2005/8/layout/orgChart1"/>
    <dgm:cxn modelId="{2165E4A5-405D-CD40-AFD4-F359B174DF8C}" type="presParOf" srcId="{D72BF05C-5074-9F44-937B-93B48BD057FA}" destId="{605C707E-0560-6C4E-A829-5A0EC7FD348F}" srcOrd="1" destOrd="0" presId="urn:microsoft.com/office/officeart/2005/8/layout/orgChart1"/>
    <dgm:cxn modelId="{D4B6AA52-A625-4F44-8AA6-414FB24B49D8}" type="presParOf" srcId="{D72BF05C-5074-9F44-937B-93B48BD057FA}" destId="{0351E5A3-B238-304D-9C89-B4A4FC407F5B}" srcOrd="2" destOrd="0" presId="urn:microsoft.com/office/officeart/2005/8/layout/orgChart1"/>
    <dgm:cxn modelId="{F5E1B79D-2D55-F54C-BBA9-FAB798BDD04C}" type="presParOf" srcId="{83D53FC6-FDB7-7F4D-B0F1-80FDC373DDD7}" destId="{2195AFA4-17DB-9744-816C-843081CF00E2}" srcOrd="2" destOrd="0" presId="urn:microsoft.com/office/officeart/2005/8/layout/orgChart1"/>
    <dgm:cxn modelId="{28B8E09E-096D-464A-91E9-814AABC402A2}" type="presParOf" srcId="{C713370A-E242-434B-BB5C-251BBAB30970}" destId="{2984DC49-F3BF-E646-93AC-908332BA9AE6}" srcOrd="2" destOrd="0" presId="urn:microsoft.com/office/officeart/2005/8/layout/orgChart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7B524D-B335-DE41-9157-18134DC86132}">
      <dsp:nvSpPr>
        <dsp:cNvPr id="0" name=""/>
        <dsp:cNvSpPr/>
      </dsp:nvSpPr>
      <dsp:spPr>
        <a:xfrm>
          <a:off x="8150481" y="1855825"/>
          <a:ext cx="123353" cy="1927143"/>
        </a:xfrm>
        <a:custGeom>
          <a:avLst/>
          <a:gdLst/>
          <a:ahLst/>
          <a:cxnLst/>
          <a:rect l="0" t="0" r="0" b="0"/>
          <a:pathLst>
            <a:path>
              <a:moveTo>
                <a:pt x="0" y="0"/>
              </a:moveTo>
              <a:lnTo>
                <a:pt x="0" y="1927143"/>
              </a:lnTo>
              <a:lnTo>
                <a:pt x="123353" y="1927143"/>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2F308F3F-DA63-B54D-9392-120DBC8BE715}">
      <dsp:nvSpPr>
        <dsp:cNvPr id="0" name=""/>
        <dsp:cNvSpPr/>
      </dsp:nvSpPr>
      <dsp:spPr>
        <a:xfrm>
          <a:off x="8150481" y="1855825"/>
          <a:ext cx="140881" cy="705759"/>
        </a:xfrm>
        <a:custGeom>
          <a:avLst/>
          <a:gdLst/>
          <a:ahLst/>
          <a:cxnLst/>
          <a:rect l="0" t="0" r="0" b="0"/>
          <a:pathLst>
            <a:path>
              <a:moveTo>
                <a:pt x="0" y="0"/>
              </a:moveTo>
              <a:lnTo>
                <a:pt x="0" y="705759"/>
              </a:lnTo>
              <a:lnTo>
                <a:pt x="140881" y="705759"/>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E1CD4D24-A6D6-1649-9B73-57836C8557DB}">
      <dsp:nvSpPr>
        <dsp:cNvPr id="0" name=""/>
        <dsp:cNvSpPr/>
      </dsp:nvSpPr>
      <dsp:spPr>
        <a:xfrm>
          <a:off x="7434155" y="602354"/>
          <a:ext cx="1065606" cy="91440"/>
        </a:xfrm>
        <a:custGeom>
          <a:avLst/>
          <a:gdLst/>
          <a:ahLst/>
          <a:cxnLst/>
          <a:rect l="0" t="0" r="0" b="0"/>
          <a:pathLst>
            <a:path>
              <a:moveTo>
                <a:pt x="0" y="119862"/>
              </a:moveTo>
              <a:lnTo>
                <a:pt x="1065606" y="4572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DBBE7FB5-B7B7-0148-B6A7-BF32D857344A}">
      <dsp:nvSpPr>
        <dsp:cNvPr id="0" name=""/>
        <dsp:cNvSpPr/>
      </dsp:nvSpPr>
      <dsp:spPr>
        <a:xfrm>
          <a:off x="7072048" y="1855829"/>
          <a:ext cx="150369" cy="2516475"/>
        </a:xfrm>
        <a:custGeom>
          <a:avLst/>
          <a:gdLst/>
          <a:ahLst/>
          <a:cxnLst/>
          <a:rect l="0" t="0" r="0" b="0"/>
          <a:pathLst>
            <a:path>
              <a:moveTo>
                <a:pt x="0" y="0"/>
              </a:moveTo>
              <a:lnTo>
                <a:pt x="0" y="2516475"/>
              </a:lnTo>
              <a:lnTo>
                <a:pt x="150369" y="2516475"/>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968B1083-22BC-1240-A395-320DC0E6C24F}">
      <dsp:nvSpPr>
        <dsp:cNvPr id="0" name=""/>
        <dsp:cNvSpPr/>
      </dsp:nvSpPr>
      <dsp:spPr>
        <a:xfrm>
          <a:off x="7072048" y="1855829"/>
          <a:ext cx="150369" cy="1708762"/>
        </a:xfrm>
        <a:custGeom>
          <a:avLst/>
          <a:gdLst/>
          <a:ahLst/>
          <a:cxnLst/>
          <a:rect l="0" t="0" r="0" b="0"/>
          <a:pathLst>
            <a:path>
              <a:moveTo>
                <a:pt x="0" y="0"/>
              </a:moveTo>
              <a:lnTo>
                <a:pt x="0" y="1708762"/>
              </a:lnTo>
              <a:lnTo>
                <a:pt x="150369" y="1708762"/>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5C2B093C-A424-BC46-81CC-3B703C35AAAD}">
      <dsp:nvSpPr>
        <dsp:cNvPr id="0" name=""/>
        <dsp:cNvSpPr/>
      </dsp:nvSpPr>
      <dsp:spPr>
        <a:xfrm>
          <a:off x="7072048" y="1855829"/>
          <a:ext cx="150369" cy="608232"/>
        </a:xfrm>
        <a:custGeom>
          <a:avLst/>
          <a:gdLst/>
          <a:ahLst/>
          <a:cxnLst/>
          <a:rect l="0" t="0" r="0" b="0"/>
          <a:pathLst>
            <a:path>
              <a:moveTo>
                <a:pt x="0" y="0"/>
              </a:moveTo>
              <a:lnTo>
                <a:pt x="0" y="608232"/>
              </a:lnTo>
              <a:lnTo>
                <a:pt x="150369" y="608232"/>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A6BD58D8-680B-CA40-B38E-CCA465C9B611}">
      <dsp:nvSpPr>
        <dsp:cNvPr id="0" name=""/>
        <dsp:cNvSpPr/>
      </dsp:nvSpPr>
      <dsp:spPr>
        <a:xfrm>
          <a:off x="7388435" y="602354"/>
          <a:ext cx="91440" cy="91440"/>
        </a:xfrm>
        <a:custGeom>
          <a:avLst/>
          <a:gdLst/>
          <a:ahLst/>
          <a:cxnLst/>
          <a:rect l="0" t="0" r="0" b="0"/>
          <a:pathLst>
            <a:path>
              <a:moveTo>
                <a:pt x="45720" y="119862"/>
              </a:moveTo>
              <a:lnTo>
                <a:pt x="58195" y="45720"/>
              </a:lnTo>
            </a:path>
          </a:pathLst>
        </a:custGeom>
        <a:noFill/>
        <a:ln w="9525" cap="flat" cmpd="sng" algn="ctr">
          <a:solidFill>
            <a:srgbClr val="403152"/>
          </a:solidFill>
          <a:prstDash val="solid"/>
        </a:ln>
        <a:effectLst/>
      </dsp:spPr>
      <dsp:style>
        <a:lnRef idx="1">
          <a:scrgbClr r="0" g="0" b="0"/>
        </a:lnRef>
        <a:fillRef idx="0">
          <a:scrgbClr r="0" g="0" b="0"/>
        </a:fillRef>
        <a:effectRef idx="0">
          <a:scrgbClr r="0" g="0" b="0"/>
        </a:effectRef>
        <a:fontRef idx="minor"/>
      </dsp:style>
    </dsp:sp>
    <dsp:sp modelId="{3F181781-ACD1-7C4F-A784-524E36404702}">
      <dsp:nvSpPr>
        <dsp:cNvPr id="0" name=""/>
        <dsp:cNvSpPr/>
      </dsp:nvSpPr>
      <dsp:spPr>
        <a:xfrm>
          <a:off x="5976268" y="1855829"/>
          <a:ext cx="152206" cy="1446896"/>
        </a:xfrm>
        <a:custGeom>
          <a:avLst/>
          <a:gdLst/>
          <a:ahLst/>
          <a:cxnLst/>
          <a:rect l="0" t="0" r="0" b="0"/>
          <a:pathLst>
            <a:path>
              <a:moveTo>
                <a:pt x="0" y="0"/>
              </a:moveTo>
              <a:lnTo>
                <a:pt x="0" y="1446896"/>
              </a:lnTo>
              <a:lnTo>
                <a:pt x="152206" y="1446896"/>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D11CC9AB-31C8-774F-B033-F3B6C8B20063}">
      <dsp:nvSpPr>
        <dsp:cNvPr id="0" name=""/>
        <dsp:cNvSpPr/>
      </dsp:nvSpPr>
      <dsp:spPr>
        <a:xfrm>
          <a:off x="5976268" y="1855829"/>
          <a:ext cx="152206" cy="567188"/>
        </a:xfrm>
        <a:custGeom>
          <a:avLst/>
          <a:gdLst/>
          <a:ahLst/>
          <a:cxnLst/>
          <a:rect l="0" t="0" r="0" b="0"/>
          <a:pathLst>
            <a:path>
              <a:moveTo>
                <a:pt x="0" y="0"/>
              </a:moveTo>
              <a:lnTo>
                <a:pt x="0" y="567188"/>
              </a:lnTo>
              <a:lnTo>
                <a:pt x="152206" y="567188"/>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BF330414-AD90-9A43-9C16-64C06FB1D589}">
      <dsp:nvSpPr>
        <dsp:cNvPr id="0" name=""/>
        <dsp:cNvSpPr/>
      </dsp:nvSpPr>
      <dsp:spPr>
        <a:xfrm>
          <a:off x="6355749" y="602354"/>
          <a:ext cx="1078406" cy="91440"/>
        </a:xfrm>
        <a:custGeom>
          <a:avLst/>
          <a:gdLst/>
          <a:ahLst/>
          <a:cxnLst/>
          <a:rect l="0" t="0" r="0" b="0"/>
          <a:pathLst>
            <a:path>
              <a:moveTo>
                <a:pt x="1078406" y="119862"/>
              </a:moveTo>
              <a:lnTo>
                <a:pt x="0" y="45720"/>
              </a:lnTo>
            </a:path>
          </a:pathLst>
        </a:custGeom>
        <a:noFill/>
        <a:ln w="9525" cap="flat" cmpd="sng" algn="ctr">
          <a:solidFill>
            <a:srgbClr val="403152"/>
          </a:solidFill>
          <a:prstDash val="solid"/>
        </a:ln>
        <a:effectLst/>
      </dsp:spPr>
      <dsp:style>
        <a:lnRef idx="1">
          <a:scrgbClr r="0" g="0" b="0"/>
        </a:lnRef>
        <a:fillRef idx="0">
          <a:scrgbClr r="0" g="0" b="0"/>
        </a:fillRef>
        <a:effectRef idx="0">
          <a:scrgbClr r="0" g="0" b="0"/>
        </a:effectRef>
        <a:fontRef idx="minor"/>
      </dsp:style>
    </dsp:sp>
    <dsp:sp modelId="{1D572973-06AC-3D4F-86D7-157FED20E28A}">
      <dsp:nvSpPr>
        <dsp:cNvPr id="0" name=""/>
        <dsp:cNvSpPr/>
      </dsp:nvSpPr>
      <dsp:spPr>
        <a:xfrm>
          <a:off x="4879264" y="1855829"/>
          <a:ext cx="134678" cy="1939045"/>
        </a:xfrm>
        <a:custGeom>
          <a:avLst/>
          <a:gdLst/>
          <a:ahLst/>
          <a:cxnLst/>
          <a:rect l="0" t="0" r="0" b="0"/>
          <a:pathLst>
            <a:path>
              <a:moveTo>
                <a:pt x="0" y="0"/>
              </a:moveTo>
              <a:lnTo>
                <a:pt x="0" y="1939045"/>
              </a:lnTo>
              <a:lnTo>
                <a:pt x="134678" y="1939045"/>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9E92BF9E-7A8E-D24D-8408-930C80564CC7}">
      <dsp:nvSpPr>
        <dsp:cNvPr id="0" name=""/>
        <dsp:cNvSpPr/>
      </dsp:nvSpPr>
      <dsp:spPr>
        <a:xfrm>
          <a:off x="4879264" y="1855829"/>
          <a:ext cx="152206" cy="1035311"/>
        </a:xfrm>
        <a:custGeom>
          <a:avLst/>
          <a:gdLst/>
          <a:ahLst/>
          <a:cxnLst/>
          <a:rect l="0" t="0" r="0" b="0"/>
          <a:pathLst>
            <a:path>
              <a:moveTo>
                <a:pt x="0" y="0"/>
              </a:moveTo>
              <a:lnTo>
                <a:pt x="0" y="1035311"/>
              </a:lnTo>
              <a:lnTo>
                <a:pt x="152206" y="1035311"/>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0F152A4A-9797-5446-883C-2B0BE16DD189}">
      <dsp:nvSpPr>
        <dsp:cNvPr id="0" name=""/>
        <dsp:cNvSpPr/>
      </dsp:nvSpPr>
      <dsp:spPr>
        <a:xfrm>
          <a:off x="4879264" y="1855829"/>
          <a:ext cx="152206" cy="304596"/>
        </a:xfrm>
        <a:custGeom>
          <a:avLst/>
          <a:gdLst/>
          <a:ahLst/>
          <a:cxnLst/>
          <a:rect l="0" t="0" r="0" b="0"/>
          <a:pathLst>
            <a:path>
              <a:moveTo>
                <a:pt x="0" y="0"/>
              </a:moveTo>
              <a:lnTo>
                <a:pt x="0" y="304596"/>
              </a:lnTo>
              <a:lnTo>
                <a:pt x="152206" y="304596"/>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7802327E-B26B-8640-B7C8-A4670EE181B1}">
      <dsp:nvSpPr>
        <dsp:cNvPr id="0" name=""/>
        <dsp:cNvSpPr/>
      </dsp:nvSpPr>
      <dsp:spPr>
        <a:xfrm>
          <a:off x="4187016" y="602354"/>
          <a:ext cx="1071728" cy="91440"/>
        </a:xfrm>
        <a:custGeom>
          <a:avLst/>
          <a:gdLst/>
          <a:ahLst/>
          <a:cxnLst/>
          <a:rect l="0" t="0" r="0" b="0"/>
          <a:pathLst>
            <a:path>
              <a:moveTo>
                <a:pt x="0" y="119862"/>
              </a:moveTo>
              <a:lnTo>
                <a:pt x="1071728" y="4572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3B3FA96E-5853-3945-8EEA-73908AFCDB22}">
      <dsp:nvSpPr>
        <dsp:cNvPr id="0" name=""/>
        <dsp:cNvSpPr/>
      </dsp:nvSpPr>
      <dsp:spPr>
        <a:xfrm>
          <a:off x="3782260" y="1855829"/>
          <a:ext cx="152206" cy="1034829"/>
        </a:xfrm>
        <a:custGeom>
          <a:avLst/>
          <a:gdLst/>
          <a:ahLst/>
          <a:cxnLst/>
          <a:rect l="0" t="0" r="0" b="0"/>
          <a:pathLst>
            <a:path>
              <a:moveTo>
                <a:pt x="0" y="0"/>
              </a:moveTo>
              <a:lnTo>
                <a:pt x="0" y="1034829"/>
              </a:lnTo>
              <a:lnTo>
                <a:pt x="152206" y="1034829"/>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02847AA6-7813-2246-8185-6B286D65F9E7}">
      <dsp:nvSpPr>
        <dsp:cNvPr id="0" name=""/>
        <dsp:cNvSpPr/>
      </dsp:nvSpPr>
      <dsp:spPr>
        <a:xfrm>
          <a:off x="3782260" y="1855829"/>
          <a:ext cx="152206" cy="315415"/>
        </a:xfrm>
        <a:custGeom>
          <a:avLst/>
          <a:gdLst/>
          <a:ahLst/>
          <a:cxnLst/>
          <a:rect l="0" t="0" r="0" b="0"/>
          <a:pathLst>
            <a:path>
              <a:moveTo>
                <a:pt x="0" y="0"/>
              </a:moveTo>
              <a:lnTo>
                <a:pt x="0" y="315415"/>
              </a:lnTo>
              <a:lnTo>
                <a:pt x="152206" y="315415"/>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63F5FD9A-3F83-4940-8DD8-652AFFBCFFCA}">
      <dsp:nvSpPr>
        <dsp:cNvPr id="0" name=""/>
        <dsp:cNvSpPr/>
      </dsp:nvSpPr>
      <dsp:spPr>
        <a:xfrm>
          <a:off x="4116020" y="602354"/>
          <a:ext cx="91440" cy="91440"/>
        </a:xfrm>
        <a:custGeom>
          <a:avLst/>
          <a:gdLst/>
          <a:ahLst/>
          <a:cxnLst/>
          <a:rect l="0" t="0" r="0" b="0"/>
          <a:pathLst>
            <a:path>
              <a:moveTo>
                <a:pt x="70995" y="119862"/>
              </a:moveTo>
              <a:lnTo>
                <a:pt x="45720" y="4572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00A15667-B140-1E42-A226-601E4FFB3802}">
      <dsp:nvSpPr>
        <dsp:cNvPr id="0" name=""/>
        <dsp:cNvSpPr/>
      </dsp:nvSpPr>
      <dsp:spPr>
        <a:xfrm>
          <a:off x="2685256" y="1855829"/>
          <a:ext cx="152206" cy="1034829"/>
        </a:xfrm>
        <a:custGeom>
          <a:avLst/>
          <a:gdLst/>
          <a:ahLst/>
          <a:cxnLst/>
          <a:rect l="0" t="0" r="0" b="0"/>
          <a:pathLst>
            <a:path>
              <a:moveTo>
                <a:pt x="0" y="0"/>
              </a:moveTo>
              <a:lnTo>
                <a:pt x="0" y="1034829"/>
              </a:lnTo>
              <a:lnTo>
                <a:pt x="152206" y="1034829"/>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CCB1D022-33BC-694E-9AA7-765A2643DAA7}">
      <dsp:nvSpPr>
        <dsp:cNvPr id="0" name=""/>
        <dsp:cNvSpPr/>
      </dsp:nvSpPr>
      <dsp:spPr>
        <a:xfrm>
          <a:off x="2685256" y="1855829"/>
          <a:ext cx="152206" cy="315415"/>
        </a:xfrm>
        <a:custGeom>
          <a:avLst/>
          <a:gdLst/>
          <a:ahLst/>
          <a:cxnLst/>
          <a:rect l="0" t="0" r="0" b="0"/>
          <a:pathLst>
            <a:path>
              <a:moveTo>
                <a:pt x="0" y="0"/>
              </a:moveTo>
              <a:lnTo>
                <a:pt x="0" y="315415"/>
              </a:lnTo>
              <a:lnTo>
                <a:pt x="152206" y="315415"/>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E3924461-195C-0449-85F4-D8F6D81D5E25}">
      <dsp:nvSpPr>
        <dsp:cNvPr id="0" name=""/>
        <dsp:cNvSpPr/>
      </dsp:nvSpPr>
      <dsp:spPr>
        <a:xfrm>
          <a:off x="3064736" y="602354"/>
          <a:ext cx="1122279" cy="91440"/>
        </a:xfrm>
        <a:custGeom>
          <a:avLst/>
          <a:gdLst/>
          <a:ahLst/>
          <a:cxnLst/>
          <a:rect l="0" t="0" r="0" b="0"/>
          <a:pathLst>
            <a:path>
              <a:moveTo>
                <a:pt x="1122279" y="119862"/>
              </a:moveTo>
              <a:lnTo>
                <a:pt x="0" y="4572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7C9BA176-6A30-5749-91FC-801580704232}">
      <dsp:nvSpPr>
        <dsp:cNvPr id="0" name=""/>
        <dsp:cNvSpPr/>
      </dsp:nvSpPr>
      <dsp:spPr>
        <a:xfrm>
          <a:off x="1588252" y="1855829"/>
          <a:ext cx="152206" cy="2189099"/>
        </a:xfrm>
        <a:custGeom>
          <a:avLst/>
          <a:gdLst/>
          <a:ahLst/>
          <a:cxnLst/>
          <a:rect l="0" t="0" r="0" b="0"/>
          <a:pathLst>
            <a:path>
              <a:moveTo>
                <a:pt x="0" y="0"/>
              </a:moveTo>
              <a:lnTo>
                <a:pt x="0" y="2189099"/>
              </a:lnTo>
              <a:lnTo>
                <a:pt x="152206" y="2189099"/>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009230F5-B830-EB41-ABFB-E6342E711F33}">
      <dsp:nvSpPr>
        <dsp:cNvPr id="0" name=""/>
        <dsp:cNvSpPr/>
      </dsp:nvSpPr>
      <dsp:spPr>
        <a:xfrm>
          <a:off x="1588252" y="1855829"/>
          <a:ext cx="152206" cy="1416990"/>
        </a:xfrm>
        <a:custGeom>
          <a:avLst/>
          <a:gdLst/>
          <a:ahLst/>
          <a:cxnLst/>
          <a:rect l="0" t="0" r="0" b="0"/>
          <a:pathLst>
            <a:path>
              <a:moveTo>
                <a:pt x="0" y="0"/>
              </a:moveTo>
              <a:lnTo>
                <a:pt x="0" y="1416990"/>
              </a:lnTo>
              <a:lnTo>
                <a:pt x="152206" y="1416990"/>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C5B588B3-FA3D-C84E-A9F5-3159280EF2D1}">
      <dsp:nvSpPr>
        <dsp:cNvPr id="0" name=""/>
        <dsp:cNvSpPr/>
      </dsp:nvSpPr>
      <dsp:spPr>
        <a:xfrm>
          <a:off x="1588252" y="1855829"/>
          <a:ext cx="152206" cy="558779"/>
        </a:xfrm>
        <a:custGeom>
          <a:avLst/>
          <a:gdLst/>
          <a:ahLst/>
          <a:cxnLst/>
          <a:rect l="0" t="0" r="0" b="0"/>
          <a:pathLst>
            <a:path>
              <a:moveTo>
                <a:pt x="0" y="0"/>
              </a:moveTo>
              <a:lnTo>
                <a:pt x="0" y="558779"/>
              </a:lnTo>
              <a:lnTo>
                <a:pt x="152206" y="558779"/>
              </a:lnTo>
            </a:path>
          </a:pathLst>
        </a:custGeom>
        <a:noFill/>
        <a:ln w="9525" cap="flat" cmpd="sng" algn="ctr">
          <a:solidFill>
            <a:srgbClr val="A6A6A6"/>
          </a:solidFill>
          <a:prstDash val="solid"/>
        </a:ln>
        <a:effectLst/>
      </dsp:spPr>
      <dsp:style>
        <a:lnRef idx="1">
          <a:scrgbClr r="0" g="0" b="0"/>
        </a:lnRef>
        <a:fillRef idx="0">
          <a:scrgbClr r="0" g="0" b="0"/>
        </a:fillRef>
        <a:effectRef idx="0">
          <a:scrgbClr r="0" g="0" b="0"/>
        </a:effectRef>
        <a:fontRef idx="minor"/>
      </dsp:style>
    </dsp:sp>
    <dsp:sp modelId="{529A8509-24BF-1141-8292-2490BB0737EE}">
      <dsp:nvSpPr>
        <dsp:cNvPr id="0" name=""/>
        <dsp:cNvSpPr/>
      </dsp:nvSpPr>
      <dsp:spPr>
        <a:xfrm>
          <a:off x="1444505" y="602354"/>
          <a:ext cx="523226" cy="91440"/>
        </a:xfrm>
        <a:custGeom>
          <a:avLst/>
          <a:gdLst/>
          <a:ahLst/>
          <a:cxnLst/>
          <a:rect l="0" t="0" r="0" b="0"/>
          <a:pathLst>
            <a:path>
              <a:moveTo>
                <a:pt x="0" y="119862"/>
              </a:moveTo>
              <a:lnTo>
                <a:pt x="523226" y="4572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F9EA34DC-E615-6F44-9334-60C9339EE48D}">
      <dsp:nvSpPr>
        <dsp:cNvPr id="0" name=""/>
        <dsp:cNvSpPr/>
      </dsp:nvSpPr>
      <dsp:spPr>
        <a:xfrm>
          <a:off x="491248" y="1855829"/>
          <a:ext cx="134678" cy="1730167"/>
        </a:xfrm>
        <a:custGeom>
          <a:avLst/>
          <a:gdLst/>
          <a:ahLst/>
          <a:cxnLst/>
          <a:rect l="0" t="0" r="0" b="0"/>
          <a:pathLst>
            <a:path>
              <a:moveTo>
                <a:pt x="0" y="0"/>
              </a:moveTo>
              <a:lnTo>
                <a:pt x="0" y="1730167"/>
              </a:lnTo>
              <a:lnTo>
                <a:pt x="134678" y="1730167"/>
              </a:lnTo>
            </a:path>
          </a:pathLst>
        </a:custGeom>
        <a:noFill/>
        <a:ln w="9525" cap="flat" cmpd="sng" algn="ctr">
          <a:solidFill>
            <a:schemeClr val="accent1">
              <a:shade val="8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5DB22E6-0028-B843-8E98-3738696692A1}">
      <dsp:nvSpPr>
        <dsp:cNvPr id="0" name=""/>
        <dsp:cNvSpPr/>
      </dsp:nvSpPr>
      <dsp:spPr>
        <a:xfrm>
          <a:off x="491248" y="1855829"/>
          <a:ext cx="152206" cy="558780"/>
        </a:xfrm>
        <a:custGeom>
          <a:avLst/>
          <a:gdLst/>
          <a:ahLst/>
          <a:cxnLst/>
          <a:rect l="0" t="0" r="0" b="0"/>
          <a:pathLst>
            <a:path>
              <a:moveTo>
                <a:pt x="0" y="0"/>
              </a:moveTo>
              <a:lnTo>
                <a:pt x="0" y="558780"/>
              </a:lnTo>
              <a:lnTo>
                <a:pt x="152206" y="558780"/>
              </a:lnTo>
            </a:path>
          </a:pathLst>
        </a:custGeom>
        <a:noFill/>
        <a:ln w="9525" cap="flat" cmpd="sng" algn="ctr">
          <a:solidFill>
            <a:schemeClr val="bg1">
              <a:lumMod val="65000"/>
            </a:schemeClr>
          </a:solidFill>
          <a:prstDash val="solid"/>
        </a:ln>
        <a:effectLst/>
      </dsp:spPr>
      <dsp:style>
        <a:lnRef idx="1">
          <a:scrgbClr r="0" g="0" b="0"/>
        </a:lnRef>
        <a:fillRef idx="0">
          <a:scrgbClr r="0" g="0" b="0"/>
        </a:fillRef>
        <a:effectRef idx="0">
          <a:scrgbClr r="0" g="0" b="0"/>
        </a:effectRef>
        <a:fontRef idx="minor"/>
      </dsp:style>
    </dsp:sp>
    <dsp:sp modelId="{7F1A48C4-0C27-B045-863E-6BFB7430BE74}">
      <dsp:nvSpPr>
        <dsp:cNvPr id="0" name=""/>
        <dsp:cNvSpPr/>
      </dsp:nvSpPr>
      <dsp:spPr>
        <a:xfrm>
          <a:off x="870728" y="602354"/>
          <a:ext cx="573777" cy="91440"/>
        </a:xfrm>
        <a:custGeom>
          <a:avLst/>
          <a:gdLst/>
          <a:ahLst/>
          <a:cxnLst/>
          <a:rect l="0" t="0" r="0" b="0"/>
          <a:pathLst>
            <a:path>
              <a:moveTo>
                <a:pt x="573777" y="119862"/>
              </a:moveTo>
              <a:lnTo>
                <a:pt x="0" y="45720"/>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8DFDB919-6631-2A4B-ABE8-DFA37ADE66AA}">
      <dsp:nvSpPr>
        <dsp:cNvPr id="0" name=""/>
        <dsp:cNvSpPr/>
      </dsp:nvSpPr>
      <dsp:spPr>
        <a:xfrm>
          <a:off x="558928" y="0"/>
          <a:ext cx="1771153" cy="722217"/>
        </a:xfrm>
        <a:prstGeom prst="rect">
          <a:avLst/>
        </a:prstGeom>
        <a:solidFill>
          <a:schemeClr val="accent4"/>
        </a:solidFill>
        <a:ln w="25400" cap="flat" cmpd="sng" algn="ctr">
          <a:solidFill>
            <a:schemeClr val="accent4">
              <a:shade val="50000"/>
            </a:schemeClr>
          </a:solidFill>
          <a:prstDash val="solid"/>
        </a:ln>
        <a:effectLst/>
      </dsp:spPr>
      <dsp:style>
        <a:lnRef idx="2">
          <a:schemeClr val="accent4">
            <a:shade val="50000"/>
          </a:schemeClr>
        </a:lnRef>
        <a:fillRef idx="1">
          <a:schemeClr val="accent4"/>
        </a:fillRef>
        <a:effectRef idx="0">
          <a:schemeClr val="accent4"/>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hr-HR" sz="1100" b="1" i="0" kern="1200">
              <a:latin typeface="Calibri Light"/>
              <a:cs typeface="Calibri Light"/>
            </a:rPr>
            <a:t>Strateški cilj 1. Revitalizane urbane cjeline VUPKA</a:t>
          </a:r>
          <a:endParaRPr lang="en-US" sz="1100" b="1" i="0" kern="1200">
            <a:latin typeface="Calibri Light"/>
            <a:cs typeface="Calibri Light"/>
          </a:endParaRPr>
        </a:p>
      </dsp:txBody>
      <dsp:txXfrm>
        <a:off x="558928" y="0"/>
        <a:ext cx="1771153" cy="722217"/>
      </dsp:txXfrm>
    </dsp:sp>
    <dsp:sp modelId="{E09E9214-1145-5A41-BE63-A1E85C0F8538}">
      <dsp:nvSpPr>
        <dsp:cNvPr id="0" name=""/>
        <dsp:cNvSpPr/>
      </dsp:nvSpPr>
      <dsp:spPr>
        <a:xfrm>
          <a:off x="396378" y="648074"/>
          <a:ext cx="948701" cy="1207754"/>
        </a:xfrm>
        <a:prstGeom prst="rect">
          <a:avLst/>
        </a:prstGeom>
        <a:solidFill>
          <a:schemeClr val="lt1"/>
        </a:solidFill>
        <a:ln w="25400" cap="flat" cmpd="sng" algn="ctr">
          <a:solidFill>
            <a:schemeClr val="accent4"/>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a-IN" sz="1000" b="0" i="0" kern="1200">
              <a:latin typeface="Calibri Light"/>
              <a:cs typeface="Calibri Light"/>
            </a:rPr>
            <a:t>SC1.</a:t>
          </a:r>
          <a:r>
            <a:rPr lang="hr-HR" sz="1000" b="0" i="0" kern="1200">
              <a:latin typeface="Calibri Light"/>
              <a:cs typeface="Calibri Light"/>
            </a:rPr>
            <a:t>P1 </a:t>
          </a:r>
          <a:r>
            <a:rPr lang="ta-IN" sz="1000" b="0" i="0" kern="1200">
              <a:latin typeface="Calibri Light"/>
              <a:cs typeface="Calibri Light"/>
            </a:rPr>
            <a:t>Obnova urbanih gradskih jezgri</a:t>
          </a:r>
          <a:endParaRPr lang="en-US" sz="1000" b="0" i="0" kern="1200">
            <a:latin typeface="Calibri Light"/>
            <a:cs typeface="Calibri Light"/>
          </a:endParaRPr>
        </a:p>
      </dsp:txBody>
      <dsp:txXfrm>
        <a:off x="396378" y="648074"/>
        <a:ext cx="948701" cy="1207754"/>
      </dsp:txXfrm>
    </dsp:sp>
    <dsp:sp modelId="{76E71002-B8BC-5746-8F38-F15E764FEC9D}">
      <dsp:nvSpPr>
        <dsp:cNvPr id="0" name=""/>
        <dsp:cNvSpPr/>
      </dsp:nvSpPr>
      <dsp:spPr>
        <a:xfrm>
          <a:off x="643454" y="1994693"/>
          <a:ext cx="706204" cy="839832"/>
        </a:xfrm>
        <a:prstGeom prst="rect">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1.1 Uređenje javnih prostora i komunalna infrastruktura</a:t>
          </a:r>
          <a:endParaRPr lang="en-US" sz="900" b="0" i="0" kern="1200">
            <a:latin typeface="Calibri Light"/>
            <a:cs typeface="Calibri Light"/>
          </a:endParaRPr>
        </a:p>
      </dsp:txBody>
      <dsp:txXfrm>
        <a:off x="643454" y="1994693"/>
        <a:ext cx="706204" cy="839832"/>
      </dsp:txXfrm>
    </dsp:sp>
    <dsp:sp modelId="{FD918F62-E775-B64C-99B2-B04FEEC0C03B}">
      <dsp:nvSpPr>
        <dsp:cNvPr id="0" name=""/>
        <dsp:cNvSpPr/>
      </dsp:nvSpPr>
      <dsp:spPr>
        <a:xfrm>
          <a:off x="625926" y="3216071"/>
          <a:ext cx="706204" cy="739851"/>
        </a:xfrm>
        <a:prstGeom prst="rect">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VP Brownfield lokacija bivše Vojarne Luščić</a:t>
          </a:r>
          <a:endParaRPr lang="en-US" sz="900" b="0" i="0" kern="1200">
            <a:latin typeface="Calibri Light"/>
            <a:cs typeface="Calibri Light"/>
          </a:endParaRPr>
        </a:p>
      </dsp:txBody>
      <dsp:txXfrm>
        <a:off x="625926" y="3216071"/>
        <a:ext cx="706204" cy="739851"/>
      </dsp:txXfrm>
    </dsp:sp>
    <dsp:sp modelId="{B585D139-CDED-DA45-B4F2-FA1CD431B6A2}">
      <dsp:nvSpPr>
        <dsp:cNvPr id="0" name=""/>
        <dsp:cNvSpPr/>
      </dsp:nvSpPr>
      <dsp:spPr>
        <a:xfrm>
          <a:off x="1493382" y="648074"/>
          <a:ext cx="948701" cy="1207754"/>
        </a:xfrm>
        <a:prstGeom prst="rect">
          <a:avLst/>
        </a:prstGeom>
        <a:solidFill>
          <a:schemeClr val="lt1"/>
        </a:solidFill>
        <a:ln w="25400" cap="flat" cmpd="sng" algn="ctr">
          <a:solidFill>
            <a:schemeClr val="accent4"/>
          </a:solidFill>
          <a:prstDash val="solid"/>
        </a:ln>
        <a:effectLst/>
      </dsp:spPr>
      <dsp:style>
        <a:lnRef idx="2">
          <a:schemeClr val="accent4"/>
        </a:lnRef>
        <a:fillRef idx="1">
          <a:schemeClr val="lt1"/>
        </a:fillRef>
        <a:effectRef idx="0">
          <a:schemeClr val="accent4"/>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a-IN" sz="1000" b="0" i="0" kern="1200">
              <a:latin typeface="Calibri Light"/>
              <a:cs typeface="Calibri Light"/>
            </a:rPr>
            <a:t>SC1.</a:t>
          </a:r>
          <a:r>
            <a:rPr lang="hr-HR" sz="1000" b="0" i="0" kern="1200">
              <a:latin typeface="Calibri Light"/>
              <a:cs typeface="Calibri Light"/>
            </a:rPr>
            <a:t>P2 Razvoj sadržaja za revitalizaciju gospodarskog i društvenog života</a:t>
          </a:r>
          <a:endParaRPr lang="en-US" sz="1000" b="0" i="0" kern="1200">
            <a:latin typeface="Calibri Light"/>
            <a:cs typeface="Calibri Light"/>
          </a:endParaRPr>
        </a:p>
      </dsp:txBody>
      <dsp:txXfrm>
        <a:off x="1493382" y="648074"/>
        <a:ext cx="948701" cy="1207754"/>
      </dsp:txXfrm>
    </dsp:sp>
    <dsp:sp modelId="{9F60840A-0330-9E4C-B668-3A77BF225204}">
      <dsp:nvSpPr>
        <dsp:cNvPr id="0" name=""/>
        <dsp:cNvSpPr/>
      </dsp:nvSpPr>
      <dsp:spPr>
        <a:xfrm>
          <a:off x="1740458" y="1994693"/>
          <a:ext cx="706204" cy="839829"/>
        </a:xfrm>
        <a:prstGeom prst="rect">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hr-HR" sz="900" b="0" i="0" kern="1200">
              <a:latin typeface="Calibri Light"/>
              <a:cs typeface="Calibri Light"/>
            </a:rPr>
            <a:t>2.1 Kulturna baština kao resurs za razvoj turizma i društvenog života</a:t>
          </a:r>
          <a:endParaRPr lang="en-US" sz="900" b="0" i="0" kern="1200">
            <a:latin typeface="Calibri Light"/>
            <a:cs typeface="Calibri Light"/>
          </a:endParaRPr>
        </a:p>
      </dsp:txBody>
      <dsp:txXfrm>
        <a:off x="1740458" y="1994693"/>
        <a:ext cx="706204" cy="839829"/>
      </dsp:txXfrm>
    </dsp:sp>
    <dsp:sp modelId="{20E78230-D19E-414E-B865-F3BA76D7B29F}">
      <dsp:nvSpPr>
        <dsp:cNvPr id="0" name=""/>
        <dsp:cNvSpPr/>
      </dsp:nvSpPr>
      <dsp:spPr>
        <a:xfrm>
          <a:off x="1740458" y="2982826"/>
          <a:ext cx="706204" cy="579988"/>
        </a:xfrm>
        <a:prstGeom prst="rect">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2.2 </a:t>
          </a:r>
          <a:r>
            <a:rPr lang="hr-HR" sz="900" b="0" i="0" kern="1200">
              <a:latin typeface="Calibri Light"/>
              <a:cs typeface="Calibri Light"/>
            </a:rPr>
            <a:t>Programi društvenog razvoja </a:t>
          </a:r>
          <a:endParaRPr lang="en-US" sz="900" b="0" i="0" kern="1200">
            <a:latin typeface="Calibri Light"/>
            <a:cs typeface="Calibri Light"/>
          </a:endParaRPr>
        </a:p>
      </dsp:txBody>
      <dsp:txXfrm>
        <a:off x="1740458" y="2982826"/>
        <a:ext cx="706204" cy="579988"/>
      </dsp:txXfrm>
    </dsp:sp>
    <dsp:sp modelId="{1173904E-D3C2-124A-9BE4-8DBFD268EA8C}">
      <dsp:nvSpPr>
        <dsp:cNvPr id="0" name=""/>
        <dsp:cNvSpPr/>
      </dsp:nvSpPr>
      <dsp:spPr>
        <a:xfrm>
          <a:off x="1740458" y="3711117"/>
          <a:ext cx="706204" cy="667624"/>
        </a:xfrm>
        <a:prstGeom prst="rect">
          <a:avLst/>
        </a:prstGeom>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atMod val="105000"/>
            </a:schemeClr>
          </a:solidFill>
          <a:prstDash val="solid"/>
        </a:ln>
        <a:effectLst>
          <a:outerShdw blurRad="40000" dist="20000" dir="5400000" rotWithShape="0">
            <a:srgbClr val="000000">
              <a:alpha val="38000"/>
            </a:srgbClr>
          </a:outerShdw>
        </a:effectLst>
      </dsp:spPr>
      <dsp:style>
        <a:lnRef idx="1">
          <a:schemeClr val="accent4"/>
        </a:lnRef>
        <a:fillRef idx="2">
          <a:schemeClr val="accent4"/>
        </a:fillRef>
        <a:effectRef idx="1">
          <a:schemeClr val="accent4"/>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2.3 </a:t>
          </a:r>
          <a:r>
            <a:rPr lang="hr-HR" sz="900" b="0" i="0" kern="1200">
              <a:latin typeface="Calibri Light"/>
              <a:cs typeface="Calibri Light"/>
            </a:rPr>
            <a:t>Programi društvene kohezije</a:t>
          </a:r>
          <a:endParaRPr lang="en-US" sz="900" b="0" i="0" kern="1200">
            <a:latin typeface="Calibri Light"/>
            <a:cs typeface="Calibri Light"/>
          </a:endParaRPr>
        </a:p>
      </dsp:txBody>
      <dsp:txXfrm>
        <a:off x="1740458" y="3711117"/>
        <a:ext cx="706204" cy="667624"/>
      </dsp:txXfrm>
    </dsp:sp>
    <dsp:sp modelId="{41CB09C6-595D-EF40-84B2-175EC7BF4795}">
      <dsp:nvSpPr>
        <dsp:cNvPr id="0" name=""/>
        <dsp:cNvSpPr/>
      </dsp:nvSpPr>
      <dsp:spPr>
        <a:xfrm>
          <a:off x="3136533" y="0"/>
          <a:ext cx="2100965" cy="722217"/>
        </a:xfrm>
        <a:prstGeom prst="rect">
          <a:avLst/>
        </a:prstGeom>
        <a:solidFill>
          <a:schemeClr val="accent2"/>
        </a:solidFill>
        <a:ln w="25400" cap="flat" cmpd="sng" algn="ctr">
          <a:solidFill>
            <a:schemeClr val="accent2">
              <a:shade val="50000"/>
            </a:schemeClr>
          </a:solidFill>
          <a:prstDash val="solid"/>
        </a:ln>
        <a:effectLst/>
      </dsp:spPr>
      <dsp:style>
        <a:lnRef idx="2">
          <a:schemeClr val="accent2">
            <a:shade val="50000"/>
          </a:schemeClr>
        </a:lnRef>
        <a:fillRef idx="1">
          <a:schemeClr val="accent2"/>
        </a:fillRef>
        <a:effectRef idx="0">
          <a:schemeClr val="accent2"/>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hr-HR" sz="1100" b="1" i="0" kern="1200">
              <a:latin typeface="Calibri Light"/>
              <a:cs typeface="Calibri Light"/>
            </a:rPr>
            <a:t>Strateški cilj 2. Velika infrastruktura za </a:t>
          </a:r>
          <a:r>
            <a:rPr lang="ta-IN" sz="1100" b="1" i="0" kern="1200">
              <a:latin typeface="Calibri Light"/>
              <a:cs typeface="Calibri Light"/>
            </a:rPr>
            <a:t>održivi </a:t>
          </a:r>
          <a:r>
            <a:rPr lang="hr-HR" sz="1100" b="1" i="0" kern="1200">
              <a:latin typeface="Calibri Light"/>
              <a:cs typeface="Calibri Light"/>
            </a:rPr>
            <a:t>razvoj</a:t>
          </a:r>
          <a:endParaRPr lang="en-US" sz="1100" b="1" i="0" kern="1200">
            <a:latin typeface="Calibri Light"/>
            <a:cs typeface="Calibri Light"/>
          </a:endParaRPr>
        </a:p>
      </dsp:txBody>
      <dsp:txXfrm>
        <a:off x="3136533" y="0"/>
        <a:ext cx="2100965" cy="722217"/>
      </dsp:txXfrm>
    </dsp:sp>
    <dsp:sp modelId="{DC33DE3B-880F-4149-986D-693F670B7B73}">
      <dsp:nvSpPr>
        <dsp:cNvPr id="0" name=""/>
        <dsp:cNvSpPr/>
      </dsp:nvSpPr>
      <dsp:spPr>
        <a:xfrm>
          <a:off x="2590386" y="648074"/>
          <a:ext cx="948701" cy="1207754"/>
        </a:xfrm>
        <a:prstGeom prst="rect">
          <a:avLst/>
        </a:prstGeom>
        <a:solidFill>
          <a:schemeClr val="lt1"/>
        </a:solidFill>
        <a:ln w="254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a-IN" sz="1000" b="0" i="0" kern="1200">
              <a:latin typeface="Calibri Light"/>
              <a:cs typeface="Calibri Light"/>
            </a:rPr>
            <a:t>SC2.P1 Unaprijeđenje energetske infrastrukture</a:t>
          </a:r>
          <a:endParaRPr lang="en-US" sz="1000" b="0" i="0" kern="1200">
            <a:latin typeface="Calibri Light"/>
            <a:cs typeface="Calibri Light"/>
          </a:endParaRPr>
        </a:p>
      </dsp:txBody>
      <dsp:txXfrm>
        <a:off x="2590386" y="648074"/>
        <a:ext cx="948701" cy="1207754"/>
      </dsp:txXfrm>
    </dsp:sp>
    <dsp:sp modelId="{AC0F14A3-7D48-2248-899B-A7AA97D0D53B}">
      <dsp:nvSpPr>
        <dsp:cNvPr id="0" name=""/>
        <dsp:cNvSpPr/>
      </dsp:nvSpPr>
      <dsp:spPr>
        <a:xfrm>
          <a:off x="2837462" y="1994693"/>
          <a:ext cx="706204" cy="353102"/>
        </a:xfrm>
        <a:prstGeom prst="rect">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1.1 Veliki projekti</a:t>
          </a:r>
          <a:endParaRPr lang="en-US" sz="900" b="0" i="0" kern="1200">
            <a:latin typeface="Calibri Light"/>
            <a:cs typeface="Calibri Light"/>
          </a:endParaRPr>
        </a:p>
      </dsp:txBody>
      <dsp:txXfrm>
        <a:off x="2837462" y="1994693"/>
        <a:ext cx="706204" cy="353102"/>
      </dsp:txXfrm>
    </dsp:sp>
    <dsp:sp modelId="{1CBBFD52-C98C-5245-A655-633EED9695A0}">
      <dsp:nvSpPr>
        <dsp:cNvPr id="0" name=""/>
        <dsp:cNvSpPr/>
      </dsp:nvSpPr>
      <dsp:spPr>
        <a:xfrm>
          <a:off x="2837462" y="2496099"/>
          <a:ext cx="706204" cy="789120"/>
        </a:xfrm>
        <a:prstGeom prst="rect">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1.2 Mjere za povećanje energetske učinkovitosti</a:t>
          </a:r>
          <a:endParaRPr lang="en-US" sz="900" b="0" i="0" kern="1200">
            <a:latin typeface="Calibri Light"/>
            <a:cs typeface="Calibri Light"/>
          </a:endParaRPr>
        </a:p>
      </dsp:txBody>
      <dsp:txXfrm>
        <a:off x="2837462" y="2496099"/>
        <a:ext cx="706204" cy="789120"/>
      </dsp:txXfrm>
    </dsp:sp>
    <dsp:sp modelId="{17F87F29-E588-584C-A3F0-A4300B3BCD30}">
      <dsp:nvSpPr>
        <dsp:cNvPr id="0" name=""/>
        <dsp:cNvSpPr/>
      </dsp:nvSpPr>
      <dsp:spPr>
        <a:xfrm>
          <a:off x="3687390" y="648074"/>
          <a:ext cx="948701" cy="1207754"/>
        </a:xfrm>
        <a:prstGeom prst="rect">
          <a:avLst/>
        </a:prstGeom>
        <a:solidFill>
          <a:schemeClr val="lt1"/>
        </a:solidFill>
        <a:ln w="254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a-IN" sz="1000" b="0" i="0" kern="1200">
              <a:latin typeface="Calibri Light"/>
              <a:cs typeface="Calibri Light"/>
            </a:rPr>
            <a:t>SC2.P2 Poboljšanje mobilnosti i pristupačnosti</a:t>
          </a:r>
          <a:endParaRPr lang="en-US" sz="1000" b="0" i="0" kern="1200">
            <a:latin typeface="Calibri Light"/>
            <a:cs typeface="Calibri Light"/>
          </a:endParaRPr>
        </a:p>
      </dsp:txBody>
      <dsp:txXfrm>
        <a:off x="3687390" y="648074"/>
        <a:ext cx="948701" cy="1207754"/>
      </dsp:txXfrm>
    </dsp:sp>
    <dsp:sp modelId="{CB55810D-B712-7C49-A2E8-7A8562A9DD0A}">
      <dsp:nvSpPr>
        <dsp:cNvPr id="0" name=""/>
        <dsp:cNvSpPr/>
      </dsp:nvSpPr>
      <dsp:spPr>
        <a:xfrm>
          <a:off x="3934466" y="1994693"/>
          <a:ext cx="706204" cy="353102"/>
        </a:xfrm>
        <a:prstGeom prst="rect">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2.1 Veliki projekti</a:t>
          </a:r>
          <a:endParaRPr lang="en-US" sz="900" b="0" i="0" kern="1200">
            <a:latin typeface="Calibri Light"/>
            <a:cs typeface="Calibri Light"/>
          </a:endParaRPr>
        </a:p>
      </dsp:txBody>
      <dsp:txXfrm>
        <a:off x="3934466" y="1994693"/>
        <a:ext cx="706204" cy="353102"/>
      </dsp:txXfrm>
    </dsp:sp>
    <dsp:sp modelId="{97BA46C4-BBBA-7947-8CB7-58963293116B}">
      <dsp:nvSpPr>
        <dsp:cNvPr id="0" name=""/>
        <dsp:cNvSpPr/>
      </dsp:nvSpPr>
      <dsp:spPr>
        <a:xfrm>
          <a:off x="3934466" y="2496099"/>
          <a:ext cx="706204" cy="789120"/>
        </a:xfrm>
        <a:prstGeom prst="rect">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2.2 Mjere za poboljšanje mobilnosti i pristupačnosti</a:t>
          </a:r>
          <a:endParaRPr lang="en-US" sz="900" b="0" i="0" kern="1200">
            <a:latin typeface="Calibri Light"/>
            <a:cs typeface="Calibri Light"/>
          </a:endParaRPr>
        </a:p>
      </dsp:txBody>
      <dsp:txXfrm>
        <a:off x="3934466" y="2496099"/>
        <a:ext cx="706204" cy="789120"/>
      </dsp:txXfrm>
    </dsp:sp>
    <dsp:sp modelId="{5215271E-34D8-B947-BE36-0F5C7D930FF4}">
      <dsp:nvSpPr>
        <dsp:cNvPr id="0" name=""/>
        <dsp:cNvSpPr/>
      </dsp:nvSpPr>
      <dsp:spPr>
        <a:xfrm>
          <a:off x="4784394" y="648074"/>
          <a:ext cx="948701" cy="1207754"/>
        </a:xfrm>
        <a:prstGeom prst="rect">
          <a:avLst/>
        </a:prstGeom>
        <a:solidFill>
          <a:schemeClr val="lt1"/>
        </a:solidFill>
        <a:ln w="25400" cap="flat" cmpd="sng" algn="ctr">
          <a:solidFill>
            <a:schemeClr val="accent2"/>
          </a:solidFill>
          <a:prstDash val="solid"/>
        </a:ln>
        <a:effectLst/>
      </dsp:spPr>
      <dsp:style>
        <a:lnRef idx="2">
          <a:schemeClr val="accent2"/>
        </a:lnRef>
        <a:fillRef idx="1">
          <a:schemeClr val="lt1"/>
        </a:fillRef>
        <a:effectRef idx="0">
          <a:schemeClr val="accent2"/>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a-IN" sz="1000" b="0" i="0" kern="1200">
              <a:latin typeface="Calibri Light"/>
              <a:cs typeface="Calibri Light"/>
            </a:rPr>
            <a:t>SC2.P3 Vodna i komunalna infrastruktura</a:t>
          </a:r>
          <a:endParaRPr lang="en-US" sz="1000" b="0" i="0" kern="1200">
            <a:latin typeface="Calibri Light"/>
            <a:cs typeface="Calibri Light"/>
          </a:endParaRPr>
        </a:p>
      </dsp:txBody>
      <dsp:txXfrm>
        <a:off x="4784394" y="648074"/>
        <a:ext cx="948701" cy="1207754"/>
      </dsp:txXfrm>
    </dsp:sp>
    <dsp:sp modelId="{785949AD-7E58-F045-8E91-128358998AD7}">
      <dsp:nvSpPr>
        <dsp:cNvPr id="0" name=""/>
        <dsp:cNvSpPr/>
      </dsp:nvSpPr>
      <dsp:spPr>
        <a:xfrm>
          <a:off x="5031470" y="1994693"/>
          <a:ext cx="706204" cy="331464"/>
        </a:xfrm>
        <a:prstGeom prst="rect">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3.1 Veliki projekti</a:t>
          </a:r>
          <a:endParaRPr lang="en-US" sz="900" b="0" i="0" kern="1200">
            <a:latin typeface="Calibri Light"/>
            <a:cs typeface="Calibri Light"/>
          </a:endParaRPr>
        </a:p>
      </dsp:txBody>
      <dsp:txXfrm>
        <a:off x="5031470" y="1994693"/>
        <a:ext cx="706204" cy="331464"/>
      </dsp:txXfrm>
    </dsp:sp>
    <dsp:sp modelId="{5D175287-1BAB-FA4E-A044-316BAF57273D}">
      <dsp:nvSpPr>
        <dsp:cNvPr id="0" name=""/>
        <dsp:cNvSpPr/>
      </dsp:nvSpPr>
      <dsp:spPr>
        <a:xfrm>
          <a:off x="5031470" y="2474461"/>
          <a:ext cx="706204" cy="833360"/>
        </a:xfrm>
        <a:prstGeom prst="rect">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3.2 Vodno gspodarstvo i upravljanje vodnim resursima</a:t>
          </a:r>
          <a:endParaRPr lang="en-US" sz="900" b="0" i="0" kern="1200">
            <a:latin typeface="Calibri Light"/>
            <a:cs typeface="Calibri Light"/>
          </a:endParaRPr>
        </a:p>
      </dsp:txBody>
      <dsp:txXfrm>
        <a:off x="5031470" y="2474461"/>
        <a:ext cx="706204" cy="833360"/>
      </dsp:txXfrm>
    </dsp:sp>
    <dsp:sp modelId="{381AB469-814E-0F4D-AC69-7E99DC382686}">
      <dsp:nvSpPr>
        <dsp:cNvPr id="0" name=""/>
        <dsp:cNvSpPr/>
      </dsp:nvSpPr>
      <dsp:spPr>
        <a:xfrm>
          <a:off x="5013942" y="3528651"/>
          <a:ext cx="706204" cy="532446"/>
        </a:xfrm>
        <a:prstGeom prst="rect">
          <a:avLst/>
        </a:prstGeom>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5000"/>
            </a:schemeClr>
          </a:solidFill>
          <a:prstDash val="solid"/>
        </a:ln>
        <a:effectLst>
          <a:outerShdw blurRad="40000" dist="20000" dir="5400000" rotWithShape="0">
            <a:srgbClr val="000000">
              <a:alpha val="38000"/>
            </a:srgbClr>
          </a:outerShdw>
        </a:effectLst>
      </dsp:spPr>
      <dsp:style>
        <a:lnRef idx="1">
          <a:schemeClr val="accent2"/>
        </a:lnRef>
        <a:fillRef idx="2">
          <a:schemeClr val="accent2"/>
        </a:fillRef>
        <a:effectRef idx="1">
          <a:schemeClr val="accent2"/>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3.3 Gospodarenje otpadom</a:t>
          </a:r>
          <a:endParaRPr lang="en-US" sz="900" b="0" i="0" kern="1200">
            <a:latin typeface="Calibri Light"/>
            <a:cs typeface="Calibri Light"/>
          </a:endParaRPr>
        </a:p>
      </dsp:txBody>
      <dsp:txXfrm>
        <a:off x="5013942" y="3528651"/>
        <a:ext cx="706204" cy="532446"/>
      </dsp:txXfrm>
    </dsp:sp>
    <dsp:sp modelId="{20B84DE0-EF71-CC40-84E4-EC339FDDFB43}">
      <dsp:nvSpPr>
        <dsp:cNvPr id="0" name=""/>
        <dsp:cNvSpPr/>
      </dsp:nvSpPr>
      <dsp:spPr>
        <a:xfrm>
          <a:off x="6205391" y="0"/>
          <a:ext cx="2457528" cy="722217"/>
        </a:xfrm>
        <a:prstGeom prst="rect">
          <a:avLst/>
        </a:prstGeom>
        <a:solidFill>
          <a:schemeClr val="accent5"/>
        </a:solidFill>
        <a:ln w="25400" cap="flat" cmpd="sng" algn="ctr">
          <a:solidFill>
            <a:schemeClr val="accent5">
              <a:shade val="50000"/>
            </a:schemeClr>
          </a:solidFill>
          <a:prstDash val="solid"/>
        </a:ln>
        <a:effectLst/>
      </dsp:spPr>
      <dsp:style>
        <a:lnRef idx="2">
          <a:schemeClr val="accent5">
            <a:shade val="50000"/>
          </a:schemeClr>
        </a:lnRef>
        <a:fillRef idx="1">
          <a:schemeClr val="accent5"/>
        </a:fillRef>
        <a:effectRef idx="0">
          <a:schemeClr val="accent5"/>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ta-IN" sz="1100" b="1" i="0" kern="1200">
              <a:latin typeface="Calibri Light"/>
              <a:cs typeface="Calibri Light"/>
            </a:rPr>
            <a:t>Strateški cilj 3. Konkurentno i moderno gospodarstvo VUPKA</a:t>
          </a:r>
          <a:endParaRPr lang="en-US" sz="1100" b="1" i="0" kern="1200">
            <a:latin typeface="Calibri Light"/>
            <a:cs typeface="Calibri Light"/>
          </a:endParaRPr>
        </a:p>
      </dsp:txBody>
      <dsp:txXfrm>
        <a:off x="6205391" y="0"/>
        <a:ext cx="2457528" cy="722217"/>
      </dsp:txXfrm>
    </dsp:sp>
    <dsp:sp modelId="{EAA225B1-EDCB-884E-9919-124FDDE592F8}">
      <dsp:nvSpPr>
        <dsp:cNvPr id="0" name=""/>
        <dsp:cNvSpPr/>
      </dsp:nvSpPr>
      <dsp:spPr>
        <a:xfrm>
          <a:off x="5881398" y="648074"/>
          <a:ext cx="948701" cy="1207754"/>
        </a:xfrm>
        <a:prstGeom prst="rect">
          <a:avLst/>
        </a:prstGeom>
        <a:solidFill>
          <a:schemeClr val="lt1"/>
        </a:solidFill>
        <a:ln w="25400" cap="flat" cmpd="sng" algn="ctr">
          <a:solidFill>
            <a:schemeClr val="accent5"/>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a-IN" sz="1000" b="0" i="0" kern="1200">
              <a:latin typeface="Calibri Light"/>
              <a:cs typeface="Calibri Light"/>
            </a:rPr>
            <a:t>SC3.</a:t>
          </a:r>
          <a:r>
            <a:rPr lang="hr-HR" sz="1000" b="0" i="0" kern="1200">
              <a:latin typeface="Calibri Light"/>
              <a:cs typeface="Calibri Light"/>
            </a:rPr>
            <a:t>P1 </a:t>
          </a:r>
          <a:r>
            <a:rPr lang="ta-IN" sz="1000" b="0" i="0" kern="1200">
              <a:latin typeface="Calibri Light"/>
              <a:cs typeface="Calibri Light"/>
            </a:rPr>
            <a:t>Podrška malom i srednjem poduzetništvu</a:t>
          </a:r>
          <a:endParaRPr lang="en-US" sz="1000" b="0" i="0" kern="1200">
            <a:latin typeface="Calibri Light"/>
            <a:cs typeface="Calibri Light"/>
          </a:endParaRPr>
        </a:p>
      </dsp:txBody>
      <dsp:txXfrm>
        <a:off x="5881398" y="648074"/>
        <a:ext cx="948701" cy="1207754"/>
      </dsp:txXfrm>
    </dsp:sp>
    <dsp:sp modelId="{0D5524E3-8BA1-384B-9ECB-17B6A3F10CAE}">
      <dsp:nvSpPr>
        <dsp:cNvPr id="0" name=""/>
        <dsp:cNvSpPr/>
      </dsp:nvSpPr>
      <dsp:spPr>
        <a:xfrm>
          <a:off x="6128474" y="1994693"/>
          <a:ext cx="706204" cy="856647"/>
        </a:xfrm>
        <a:prstGeom prst="rect">
          <a:avLst/>
        </a:prstGeom>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1.1 Ulaganja u infrastrukturu i kapacitete za potporu poduzetništvu</a:t>
          </a:r>
          <a:endParaRPr lang="en-US" sz="900" b="0" i="0" kern="1200">
            <a:latin typeface="Calibri Light"/>
            <a:cs typeface="Calibri Light"/>
          </a:endParaRPr>
        </a:p>
      </dsp:txBody>
      <dsp:txXfrm>
        <a:off x="6128474" y="1994693"/>
        <a:ext cx="706204" cy="856647"/>
      </dsp:txXfrm>
    </dsp:sp>
    <dsp:sp modelId="{6B4B8A6E-8568-F24E-9F1F-42CD74FEA629}">
      <dsp:nvSpPr>
        <dsp:cNvPr id="0" name=""/>
        <dsp:cNvSpPr/>
      </dsp:nvSpPr>
      <dsp:spPr>
        <a:xfrm>
          <a:off x="6128474" y="2999644"/>
          <a:ext cx="706204" cy="606163"/>
        </a:xfrm>
        <a:prstGeom prst="rect">
          <a:avLst/>
        </a:prstGeom>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1.2 Programi potpore MSP-ovima</a:t>
          </a:r>
          <a:endParaRPr lang="en-US" sz="900" b="0" i="0" kern="1200">
            <a:latin typeface="Calibri Light"/>
            <a:cs typeface="Calibri Light"/>
          </a:endParaRPr>
        </a:p>
      </dsp:txBody>
      <dsp:txXfrm>
        <a:off x="6128474" y="2999644"/>
        <a:ext cx="706204" cy="606163"/>
      </dsp:txXfrm>
    </dsp:sp>
    <dsp:sp modelId="{E797DDBE-F4A3-3641-9284-06369B84E104}">
      <dsp:nvSpPr>
        <dsp:cNvPr id="0" name=""/>
        <dsp:cNvSpPr/>
      </dsp:nvSpPr>
      <dsp:spPr>
        <a:xfrm>
          <a:off x="6978402" y="648074"/>
          <a:ext cx="936455" cy="1207754"/>
        </a:xfrm>
        <a:prstGeom prst="rect">
          <a:avLst/>
        </a:prstGeom>
        <a:solidFill>
          <a:schemeClr val="lt1"/>
        </a:solidFill>
        <a:ln w="25400" cap="flat" cmpd="sng" algn="ctr">
          <a:solidFill>
            <a:schemeClr val="accent5"/>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a-IN" sz="1000" b="0" i="0" kern="1200">
              <a:latin typeface="Calibri Light"/>
              <a:cs typeface="Calibri Light"/>
            </a:rPr>
            <a:t>SC3.</a:t>
          </a:r>
          <a:r>
            <a:rPr lang="hr-HR" sz="1000" b="0" i="0" kern="1200">
              <a:latin typeface="Calibri Light"/>
              <a:cs typeface="Calibri Light"/>
            </a:rPr>
            <a:t>P2 </a:t>
          </a:r>
          <a:r>
            <a:rPr lang="ta-IN" sz="1000" b="0" i="0" kern="1200">
              <a:latin typeface="Calibri Light"/>
              <a:cs typeface="Calibri Light"/>
            </a:rPr>
            <a:t>Razvoj vještina, znanja i kapaciteta za moderno gospodarstvo</a:t>
          </a:r>
          <a:endParaRPr lang="en-US" sz="1000" b="0" i="0" kern="1200">
            <a:latin typeface="Calibri Light"/>
            <a:cs typeface="Calibri Light"/>
          </a:endParaRPr>
        </a:p>
      </dsp:txBody>
      <dsp:txXfrm>
        <a:off x="6978402" y="648074"/>
        <a:ext cx="936455" cy="1207754"/>
      </dsp:txXfrm>
    </dsp:sp>
    <dsp:sp modelId="{986FCC6B-500E-154E-A714-1A628D18AF99}">
      <dsp:nvSpPr>
        <dsp:cNvPr id="0" name=""/>
        <dsp:cNvSpPr/>
      </dsp:nvSpPr>
      <dsp:spPr>
        <a:xfrm>
          <a:off x="7222417" y="1994693"/>
          <a:ext cx="739346" cy="938736"/>
        </a:xfrm>
        <a:prstGeom prst="rect">
          <a:avLst/>
        </a:prstGeom>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2.1 Infrastrukturni i stručni kapaciteti za strukovno i visokoškolsko obrazovanje</a:t>
          </a:r>
          <a:endParaRPr lang="en-US" sz="900" b="0" i="0" kern="1200">
            <a:latin typeface="Calibri Light"/>
            <a:cs typeface="Calibri Light"/>
          </a:endParaRPr>
        </a:p>
      </dsp:txBody>
      <dsp:txXfrm>
        <a:off x="7222417" y="1994693"/>
        <a:ext cx="739346" cy="938736"/>
      </dsp:txXfrm>
    </dsp:sp>
    <dsp:sp modelId="{70683DDB-2EEB-9C4D-9880-C965858F8CC0}">
      <dsp:nvSpPr>
        <dsp:cNvPr id="0" name=""/>
        <dsp:cNvSpPr/>
      </dsp:nvSpPr>
      <dsp:spPr>
        <a:xfrm>
          <a:off x="7222417" y="3081733"/>
          <a:ext cx="739346" cy="965717"/>
        </a:xfrm>
        <a:prstGeom prst="rect">
          <a:avLst/>
        </a:prstGeom>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2.2 jačanje poduzetničke kulture i inovacija te veza između obrazovanja i tržišta rada</a:t>
          </a:r>
          <a:endParaRPr lang="en-US" sz="900" b="0" i="0" kern="1200">
            <a:latin typeface="Calibri Light"/>
            <a:cs typeface="Calibri Light"/>
          </a:endParaRPr>
        </a:p>
      </dsp:txBody>
      <dsp:txXfrm>
        <a:off x="7222417" y="3081733"/>
        <a:ext cx="739346" cy="965717"/>
      </dsp:txXfrm>
    </dsp:sp>
    <dsp:sp modelId="{E794A87A-AC2C-724F-B2A3-EA3569E40C8E}">
      <dsp:nvSpPr>
        <dsp:cNvPr id="0" name=""/>
        <dsp:cNvSpPr/>
      </dsp:nvSpPr>
      <dsp:spPr>
        <a:xfrm>
          <a:off x="7222417" y="4195753"/>
          <a:ext cx="739346" cy="353102"/>
        </a:xfrm>
        <a:prstGeom prst="rect">
          <a:avLst/>
        </a:prstGeom>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2.3 Pametni grad</a:t>
          </a:r>
          <a:endParaRPr lang="en-US" sz="900" b="0" i="0" kern="1200">
            <a:latin typeface="Calibri Light"/>
            <a:cs typeface="Calibri Light"/>
          </a:endParaRPr>
        </a:p>
      </dsp:txBody>
      <dsp:txXfrm>
        <a:off x="7222417" y="4195753"/>
        <a:ext cx="739346" cy="353102"/>
      </dsp:txXfrm>
    </dsp:sp>
    <dsp:sp modelId="{27023BF1-E5FA-1A41-A944-F6D91E93A8DA}">
      <dsp:nvSpPr>
        <dsp:cNvPr id="0" name=""/>
        <dsp:cNvSpPr/>
      </dsp:nvSpPr>
      <dsp:spPr>
        <a:xfrm>
          <a:off x="8063161" y="648074"/>
          <a:ext cx="873200" cy="1207751"/>
        </a:xfrm>
        <a:prstGeom prst="rect">
          <a:avLst/>
        </a:prstGeom>
        <a:solidFill>
          <a:schemeClr val="lt1"/>
        </a:solidFill>
        <a:ln w="25400" cap="flat" cmpd="sng" algn="ctr">
          <a:solidFill>
            <a:schemeClr val="accent5"/>
          </a:solidFill>
          <a:prstDash val="solid"/>
        </a:ln>
        <a:effectLst/>
      </dsp:spPr>
      <dsp:style>
        <a:lnRef idx="2">
          <a:schemeClr val="accent5"/>
        </a:lnRef>
        <a:fillRef idx="1">
          <a:schemeClr val="lt1"/>
        </a:fillRef>
        <a:effectRef idx="0">
          <a:schemeClr val="accent5"/>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ta-IN" sz="1000" b="0" i="0" kern="1200">
              <a:latin typeface="Calibri Light"/>
              <a:cs typeface="Calibri Light"/>
            </a:rPr>
            <a:t>SC3.P3 Razvoj održive bio-ekonomije</a:t>
          </a:r>
          <a:endParaRPr lang="en-US" sz="1000" b="0" i="0" kern="1200">
            <a:latin typeface="Calibri Light"/>
            <a:cs typeface="Calibri Light"/>
          </a:endParaRPr>
        </a:p>
      </dsp:txBody>
      <dsp:txXfrm>
        <a:off x="8063161" y="648074"/>
        <a:ext cx="873200" cy="1207751"/>
      </dsp:txXfrm>
    </dsp:sp>
    <dsp:sp modelId="{242CFD3C-F57A-AB45-B82D-262F47CF326A}">
      <dsp:nvSpPr>
        <dsp:cNvPr id="0" name=""/>
        <dsp:cNvSpPr/>
      </dsp:nvSpPr>
      <dsp:spPr>
        <a:xfrm>
          <a:off x="8291362" y="1994690"/>
          <a:ext cx="706204" cy="1133790"/>
        </a:xfrm>
        <a:prstGeom prst="rect">
          <a:avLst/>
        </a:prstGeom>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3.1 Mjere i projekti jačanja i poticanja nabave lokalnih proizvoda i usluga</a:t>
          </a:r>
          <a:endParaRPr lang="en-US" sz="900" b="0" i="0" kern="1200">
            <a:latin typeface="Calibri Light"/>
            <a:cs typeface="Calibri Light"/>
          </a:endParaRPr>
        </a:p>
      </dsp:txBody>
      <dsp:txXfrm>
        <a:off x="8291362" y="1994690"/>
        <a:ext cx="706204" cy="1133790"/>
      </dsp:txXfrm>
    </dsp:sp>
    <dsp:sp modelId="{91437F3B-61C0-1C41-A97F-0C4AFCC9F11A}">
      <dsp:nvSpPr>
        <dsp:cNvPr id="0" name=""/>
        <dsp:cNvSpPr/>
      </dsp:nvSpPr>
      <dsp:spPr>
        <a:xfrm>
          <a:off x="8273834" y="3510025"/>
          <a:ext cx="706204" cy="545889"/>
        </a:xfrm>
        <a:prstGeom prst="rect">
          <a:avLst/>
        </a:prstGeom>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atMod val="105000"/>
            </a:schemeClr>
          </a:solidFill>
          <a:prstDash val="solid"/>
        </a:ln>
        <a:effectLst>
          <a:outerShdw blurRad="40000" dist="20000" dir="5400000" rotWithShape="0">
            <a:srgbClr val="000000">
              <a:alpha val="38000"/>
            </a:srgbClr>
          </a:outerShdw>
        </a:effectLst>
      </dsp:spPr>
      <dsp:style>
        <a:lnRef idx="1">
          <a:schemeClr val="accent5"/>
        </a:lnRef>
        <a:fillRef idx="2">
          <a:schemeClr val="accent5"/>
        </a:fillRef>
        <a:effectRef idx="1">
          <a:schemeClr val="accent5"/>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ta-IN" sz="900" b="0" i="0" kern="1200">
              <a:latin typeface="Calibri Light"/>
              <a:cs typeface="Calibri Light"/>
            </a:rPr>
            <a:t>VP Eko turizam na rijekama VUPKA</a:t>
          </a:r>
          <a:endParaRPr lang="en-US" sz="900" b="0" i="0" kern="1200">
            <a:latin typeface="Calibri Light"/>
            <a:cs typeface="Calibri Light"/>
          </a:endParaRPr>
        </a:p>
      </dsp:txBody>
      <dsp:txXfrm>
        <a:off x="8273834" y="3510025"/>
        <a:ext cx="706204" cy="54588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52192D-9D0C-764C-80E2-8572004781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105</Pages>
  <Words>40670</Words>
  <Characters>231821</Characters>
  <Application>Microsoft Macintosh Word</Application>
  <DocSecurity>0</DocSecurity>
  <Lines>1931</Lines>
  <Paragraphs>543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Marta Sassella</dc:creator>
  <cp:lastModifiedBy>Mirta Vukelic</cp:lastModifiedBy>
  <cp:revision>2</cp:revision>
  <cp:lastPrinted>2019-07-15T14:22:00Z</cp:lastPrinted>
  <dcterms:created xsi:type="dcterms:W3CDTF">2020-02-17T11:19:00Z</dcterms:created>
  <dcterms:modified xsi:type="dcterms:W3CDTF">2020-02-17T11:19:00Z</dcterms:modified>
</cp:coreProperties>
</file>